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B18" w:rsidP="00A82B18">
      <w:pPr>
        <w:pStyle w:val="Title"/>
      </w:pPr>
      <w:r>
        <w:fldChar w:fldCharType="begin"/>
      </w:r>
      <w:r>
        <w:instrText xml:space="preserve"> TITLE   \* MERGEFORMAT </w:instrText>
      </w:r>
      <w:r>
        <w:fldChar w:fldCharType="separate"/>
      </w:r>
      <w:r>
        <w:t>MEA204 Remove and install basic aircraft instrument system components</w:t>
      </w:r>
      <w:r>
        <w:fldChar w:fldCharType="end"/>
      </w:r>
    </w:p>
    <w:p w:rsidR="00A82B18" w:rsidP="00A82B18">
      <w:pPr>
        <w:pStyle w:val="Version"/>
        <w:sectPr w:rsidSect="009D7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774E" w:rsidP="009D774E">
      <w:pPr>
        <w:pStyle w:val="SuperHeading"/>
      </w:pPr>
      <w:r w:rsidRPr="009D774E">
        <w:t>MEA204 Remove and install basic aircraft instrument system components</w:t>
      </w:r>
    </w:p>
    <w:p w:rsidR="00000000" w:rsidRPr="009D774E" w:rsidP="009D774E">
      <w:pPr>
        <w:pStyle w:val="Heading1"/>
      </w:pPr>
      <w:bookmarkStart w:id="1" w:name="O_785705"/>
      <w:bookmarkEnd w:id="1"/>
      <w:r w:rsidRPr="009D774E">
        <w:t>Modification History</w:t>
      </w:r>
    </w:p>
    <w:p w:rsidR="00000000" w:rsidRPr="009D774E" w:rsidP="00A82B18">
      <w:pPr>
        <w:pStyle w:val="BodyText"/>
      </w:pPr>
      <w:r w:rsidRPr="009D774E">
        <w:t>Release 2 - Remote reading gyro compasses and gas turbine engine indication system components added to Range of Conditions</w:t>
      </w:r>
    </w:p>
    <w:p w:rsidR="00000000" w:rsidRPr="009D774E" w:rsidP="00A82B18">
      <w:pPr>
        <w:pStyle w:val="BodyText"/>
      </w:pPr>
      <w:r w:rsidRPr="009D774E">
        <w:t>Release 1 - New unit of competency</w:t>
      </w:r>
    </w:p>
    <w:p w:rsidR="00000000" w:rsidRPr="009D774E" w:rsidP="009D774E">
      <w:pPr>
        <w:pStyle w:val="Heading1"/>
      </w:pPr>
      <w:bookmarkStart w:id="2" w:name="O_785704"/>
      <w:bookmarkEnd w:id="2"/>
      <w:r w:rsidRPr="009D774E">
        <w:t>Application</w:t>
      </w:r>
    </w:p>
    <w:p w:rsidR="00000000" w:rsidRPr="009D774E" w:rsidP="00A82B18">
      <w:pPr>
        <w:pStyle w:val="BodyText"/>
      </w:pPr>
      <w:r w:rsidRPr="009D774E">
        <w:t>This unit of competency requires application of hand skills and the use of maintenance documentation/publications in the removal and installation of basic aircraft instrument system components</w:t>
      </w:r>
      <w:r w:rsidRPr="009D774E">
        <w:t xml:space="preserve"> of fixed and rotary wing aircraft that have basic instrument systems during scheduled or unscheduled maintenance. Work may be performed individually or as part of a team.</w:t>
      </w:r>
    </w:p>
    <w:p w:rsidR="00000000" w:rsidRPr="009D774E" w:rsidP="00A82B18">
      <w:pPr>
        <w:pStyle w:val="BodyText"/>
      </w:pPr>
      <w:r w:rsidRPr="009D774E">
        <w:t>The unit is part of the Avionic Certificate IV (Aircraft Maintenance Stream) traini</w:t>
      </w:r>
      <w:r w:rsidRPr="009D774E">
        <w:t xml:space="preserve">ng pathway. </w:t>
      </w:r>
    </w:p>
    <w:p w:rsidR="00000000" w:rsidRPr="009D774E" w:rsidP="00A82B18">
      <w:pPr>
        <w:pStyle w:val="BodyText"/>
      </w:pPr>
      <w:r w:rsidRPr="009D774E">
        <w:t xml:space="preserve">The unit is used in workplaces that operate under the airworthiness regulatory systems of the Australian Defence Force (ADF) and the Civil Aviation Safety Authority (CASA). </w:t>
      </w:r>
    </w:p>
    <w:p w:rsidR="00000000" w:rsidRPr="009D774E" w:rsidP="00A82B18">
      <w:pPr>
        <w:pStyle w:val="BodyText"/>
      </w:pPr>
      <w:r w:rsidRPr="009D774E">
        <w:t>Where a CASA licensing outcome is sought this unit forms part of th</w:t>
      </w:r>
      <w:r w:rsidRPr="009D774E">
        <w:t>e CASA requirement for the granting of the chosen maintenance certification licence under Civil Aviation Safety Regulation (CASR) Part 66, in accordance with the licensing provisions in the Companion Volume Implementation Guide.</w:t>
      </w:r>
    </w:p>
    <w:p w:rsidR="00000000" w:rsidRPr="009D774E" w:rsidP="009D774E">
      <w:pPr>
        <w:pStyle w:val="Heading1"/>
      </w:pPr>
      <w:bookmarkStart w:id="3" w:name="O_785703"/>
      <w:bookmarkEnd w:id="3"/>
      <w:r w:rsidRPr="009D774E">
        <w:t>Pre-requis</w:t>
      </w:r>
      <w:r w:rsidRPr="009D774E">
        <w:t>ite Unit</w:t>
      </w:r>
    </w:p>
    <w:tbl>
      <w:tblPr>
        <w:tblW w:w="0" w:type="auto"/>
        <w:tblLayout w:type="fixed"/>
        <w:tblCellMar>
          <w:left w:w="62" w:type="dxa"/>
          <w:right w:w="62" w:type="dxa"/>
        </w:tblCellMar>
        <w:tblLook w:val="0000"/>
      </w:tblPr>
      <w:tblGrid>
        <w:gridCol w:w="1641"/>
        <w:gridCol w:w="7539"/>
      </w:tblGrid>
      <w:tr w:rsidTr="009D774E">
        <w:tblPrEx>
          <w:tblW w:w="0" w:type="auto"/>
          <w:tblLayout w:type="fixed"/>
          <w:tblCellMar>
            <w:left w:w="62" w:type="dxa"/>
            <w:right w:w="62" w:type="dxa"/>
          </w:tblCellMar>
          <w:tblLook w:val="0000"/>
        </w:tblPrEx>
        <w:tc>
          <w:tcPr>
            <w:tcW w:w="1641"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MEA201</w:t>
            </w:r>
          </w:p>
        </w:tc>
        <w:tc>
          <w:tcPr>
            <w:tcW w:w="7539" w:type="dxa"/>
            <w:tcBorders>
              <w:top w:val="nil"/>
              <w:left w:val="nil"/>
              <w:bottom w:val="nil"/>
              <w:right w:val="nil"/>
            </w:tcBorders>
            <w:tcMar>
              <w:top w:w="0" w:type="dxa"/>
              <w:left w:w="62" w:type="dxa"/>
              <w:bottom w:w="0" w:type="dxa"/>
              <w:right w:w="62" w:type="dxa"/>
            </w:tcMar>
          </w:tcPr>
          <w:p w:rsidR="00000000" w:rsidRPr="009D774E" w:rsidP="009D774E">
            <w:pPr>
              <w:pStyle w:val="BodyText"/>
            </w:pPr>
            <w:r w:rsidRPr="009D774E">
              <w:t>Remove and install miscellaneous aircraft electrical hardware/components</w:t>
            </w:r>
          </w:p>
        </w:tc>
      </w:tr>
    </w:tbl>
    <w:p w:rsidR="00000000" w:rsidRPr="009D774E" w:rsidP="009D774E">
      <w:pPr>
        <w:pStyle w:val="BodyText"/>
      </w:pPr>
    </w:p>
    <w:p w:rsidR="00000000" w:rsidRPr="009D774E" w:rsidP="009D774E">
      <w:pPr>
        <w:pStyle w:val="AllowPageBreak"/>
      </w:pPr>
    </w:p>
    <w:p w:rsidR="00000000" w:rsidRPr="009D774E" w:rsidP="009D774E">
      <w:pPr>
        <w:pStyle w:val="Heading1"/>
      </w:pPr>
      <w:bookmarkStart w:id="4" w:name="O_785702"/>
      <w:bookmarkEnd w:id="4"/>
      <w:r w:rsidRPr="009D774E">
        <w:t>Competency Field</w:t>
      </w:r>
    </w:p>
    <w:p w:rsidR="00000000" w:rsidRPr="009D774E" w:rsidP="00A82B18">
      <w:pPr>
        <w:pStyle w:val="BodyText"/>
      </w:pPr>
      <w:r w:rsidRPr="009D774E">
        <w:t>Aviation maintenance</w:t>
      </w:r>
    </w:p>
    <w:p w:rsidR="00000000" w:rsidRPr="009D774E" w:rsidP="009D774E">
      <w:pPr>
        <w:pStyle w:val="Heading1"/>
      </w:pPr>
      <w:bookmarkStart w:id="5" w:name="O_785701"/>
      <w:bookmarkEnd w:id="5"/>
      <w:r w:rsidRPr="009D774E">
        <w:t>Unit Sector</w:t>
      </w:r>
    </w:p>
    <w:p w:rsidR="00000000" w:rsidRPr="009D774E" w:rsidP="009D774E">
      <w:pPr>
        <w:pStyle w:val="Heading1"/>
      </w:pPr>
      <w:bookmarkStart w:id="6" w:name="O_785700"/>
      <w:bookmarkEnd w:id="6"/>
      <w:r w:rsidRPr="009D774E">
        <w:t>Elements and Performance Criteria</w:t>
      </w:r>
    </w:p>
    <w:tbl>
      <w:tblPr>
        <w:tblW w:w="9322" w:type="dxa"/>
        <w:tblLayout w:type="fixed"/>
        <w:tblCellMar>
          <w:left w:w="62" w:type="dxa"/>
          <w:right w:w="62" w:type="dxa"/>
        </w:tblCellMar>
        <w:tblLook w:val="0000"/>
      </w:tblPr>
      <w:tblGrid>
        <w:gridCol w:w="717"/>
        <w:gridCol w:w="2295"/>
        <w:gridCol w:w="574"/>
        <w:gridCol w:w="5736"/>
      </w:tblGrid>
      <w:tr w:rsidTr="009D774E">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 xml:space="preserve">Performance criteria describe the performance needed to demonstrate achievement of the element. </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1.</w:t>
            </w:r>
          </w:p>
        </w:tc>
        <w:tc>
          <w:tcPr>
            <w:tcW w:w="2295"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Remove basic aircraft instrument system components</w:t>
            </w: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1.1</w:t>
            </w:r>
          </w:p>
        </w:tc>
        <w:tc>
          <w:tcPr>
            <w:tcW w:w="5736"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 xml:space="preserve">System is rendered safe and prepared in accordance with </w:t>
            </w:r>
            <w:r w:rsidRPr="009D774E">
              <w:t>the applicable maintenance manual and isolation tags are fitted, where necessary, to ensure personnel safety</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1.2</w:t>
            </w:r>
          </w:p>
        </w:tc>
        <w:tc>
          <w:tcPr>
            <w:tcW w:w="5736"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Instrument component removal is carried out in accordance with the applicable maintenance manual while observing all relevant work health and safety (WHS) requirements</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1.3</w:t>
            </w:r>
          </w:p>
        </w:tc>
        <w:tc>
          <w:tcPr>
            <w:tcW w:w="5736"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 xml:space="preserve">Required maintenance documentation is completed and processed in accordance with </w:t>
            </w:r>
            <w:r w:rsidRPr="009D774E">
              <w:t>standard enterprise procedures</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1.4</w:t>
            </w:r>
          </w:p>
        </w:tc>
        <w:tc>
          <w:tcPr>
            <w:tcW w:w="5736"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Removed components are tagged and packaged in accordance with specified procedures</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2.</w:t>
            </w:r>
          </w:p>
        </w:tc>
        <w:tc>
          <w:tcPr>
            <w:tcW w:w="2295"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Install basic aircraft instrument system components</w:t>
            </w: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2.1</w:t>
            </w:r>
          </w:p>
        </w:tc>
        <w:tc>
          <w:tcPr>
            <w:tcW w:w="5736"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Instrument components to be installed are checked to confirm correct part n</w:t>
            </w:r>
            <w:r w:rsidRPr="009D774E">
              <w:t>umbers, modification status, serviceability and shelf life</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2.2</w:t>
            </w:r>
          </w:p>
        </w:tc>
        <w:tc>
          <w:tcPr>
            <w:tcW w:w="5736"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 xml:space="preserve">Physical installation of instrument components is performed in accordance with the applicable maintenance manual and regulatory requirements, ensuring appropriate </w:t>
            </w:r>
            <w:r w:rsidRPr="009D774E">
              <w:t>adjustment/alignment is carried out</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2.3</w:t>
            </w:r>
          </w:p>
        </w:tc>
        <w:tc>
          <w:tcPr>
            <w:tcW w:w="5736"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System is reinstated to correct operational condition in preparation for testing, as necessary</w:t>
            </w:r>
          </w:p>
        </w:tc>
      </w:tr>
      <w:tr w:rsidTr="009D774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2.4</w:t>
            </w:r>
          </w:p>
        </w:tc>
        <w:tc>
          <w:tcPr>
            <w:tcW w:w="5736" w:type="dxa"/>
            <w:tcBorders>
              <w:top w:val="nil"/>
              <w:left w:val="nil"/>
              <w:bottom w:val="nil"/>
              <w:right w:val="nil"/>
            </w:tcBorders>
            <w:tcMar>
              <w:top w:w="0" w:type="dxa"/>
              <w:left w:w="62" w:type="dxa"/>
              <w:bottom w:w="0" w:type="dxa"/>
              <w:right w:w="62" w:type="dxa"/>
            </w:tcMar>
          </w:tcPr>
          <w:p w:rsidR="00000000" w:rsidRPr="009D774E" w:rsidP="009D774E">
            <w:pPr>
              <w:pStyle w:val="BodyText"/>
            </w:pPr>
            <w:r w:rsidRPr="009D774E">
              <w:t>Required maintenance documentation is completed and processed in accordance with standard enterprise procedures</w:t>
            </w:r>
          </w:p>
        </w:tc>
      </w:tr>
    </w:tbl>
    <w:p w:rsidR="00000000" w:rsidRPr="009D774E" w:rsidP="009D774E">
      <w:pPr>
        <w:pStyle w:val="BodyText"/>
      </w:pPr>
    </w:p>
    <w:p w:rsidR="00000000" w:rsidRPr="009D774E" w:rsidP="009D774E">
      <w:pPr>
        <w:pStyle w:val="AllowPageBreak"/>
      </w:pPr>
    </w:p>
    <w:p w:rsidR="00000000" w:rsidRPr="009D774E" w:rsidP="009D774E">
      <w:pPr>
        <w:pStyle w:val="Heading1"/>
      </w:pPr>
      <w:bookmarkStart w:id="7" w:name="O_785699"/>
      <w:bookmarkEnd w:id="7"/>
      <w:r w:rsidRPr="009D774E">
        <w:t>Foundation Skills</w:t>
      </w:r>
    </w:p>
    <w:p w:rsidR="00000000" w:rsidRPr="009D774E" w:rsidP="00A82B18">
      <w:pPr>
        <w:pStyle w:val="BodyText"/>
      </w:pPr>
      <w:r w:rsidRPr="009D774E">
        <w:t>Foundation skills essential to performance are explicit in the performance criteria of this unit of competency.</w:t>
      </w:r>
    </w:p>
    <w:p w:rsidR="00000000" w:rsidRPr="009D774E" w:rsidP="009D774E">
      <w:pPr>
        <w:pStyle w:val="Heading1"/>
      </w:pPr>
      <w:bookmarkStart w:id="8" w:name="O_785698"/>
      <w:bookmarkEnd w:id="8"/>
      <w:r w:rsidRPr="009D774E">
        <w:t>Range of Conditions</w:t>
      </w:r>
    </w:p>
    <w:tbl>
      <w:tblPr>
        <w:tblW w:w="0" w:type="auto"/>
        <w:tblLayout w:type="fixed"/>
        <w:tblCellMar>
          <w:left w:w="62" w:type="dxa"/>
          <w:right w:w="62" w:type="dxa"/>
        </w:tblCellMar>
        <w:tblLook w:val="0000"/>
      </w:tblPr>
      <w:tblGrid>
        <w:gridCol w:w="3060"/>
        <w:gridCol w:w="6012"/>
      </w:tblGrid>
      <w:tr w:rsidTr="009D77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t>This field allows for different work environments and conditions that</w:t>
            </w:r>
            <w:r w:rsidRPr="009D774E">
              <w:t xml:space="preserve"> may affect performance. Essential operating conditions that may be present (depending on the work situation, needs of the candidate, accessibility of the item, and local industry and regional contexts) are included.</w:t>
            </w:r>
          </w:p>
        </w:tc>
      </w:tr>
      <w:tr w:rsidTr="009D77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rPr>
                <w:rStyle w:val="SpecialBold"/>
              </w:rPr>
              <w:t>Instrument components include:</w:t>
            </w:r>
          </w:p>
        </w:tc>
        <w:tc>
          <w:tcPr>
            <w:tcW w:w="6012" w:type="dxa"/>
            <w:tcBorders>
              <w:top w:val="nil"/>
              <w:left w:val="nil"/>
              <w:bottom w:val="nil"/>
              <w:right w:val="nil"/>
            </w:tcBorders>
            <w:tcMar>
              <w:top w:w="0" w:type="dxa"/>
              <w:left w:w="62" w:type="dxa"/>
              <w:bottom w:w="0" w:type="dxa"/>
              <w:right w:w="62" w:type="dxa"/>
            </w:tcMar>
          </w:tcPr>
          <w:p w:rsidR="00000000" w:rsidRPr="009D774E" w:rsidP="009D774E">
            <w:pPr>
              <w:pStyle w:val="ListBullet"/>
            </w:pPr>
            <w:r w:rsidRPr="009D774E">
              <w:t>Pitot/static system components, airspeed indicators (ASIs), vertical speed indicators (VSIs) and counter pointer altimeters</w:t>
            </w:r>
          </w:p>
          <w:p w:rsidR="00000000" w:rsidRPr="009D774E" w:rsidP="009D774E">
            <w:pPr>
              <w:pStyle w:val="ListBullet"/>
            </w:pPr>
            <w:r w:rsidRPr="009D774E">
              <w:t>Directional gyros (DGs) and artificial horizons (AHs), both air and electrically driven</w:t>
            </w:r>
          </w:p>
          <w:p w:rsidR="00000000" w:rsidRPr="009D774E" w:rsidP="009D774E">
            <w:pPr>
              <w:pStyle w:val="ListBullet"/>
            </w:pPr>
            <w:r w:rsidRPr="009D774E">
              <w:t>Turn and bank and slip/turn coordinators</w:t>
            </w:r>
          </w:p>
          <w:p w:rsidR="00000000" w:rsidRPr="009D774E" w:rsidP="009D774E">
            <w:pPr>
              <w:pStyle w:val="ListBullet"/>
            </w:pPr>
            <w:r w:rsidRPr="009D774E">
              <w:t>Dir</w:t>
            </w:r>
            <w:r w:rsidRPr="009D774E">
              <w:t>ect reading compasses</w:t>
            </w:r>
          </w:p>
          <w:p w:rsidR="00000000" w:rsidRPr="009D774E" w:rsidP="009D774E">
            <w:pPr>
              <w:pStyle w:val="ListBullet"/>
            </w:pPr>
            <w:r w:rsidRPr="009D774E">
              <w:t>Remote reading gyro compasses (where applicable to the enterprise)</w:t>
            </w:r>
          </w:p>
          <w:p w:rsidR="00000000" w:rsidRPr="009D774E" w:rsidP="009D774E">
            <w:pPr>
              <w:pStyle w:val="ListBullet"/>
            </w:pPr>
            <w:r w:rsidRPr="009D774E">
              <w:t>Piston engine indication system components (direct reading measuring instruments and temperature indication)</w:t>
            </w:r>
          </w:p>
          <w:p w:rsidR="00000000" w:rsidRPr="009D774E" w:rsidP="009D774E">
            <w:pPr>
              <w:pStyle w:val="ListBullet"/>
            </w:pPr>
            <w:r w:rsidRPr="009D774E">
              <w:t>Gas turbine engine indication system components (where app</w:t>
            </w:r>
            <w:r w:rsidRPr="009D774E">
              <w:t>licable to the enterprise)</w:t>
            </w:r>
          </w:p>
          <w:p w:rsidR="00000000" w:rsidRPr="009D774E" w:rsidP="009D774E">
            <w:pPr>
              <w:pStyle w:val="ListBullet"/>
            </w:pPr>
            <w:r w:rsidRPr="009D774E">
              <w:t>Outside air temperature gauges (OAT)</w:t>
            </w:r>
          </w:p>
          <w:p w:rsidR="00000000" w:rsidRPr="009D774E" w:rsidP="009D774E">
            <w:pPr>
              <w:pStyle w:val="ListBullet"/>
            </w:pPr>
            <w:r w:rsidRPr="009D774E">
              <w:t>Electrical systems indication (voltage, current, power and frequency)</w:t>
            </w:r>
          </w:p>
          <w:p w:rsidR="00000000" w:rsidRPr="009D774E" w:rsidP="009D774E">
            <w:pPr>
              <w:pStyle w:val="ListBullet"/>
            </w:pPr>
            <w:r w:rsidRPr="009D774E">
              <w:t>Basic fuel quantity indication system components</w:t>
            </w:r>
          </w:p>
          <w:p w:rsidR="00000000" w:rsidP="009D774E">
            <w:pPr>
              <w:pStyle w:val="ListBullet"/>
              <w:rPr>
                <w:lang w:val="en-NZ"/>
              </w:rPr>
            </w:pPr>
            <w:r w:rsidRPr="009D774E">
              <w:t>Pneumatic/vacuum indication system components</w:t>
            </w:r>
          </w:p>
        </w:tc>
      </w:tr>
      <w:tr w:rsidTr="009D77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D774E">
            <w:pPr>
              <w:pStyle w:val="BodyText"/>
              <w:rPr>
                <w:lang w:val="en-NZ"/>
              </w:rPr>
            </w:pPr>
            <w:r w:rsidRPr="009D774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D774E" w:rsidP="009D774E">
            <w:pPr>
              <w:pStyle w:val="ListBullet"/>
            </w:pPr>
            <w:r w:rsidRPr="009D774E">
              <w:t>Industry standard procedures specified by manufacturers, regulatory authorities or the enterprise</w:t>
            </w:r>
          </w:p>
        </w:tc>
      </w:tr>
    </w:tbl>
    <w:p w:rsidR="00000000" w:rsidRPr="009D774E" w:rsidP="009D774E">
      <w:pPr>
        <w:pStyle w:val="BodyText"/>
      </w:pPr>
    </w:p>
    <w:p w:rsidR="00000000" w:rsidRPr="009D774E" w:rsidP="009D774E">
      <w:pPr>
        <w:pStyle w:val="AllowPageBreak"/>
      </w:pPr>
    </w:p>
    <w:p w:rsidR="00000000" w:rsidRPr="009D774E" w:rsidP="009D774E">
      <w:pPr>
        <w:pStyle w:val="Heading1"/>
      </w:pPr>
      <w:bookmarkStart w:id="9" w:name="O_785697"/>
      <w:bookmarkEnd w:id="9"/>
      <w:r w:rsidRPr="009D774E">
        <w:t>Unit Mapping Information</w:t>
      </w:r>
    </w:p>
    <w:p w:rsidR="00000000" w:rsidRPr="009D774E" w:rsidP="00A82B18">
      <w:pPr>
        <w:pStyle w:val="BodyText"/>
      </w:pPr>
      <w:r w:rsidRPr="009D774E">
        <w:t xml:space="preserve">Release 2 – Remote reading gyro compasses and gas turbine engine indication </w:t>
      </w:r>
      <w:r w:rsidRPr="009D774E">
        <w:t>system components added to Range of Conditions and Assessment Requirements. No change in outcome</w:t>
      </w:r>
    </w:p>
    <w:p w:rsidR="00000000" w:rsidRPr="009D774E" w:rsidP="00A82B18">
      <w:pPr>
        <w:pStyle w:val="BodyText"/>
      </w:pPr>
      <w:r w:rsidRPr="009D774E">
        <w:t>Release 1 – equivalent to MEA204C Remove and install basic aircraft instrument system components</w:t>
      </w:r>
    </w:p>
    <w:p w:rsidR="00000000" w:rsidRPr="009D774E" w:rsidP="009D774E">
      <w:pPr>
        <w:pStyle w:val="Heading1"/>
      </w:pPr>
      <w:bookmarkStart w:id="10" w:name="O_785706"/>
      <w:bookmarkEnd w:id="10"/>
      <w:r w:rsidRPr="009D774E">
        <w:t>Links</w:t>
      </w:r>
    </w:p>
    <w:p w:rsidR="00000000" w:rsidRPr="009D774E" w:rsidP="00A82B18">
      <w:pPr>
        <w:pStyle w:val="BodyText"/>
      </w:pPr>
      <w:r w:rsidRPr="009D774E">
        <w:t xml:space="preserve">Companion Volume implementation guides </w:t>
      </w:r>
      <w:r w:rsidRPr="009D774E">
        <w:t xml:space="preserve">are found in VETNet - </w:t>
      </w:r>
      <w:r>
        <w:fldChar w:fldCharType="begin"/>
      </w:r>
      <w:r>
        <w:instrText xml:space="preserve"> HYPERLINK "https://vetnet.gov.au/Pages/TrainingDocs.aspx?q=ce216c9c-04d5-4b3b-9bcf-4e81d0950371" </w:instrText>
      </w:r>
      <w:r>
        <w:fldChar w:fldCharType="separate"/>
      </w:r>
      <w:r w:rsidRPr="0061681A">
        <w:rPr>
          <w:rStyle w:val="Hyperlink"/>
        </w:rPr>
        <w:t>https://vetnet.gov.au/Pages/TrainingDocs.aspx?q=ce216c9c-04d5-4b3b-9bcf-4e81d0950371</w:t>
      </w:r>
      <w:r>
        <w:fldChar w:fldCharType="end"/>
      </w:r>
    </w:p>
    <w:p w:rsidR="00000000" w:rsidRPr="009D774E" w:rsidP="00A82B18">
      <w:pPr>
        <w:pStyle w:val="BodyText"/>
        <w:sectPr w:rsidSect="009D774E">
          <w:headerReference w:type="default" r:id="rId10"/>
          <w:footerReference w:type="default" r:id="rId11"/>
          <w:pgSz w:w="11908" w:h="16833"/>
          <w:pgMar w:top="1702" w:right="1418" w:bottom="1702" w:left="1418" w:header="992" w:footer="992" w:gutter="0"/>
          <w:cols w:space="720"/>
          <w:noEndnote/>
          <w:docGrid w:linePitch="299"/>
        </w:sectPr>
      </w:pPr>
    </w:p>
    <w:p w:rsidR="00000000" w:rsidRPr="009D774E" w:rsidP="009D774E">
      <w:pPr>
        <w:pStyle w:val="SuperHeading"/>
      </w:pPr>
      <w:r w:rsidRPr="009D774E">
        <w:t>Assessment Requirements for MEA204 Remove and install basic aircraft instrument system components</w:t>
      </w:r>
    </w:p>
    <w:p w:rsidR="00000000" w:rsidRPr="009D774E" w:rsidP="009D774E">
      <w:pPr>
        <w:pStyle w:val="Heading1"/>
      </w:pPr>
      <w:bookmarkStart w:id="11" w:name="O_785695"/>
      <w:bookmarkEnd w:id="11"/>
      <w:r w:rsidRPr="009D774E">
        <w:t>Modification History</w:t>
      </w:r>
    </w:p>
    <w:p w:rsidR="00000000" w:rsidRPr="009D774E" w:rsidP="00A82B18">
      <w:pPr>
        <w:pStyle w:val="BodyText"/>
      </w:pPr>
      <w:r w:rsidRPr="009D774E">
        <w:t>Release 2 - Remote reading gyro compasses and gas turbine engine indication system components added to Assessment Requirements</w:t>
      </w:r>
    </w:p>
    <w:p w:rsidR="00000000" w:rsidRPr="009D774E" w:rsidP="00A82B18">
      <w:pPr>
        <w:pStyle w:val="BodyText"/>
      </w:pPr>
      <w:r w:rsidRPr="009D774E">
        <w:t>Release 1 - New unit of competency</w:t>
      </w:r>
    </w:p>
    <w:p w:rsidR="00000000" w:rsidRPr="009D774E" w:rsidP="009D774E">
      <w:pPr>
        <w:pStyle w:val="Heading1"/>
      </w:pPr>
      <w:bookmarkStart w:id="12" w:name="O_785694"/>
      <w:bookmarkEnd w:id="12"/>
      <w:r w:rsidRPr="009D774E">
        <w:t>Performance Evidence</w:t>
      </w:r>
    </w:p>
    <w:p w:rsidR="00000000" w:rsidRPr="009D774E" w:rsidP="00A82B18">
      <w:pPr>
        <w:pStyle w:val="BodyText"/>
      </w:pPr>
      <w:r w:rsidRPr="009D774E">
        <w:t>Evidence required t</w:t>
      </w:r>
      <w:r w:rsidRPr="009D774E">
        <w:t>o demonstrate competency in this unit must be relevant to and satisfy all of the requirements of the elements and performance criteria under the specified conditions of assessment, and must include:</w:t>
      </w:r>
    </w:p>
    <w:p w:rsidR="00000000" w:rsidRPr="009D774E" w:rsidP="009D774E">
      <w:pPr>
        <w:pStyle w:val="ListBullet"/>
      </w:pPr>
      <w:r w:rsidRPr="009D774E">
        <w:t>locating and identifying flight instrument system compon</w:t>
      </w:r>
      <w:r w:rsidRPr="009D774E">
        <w:t>ents comprising:</w:t>
      </w:r>
    </w:p>
    <w:p w:rsidR="00000000" w:rsidRPr="009D774E" w:rsidP="009D774E">
      <w:pPr>
        <w:pStyle w:val="ListBullet2"/>
      </w:pPr>
      <w:r w:rsidRPr="009D774E">
        <w:t>piston engine system temperature, pressure, speed (including mechanical and electrical tachometers), manifold pressure/boost (including aneroid type, sylphon bellows and dual compartment type)</w:t>
      </w:r>
    </w:p>
    <w:p w:rsidR="00000000" w:rsidRPr="009D774E" w:rsidP="009D774E">
      <w:pPr>
        <w:pStyle w:val="ListBullet2"/>
      </w:pPr>
      <w:r w:rsidRPr="009D774E">
        <w:t>gas turbine engine indicating system temperature, pressure, speed, torque, fuel flow and vibration (may be omitted if not relevant to the enterprise)</w:t>
      </w:r>
    </w:p>
    <w:p w:rsidR="00000000" w:rsidRPr="009D774E" w:rsidP="009D774E">
      <w:pPr>
        <w:pStyle w:val="ListBullet2"/>
      </w:pPr>
      <w:r w:rsidRPr="009D774E">
        <w:t>auxiliary direct reading systems, including hydraulic pressure, pneumatic pressure and vacuum, and fuel st</w:t>
      </w:r>
      <w:r w:rsidRPr="009D774E">
        <w:t>orage quantities</w:t>
      </w:r>
    </w:p>
    <w:p w:rsidR="00000000" w:rsidRPr="009D774E" w:rsidP="009D774E">
      <w:pPr>
        <w:pStyle w:val="ListBullet2"/>
      </w:pPr>
      <w:r w:rsidRPr="009D774E">
        <w:t>flight systems, including attitude, altitude, air speed and OAT</w:t>
      </w:r>
    </w:p>
    <w:p w:rsidR="00000000" w:rsidRPr="009D774E" w:rsidP="009D774E">
      <w:pPr>
        <w:pStyle w:val="ListBullet"/>
      </w:pPr>
      <w:r w:rsidRPr="009D774E">
        <w:t>locating and identifying direct reading compasses</w:t>
      </w:r>
    </w:p>
    <w:p w:rsidR="00000000" w:rsidRPr="009D774E" w:rsidP="009D774E">
      <w:pPr>
        <w:pStyle w:val="ListBullet"/>
      </w:pPr>
      <w:r w:rsidRPr="009D774E">
        <w:t>locating and identifying remote reading gyro compass system components (may be omitted if not relevant to enterprise)</w:t>
      </w:r>
    </w:p>
    <w:p w:rsidR="00000000" w:rsidRPr="009D774E" w:rsidP="009D774E">
      <w:pPr>
        <w:pStyle w:val="ListBullet"/>
      </w:pPr>
      <w:r w:rsidRPr="009D774E">
        <w:t>correc</w:t>
      </w:r>
      <w:r w:rsidRPr="009D774E">
        <w:t>t handling and observance of maintenance precautions relating to gyroscopes, gimbals, pitot/static systems (connections, heating and protrusions)</w:t>
      </w:r>
    </w:p>
    <w:p w:rsidR="00000000" w:rsidRPr="009D774E" w:rsidP="009D774E">
      <w:pPr>
        <w:pStyle w:val="ListBullet"/>
      </w:pPr>
      <w:r w:rsidRPr="009D774E">
        <w:t>applying relevant WHS practices.</w:t>
      </w:r>
    </w:p>
    <w:p w:rsidR="00000000" w:rsidRPr="009D774E" w:rsidP="00A82B18">
      <w:pPr>
        <w:pStyle w:val="BodyText"/>
      </w:pPr>
      <w:r w:rsidRPr="009D774E">
        <w:t>It is essential that cleanliness requirements and safety precautions applicab</w:t>
      </w:r>
      <w:r w:rsidRPr="009D774E">
        <w:t>le to the system being maintained are fully observed, understood and complied with, as well as work practices associated with electrostatic sensitive devices.</w:t>
      </w:r>
    </w:p>
    <w:p w:rsidR="00A82B18" w:rsidP="00A82B18">
      <w:pPr>
        <w:pStyle w:val="BodyText"/>
      </w:pPr>
      <w:r w:rsidRPr="009D774E">
        <w:t>Evidence of transferability of skills and knowledge related to removal and installation is essent</w:t>
      </w:r>
      <w:r w:rsidRPr="009D774E">
        <w:t>ial. This is to be demonstrated by application across a range of aircraft instrument system components as listed in the Assessment Conditions.</w:t>
      </w:r>
    </w:p>
    <w:p w:rsidR="00000000" w:rsidRPr="009D774E" w:rsidP="009D774E">
      <w:pPr>
        <w:pStyle w:val="Heading1"/>
      </w:pPr>
      <w:bookmarkStart w:id="13" w:name="O_785693"/>
      <w:bookmarkEnd w:id="13"/>
      <w:r w:rsidRPr="009D774E">
        <w:t>Knowledge Evidence</w:t>
      </w:r>
    </w:p>
    <w:p w:rsidR="00000000" w:rsidRPr="009D774E" w:rsidP="00A82B18">
      <w:pPr>
        <w:pStyle w:val="BodyText"/>
      </w:pPr>
      <w:r w:rsidRPr="009D774E">
        <w:t xml:space="preserve">Evidence required to demonstrate competency in </w:t>
      </w:r>
      <w:r w:rsidRPr="009D774E">
        <w:t>this unit must be relevant to and satisfy all of the requirements of the elements and performance criteria and include knowledge of:</w:t>
      </w:r>
    </w:p>
    <w:p w:rsidR="00000000" w:rsidRPr="009D774E" w:rsidP="009D774E">
      <w:pPr>
        <w:pStyle w:val="ListBullet"/>
      </w:pPr>
      <w:r w:rsidRPr="009D774E">
        <w:t>component attachment methods</w:t>
      </w:r>
    </w:p>
    <w:p w:rsidR="00000000" w:rsidRPr="009D774E" w:rsidP="009D774E">
      <w:pPr>
        <w:pStyle w:val="ListBullet"/>
      </w:pPr>
      <w:r w:rsidRPr="009D774E">
        <w:t>connection of hardware and plugs</w:t>
      </w:r>
    </w:p>
    <w:p w:rsidR="00000000" w:rsidRPr="009D774E" w:rsidP="009D774E">
      <w:pPr>
        <w:pStyle w:val="ListBullet"/>
      </w:pPr>
      <w:r w:rsidRPr="009D774E">
        <w:t>handling precautions relating to:</w:t>
      </w:r>
    </w:p>
    <w:p w:rsidR="00000000" w:rsidRPr="009D774E" w:rsidP="009D774E">
      <w:pPr>
        <w:pStyle w:val="ListBullet2"/>
      </w:pPr>
      <w:r w:rsidRPr="009D774E">
        <w:t>electrostatic sensitive d</w:t>
      </w:r>
      <w:r w:rsidRPr="009D774E">
        <w:t>evices</w:t>
      </w:r>
    </w:p>
    <w:p w:rsidR="00000000" w:rsidRPr="009D774E" w:rsidP="009D774E">
      <w:pPr>
        <w:pStyle w:val="ListBullet2"/>
      </w:pPr>
      <w:r w:rsidRPr="009D774E">
        <w:t>gyroscopes and gimbals</w:t>
      </w:r>
    </w:p>
    <w:p w:rsidR="00000000" w:rsidRPr="009D774E" w:rsidP="009D774E">
      <w:pPr>
        <w:pStyle w:val="ListBullet"/>
      </w:pPr>
      <w:r w:rsidRPr="009D774E">
        <w:t>basic instrument system and component operating principles:</w:t>
      </w:r>
    </w:p>
    <w:p w:rsidR="00000000" w:rsidRPr="009D774E" w:rsidP="009D774E">
      <w:pPr>
        <w:pStyle w:val="ListBullet2"/>
      </w:pPr>
      <w:r w:rsidRPr="009D774E">
        <w:t>atmospherics and barometry</w:t>
      </w:r>
    </w:p>
    <w:p w:rsidR="00000000" w:rsidRPr="009D774E" w:rsidP="009D774E">
      <w:pPr>
        <w:pStyle w:val="ListBullet2"/>
      </w:pPr>
      <w:r w:rsidRPr="009D774E">
        <w:t>terminology and unit of measurement conversion</w:t>
      </w:r>
    </w:p>
    <w:p w:rsidR="00000000" w:rsidRPr="009D774E" w:rsidP="009D774E">
      <w:pPr>
        <w:pStyle w:val="ListBullet2"/>
      </w:pPr>
      <w:r w:rsidRPr="009D774E">
        <w:t>aircraft instrumentation requirements</w:t>
      </w:r>
    </w:p>
    <w:p w:rsidR="00000000" w:rsidRPr="009D774E" w:rsidP="009D774E">
      <w:pPr>
        <w:pStyle w:val="ListBullet2"/>
      </w:pPr>
      <w:r w:rsidRPr="009D774E">
        <w:t>instrument panel layout</w:t>
      </w:r>
    </w:p>
    <w:p w:rsidR="00000000" w:rsidRPr="009D774E" w:rsidP="009D774E">
      <w:pPr>
        <w:pStyle w:val="ListBullet2"/>
      </w:pPr>
      <w:r w:rsidRPr="009D774E">
        <w:t>pressure sensing elements</w:t>
      </w:r>
    </w:p>
    <w:p w:rsidR="00000000" w:rsidRPr="009D774E" w:rsidP="009D774E">
      <w:pPr>
        <w:pStyle w:val="ListBullet2"/>
      </w:pPr>
      <w:r w:rsidRPr="009D774E">
        <w:t>pitot static systems and testing requirements</w:t>
      </w:r>
    </w:p>
    <w:p w:rsidR="00000000" w:rsidRPr="009D774E" w:rsidP="009D774E">
      <w:pPr>
        <w:pStyle w:val="ListBullet2"/>
      </w:pPr>
      <w:r w:rsidRPr="009D774E">
        <w:t>gyroscopic principles</w:t>
      </w:r>
    </w:p>
    <w:p w:rsidR="00000000" w:rsidRPr="009D774E" w:rsidP="009D774E">
      <w:pPr>
        <w:pStyle w:val="ListBullet2"/>
      </w:pPr>
      <w:r w:rsidRPr="009D774E">
        <w:t>direct reading compasses</w:t>
      </w:r>
    </w:p>
    <w:p w:rsidR="00000000" w:rsidRPr="009D774E" w:rsidP="009D774E">
      <w:pPr>
        <w:pStyle w:val="ListBullet2"/>
      </w:pPr>
      <w:r w:rsidRPr="009D774E">
        <w:t>remote reading gyro compasses</w:t>
      </w:r>
    </w:p>
    <w:p w:rsidR="00000000" w:rsidRPr="009D774E" w:rsidP="009D774E">
      <w:pPr>
        <w:pStyle w:val="ListBullet2"/>
      </w:pPr>
      <w:r w:rsidRPr="009D774E">
        <w:t>temperature sensors</w:t>
      </w:r>
    </w:p>
    <w:p w:rsidR="00000000" w:rsidRPr="009D774E" w:rsidP="009D774E">
      <w:pPr>
        <w:pStyle w:val="ListBullet2"/>
      </w:pPr>
      <w:r w:rsidRPr="009D774E">
        <w:t>fluid quantity indication systems</w:t>
      </w:r>
    </w:p>
    <w:p w:rsidR="00000000" w:rsidRPr="009D774E" w:rsidP="009D774E">
      <w:pPr>
        <w:pStyle w:val="ListBullet"/>
      </w:pPr>
      <w:r w:rsidRPr="009D774E">
        <w:t>general layout and components of the following systems:</w:t>
      </w:r>
    </w:p>
    <w:p w:rsidR="00000000" w:rsidRPr="009D774E" w:rsidP="009D774E">
      <w:pPr>
        <w:pStyle w:val="ListBullet2"/>
      </w:pPr>
      <w:r w:rsidRPr="009D774E">
        <w:t>flight systems, inclu</w:t>
      </w:r>
      <w:r w:rsidRPr="009D774E">
        <w:t>ding:</w:t>
      </w:r>
    </w:p>
    <w:p w:rsidR="00000000" w:rsidRPr="009D774E" w:rsidP="009D774E">
      <w:pPr>
        <w:pStyle w:val="ListBullet3"/>
      </w:pPr>
      <w:r w:rsidRPr="009D774E">
        <w:t>altitude (direct reading altimeters)</w:t>
      </w:r>
    </w:p>
    <w:p w:rsidR="00000000" w:rsidRPr="009D774E" w:rsidP="009D774E">
      <w:pPr>
        <w:pStyle w:val="ListBullet3"/>
      </w:pPr>
      <w:r w:rsidRPr="009D774E">
        <w:t>attitude, including directional gyros and artificial horizons (both air and electrically driven), turn and slip and turn coordinator</w:t>
      </w:r>
    </w:p>
    <w:p w:rsidR="00000000" w:rsidRPr="009D774E" w:rsidP="009D774E">
      <w:pPr>
        <w:pStyle w:val="ListBullet3"/>
      </w:pPr>
      <w:r w:rsidRPr="009D774E">
        <w:t>airspeed</w:t>
      </w:r>
    </w:p>
    <w:p w:rsidR="00000000" w:rsidRPr="009D774E" w:rsidP="009D774E">
      <w:pPr>
        <w:pStyle w:val="ListBullet3"/>
      </w:pPr>
      <w:r w:rsidRPr="009D774E">
        <w:t>OAT</w:t>
      </w:r>
    </w:p>
    <w:p w:rsidR="00000000" w:rsidRPr="009D774E" w:rsidP="009D774E">
      <w:pPr>
        <w:pStyle w:val="ListBullet2"/>
      </w:pPr>
      <w:r w:rsidRPr="009D774E">
        <w:t>remote reading gyro compass system</w:t>
      </w:r>
    </w:p>
    <w:p w:rsidR="00000000" w:rsidRPr="009D774E" w:rsidP="009D774E">
      <w:pPr>
        <w:pStyle w:val="ListBullet2"/>
      </w:pPr>
      <w:r w:rsidRPr="009D774E">
        <w:t>piton engine indication systems, including:</w:t>
      </w:r>
    </w:p>
    <w:p w:rsidR="00000000" w:rsidRPr="009D774E" w:rsidP="009D774E">
      <w:pPr>
        <w:pStyle w:val="ListBullet3"/>
      </w:pPr>
      <w:r w:rsidRPr="009D774E">
        <w:t>direct reading temperature</w:t>
      </w:r>
    </w:p>
    <w:p w:rsidR="00000000" w:rsidRPr="009D774E" w:rsidP="009D774E">
      <w:pPr>
        <w:pStyle w:val="ListBullet3"/>
      </w:pPr>
      <w:r w:rsidRPr="009D774E">
        <w:t>direct reading pressure (e.g. oil pressure)</w:t>
      </w:r>
    </w:p>
    <w:p w:rsidR="00000000" w:rsidRPr="009D774E" w:rsidP="009D774E">
      <w:pPr>
        <w:pStyle w:val="ListBullet3"/>
      </w:pPr>
      <w:r w:rsidRPr="009D774E">
        <w:t>speed, including mechanical and electric tachometers</w:t>
      </w:r>
    </w:p>
    <w:p w:rsidR="00000000" w:rsidRPr="009D774E" w:rsidP="009D774E">
      <w:pPr>
        <w:pStyle w:val="ListBullet3"/>
      </w:pPr>
      <w:r w:rsidRPr="009D774E">
        <w:t>manifold pressure/boost, including aneroid, sylphon bellows and dual compartment types</w:t>
      </w:r>
    </w:p>
    <w:p w:rsidR="00000000" w:rsidRPr="009D774E" w:rsidP="009D774E">
      <w:pPr>
        <w:pStyle w:val="ListBullet2"/>
      </w:pPr>
      <w:r w:rsidRPr="009D774E">
        <w:t>gas turbine engine indication systems, including:</w:t>
      </w:r>
    </w:p>
    <w:p w:rsidR="00000000" w:rsidRPr="009D774E" w:rsidP="009D774E">
      <w:pPr>
        <w:pStyle w:val="ListBullet3"/>
      </w:pPr>
      <w:r w:rsidRPr="009D774E">
        <w:t xml:space="preserve">temperature and pressure </w:t>
      </w:r>
    </w:p>
    <w:p w:rsidR="00000000" w:rsidRPr="009D774E" w:rsidP="009D774E">
      <w:pPr>
        <w:pStyle w:val="ListBullet3"/>
      </w:pPr>
      <w:r w:rsidRPr="009D774E">
        <w:t>speed, including mechanical and electric tachometers</w:t>
      </w:r>
    </w:p>
    <w:p w:rsidR="00000000" w:rsidRPr="009D774E" w:rsidP="009D774E">
      <w:pPr>
        <w:pStyle w:val="ListBullet3"/>
      </w:pPr>
      <w:r w:rsidRPr="009D774E">
        <w:t>torque</w:t>
      </w:r>
    </w:p>
    <w:p w:rsidR="00000000" w:rsidRPr="009D774E" w:rsidP="009D774E">
      <w:pPr>
        <w:pStyle w:val="ListBullet3"/>
      </w:pPr>
      <w:r w:rsidRPr="009D774E">
        <w:t>fuel flow</w:t>
      </w:r>
    </w:p>
    <w:p w:rsidR="00000000" w:rsidRPr="009D774E" w:rsidP="009D774E">
      <w:pPr>
        <w:pStyle w:val="ListBullet3"/>
      </w:pPr>
      <w:r w:rsidRPr="009D774E">
        <w:t>vibration</w:t>
      </w:r>
    </w:p>
    <w:p w:rsidR="00000000" w:rsidRPr="009D774E" w:rsidP="009D774E">
      <w:pPr>
        <w:pStyle w:val="ListBullet2"/>
      </w:pPr>
      <w:r w:rsidRPr="009D774E">
        <w:t>auxiliary direct reading systems, including:</w:t>
      </w:r>
    </w:p>
    <w:p w:rsidR="00000000" w:rsidRPr="009D774E" w:rsidP="009D774E">
      <w:pPr>
        <w:pStyle w:val="ListBullet3"/>
      </w:pPr>
      <w:r w:rsidRPr="009D774E">
        <w:t>electrical</w:t>
      </w:r>
    </w:p>
    <w:p w:rsidR="00000000" w:rsidRPr="009D774E" w:rsidP="009D774E">
      <w:pPr>
        <w:pStyle w:val="ListBullet3"/>
      </w:pPr>
      <w:r w:rsidRPr="009D774E">
        <w:t>hydraulic pressure</w:t>
      </w:r>
    </w:p>
    <w:p w:rsidR="00000000" w:rsidRPr="009D774E" w:rsidP="009D774E">
      <w:pPr>
        <w:pStyle w:val="ListBullet3"/>
      </w:pPr>
      <w:r w:rsidRPr="009D774E">
        <w:t>pneumatic pressure and vacuum</w:t>
      </w:r>
    </w:p>
    <w:p w:rsidR="00000000" w:rsidRPr="009D774E" w:rsidP="009D774E">
      <w:pPr>
        <w:pStyle w:val="ListBullet3"/>
      </w:pPr>
      <w:r w:rsidRPr="009D774E">
        <w:t>basic fuel quantity indication</w:t>
      </w:r>
    </w:p>
    <w:p w:rsidR="00000000" w:rsidRPr="009D774E" w:rsidP="009D774E">
      <w:pPr>
        <w:pStyle w:val="ListBullet"/>
      </w:pPr>
      <w:r w:rsidRPr="009D774E">
        <w:t>relevant WHS practices</w:t>
      </w:r>
    </w:p>
    <w:p w:rsidR="00000000" w:rsidRPr="009D774E" w:rsidP="009D774E">
      <w:pPr>
        <w:pStyle w:val="ListBullet"/>
      </w:pPr>
      <w:r w:rsidRPr="009D774E">
        <w:t>relevant maintenance manuals</w:t>
      </w:r>
    </w:p>
    <w:p w:rsidR="00000000" w:rsidRPr="009D774E" w:rsidP="009D774E">
      <w:pPr>
        <w:pStyle w:val="ListBullet"/>
      </w:pPr>
      <w:r w:rsidRPr="009D774E">
        <w:t>relevant regulatory requirements and standard procedures.</w:t>
      </w:r>
    </w:p>
    <w:p w:rsidR="00000000" w:rsidRPr="009D774E" w:rsidP="009D774E">
      <w:pPr>
        <w:pStyle w:val="AllowPageBreak"/>
      </w:pPr>
    </w:p>
    <w:p w:rsidR="00000000" w:rsidRPr="009D774E" w:rsidP="009D774E">
      <w:pPr>
        <w:pStyle w:val="Heading1"/>
      </w:pPr>
      <w:bookmarkStart w:id="14" w:name="O_785692"/>
      <w:bookmarkEnd w:id="14"/>
      <w:r w:rsidRPr="009D774E">
        <w:t>Assessment Conditions</w:t>
      </w:r>
    </w:p>
    <w:p w:rsidR="00000000" w:rsidRPr="009D774E" w:rsidP="009D774E">
      <w:pPr>
        <w:pStyle w:val="ListBullet"/>
      </w:pPr>
      <w:r w:rsidRPr="009D774E">
        <w:t>Competency should be assessed in the workplace or simulated workplace using tools and equipment specified in maintenance manuals. It is also expected that general-purpose tools, test and ground support equipment found in most routine maintenance situations</w:t>
      </w:r>
      <w:r w:rsidRPr="009D774E">
        <w:t xml:space="preserve"> would be used where appropriate.</w:t>
      </w:r>
    </w:p>
    <w:p w:rsidR="00000000" w:rsidRPr="009D774E" w:rsidP="009D774E">
      <w:pPr>
        <w:pStyle w:val="ListBullet"/>
      </w:pPr>
      <w:r w:rsidRPr="009D774E">
        <w:t>An understanding of the attachment methods, connection of hardware, and the need for adjustment or calibration and system operation as they relate to the work must be demonstrated before undertaking any action. The work pl</w:t>
      </w:r>
      <w:r w:rsidRPr="009D774E">
        <w:t>an should take account of applicable safety and quality requirements in accordance with the industry and regulatory standards.</w:t>
      </w:r>
    </w:p>
    <w:p w:rsidR="00000000" w:rsidRPr="009D774E" w:rsidP="009D774E">
      <w:pPr>
        <w:pStyle w:val="ListBullet"/>
      </w:pPr>
      <w:r w:rsidRPr="009D774E">
        <w:t>The following conditions of assessment represent the requirements of the Regulators (ADF and CASA) and maintenance stakeholders a</w:t>
      </w:r>
      <w:r w:rsidRPr="009D774E">
        <w:t xml:space="preserve">nd must be rigorously observed. </w:t>
      </w:r>
    </w:p>
    <w:p w:rsidR="00000000" w:rsidRPr="009D774E" w:rsidP="009D774E">
      <w:pPr>
        <w:pStyle w:val="ListBullet"/>
      </w:pPr>
      <w:r w:rsidRPr="009D774E">
        <w:t xml:space="preserve">A person cannot be assessed as competent until it can be demonstrated to the satisfaction of the workplace assessor that the relevant elements and performance criteria of the unit of competency are being achieved </w:t>
      </w:r>
      <w:r w:rsidRPr="009D774E">
        <w:t>under rout</w:t>
      </w:r>
      <w:r w:rsidRPr="009D774E">
        <w:t>ine supervision on at least one (1) component from each of:</w:t>
      </w:r>
    </w:p>
    <w:p w:rsidR="00000000" w:rsidRPr="009D774E" w:rsidP="009D774E">
      <w:pPr>
        <w:pStyle w:val="ListBullet2"/>
      </w:pPr>
      <w:r w:rsidRPr="009D774E">
        <w:t>pitot/static system components, ASIs, VSIs and counter pointer altimeters</w:t>
      </w:r>
    </w:p>
    <w:p w:rsidR="00000000" w:rsidRPr="009D774E" w:rsidP="009D774E">
      <w:pPr>
        <w:pStyle w:val="ListBullet2"/>
      </w:pPr>
      <w:r w:rsidRPr="009D774E">
        <w:t>DGs and AHs, both air and electrically driven</w:t>
      </w:r>
    </w:p>
    <w:p w:rsidR="00000000" w:rsidRPr="009D774E" w:rsidP="009D774E">
      <w:pPr>
        <w:pStyle w:val="ListBullet2"/>
      </w:pPr>
      <w:r w:rsidRPr="009D774E">
        <w:t>turn and bank and slip/turn coordinators</w:t>
      </w:r>
    </w:p>
    <w:p w:rsidR="00000000" w:rsidRPr="009D774E" w:rsidP="009D774E">
      <w:pPr>
        <w:pStyle w:val="ListBullet2"/>
      </w:pPr>
      <w:r w:rsidRPr="009D774E">
        <w:t>remote reading gyro compass system</w:t>
      </w:r>
      <w:r w:rsidRPr="009D774E">
        <w:t xml:space="preserve"> (may be omitted if not relevant to the enterprise)</w:t>
      </w:r>
    </w:p>
    <w:p w:rsidR="00000000" w:rsidRPr="009D774E" w:rsidP="009D774E">
      <w:pPr>
        <w:pStyle w:val="ListBullet2"/>
      </w:pPr>
      <w:r w:rsidRPr="009D774E">
        <w:t>direct reading compasses</w:t>
      </w:r>
    </w:p>
    <w:p w:rsidR="00000000" w:rsidRPr="009D774E" w:rsidP="009D774E">
      <w:pPr>
        <w:pStyle w:val="ListBullet2"/>
      </w:pPr>
      <w:r w:rsidRPr="009D774E">
        <w:t>piston engine indication system components (direct reading measuring instruments and temperature indication)</w:t>
      </w:r>
    </w:p>
    <w:p w:rsidR="00000000" w:rsidRPr="009D774E" w:rsidP="009D774E">
      <w:pPr>
        <w:pStyle w:val="ListBullet2"/>
      </w:pPr>
      <w:r w:rsidRPr="009D774E">
        <w:t>gas turbine engine indication system components (may be omitted if not relevant to the enterprise)</w:t>
      </w:r>
    </w:p>
    <w:p w:rsidR="00000000" w:rsidRPr="009D774E" w:rsidP="009D774E">
      <w:pPr>
        <w:pStyle w:val="ListBullet2"/>
      </w:pPr>
      <w:r w:rsidRPr="009D774E">
        <w:t>electrical systems indication (voltage, current, power and frequency)</w:t>
      </w:r>
    </w:p>
    <w:p w:rsidR="00000000" w:rsidRPr="009D774E" w:rsidP="009D774E">
      <w:pPr>
        <w:pStyle w:val="ListBullet2"/>
      </w:pPr>
      <w:r w:rsidRPr="009D774E">
        <w:t>basic fuel quantity indication system components</w:t>
      </w:r>
    </w:p>
    <w:p w:rsidR="00000000" w:rsidRPr="009D774E" w:rsidP="009D774E">
      <w:pPr>
        <w:pStyle w:val="ListBullet2"/>
      </w:pPr>
      <w:r w:rsidRPr="009D774E">
        <w:t>pneumatic/vacuum indication system com</w:t>
      </w:r>
      <w:r w:rsidRPr="009D774E">
        <w:t>ponents.</w:t>
      </w:r>
    </w:p>
    <w:p w:rsidR="00000000" w:rsidRPr="009D774E" w:rsidP="009D774E">
      <w:pPr>
        <w:pStyle w:val="ListBullet"/>
      </w:pPr>
      <w:r w:rsidRPr="009D774E">
        <w:t>This shall be established via the records in the Log of Industrial Experience and Achievement or, where appropriate, an equivalent Industry Evidence Guide (for details refer to the Companion Volume Assessment Guidelines).</w:t>
      </w:r>
    </w:p>
    <w:p w:rsidR="00000000" w:rsidRPr="009D774E" w:rsidP="009D774E">
      <w:pPr>
        <w:pStyle w:val="ListBullet"/>
      </w:pPr>
      <w:r w:rsidRPr="009D774E">
        <w:t>Assessors must satisfy t</w:t>
      </w:r>
      <w:r w:rsidRPr="009D774E">
        <w:t>he requirements of the National Vocational Education and Training Regulator (Australian Skills Quality Authority, or its successors).</w:t>
      </w:r>
    </w:p>
    <w:p w:rsidR="00000000" w:rsidRPr="009D774E" w:rsidP="009D774E">
      <w:pPr>
        <w:pStyle w:val="ListBullet"/>
      </w:pPr>
      <w:r w:rsidRPr="009D774E">
        <w:t>Where the unit is to be used for CASA licensing purposes the Assessor must also meet the criteria specified in the CASR Pa</w:t>
      </w:r>
      <w:r w:rsidRPr="009D774E">
        <w:t>rt 147 Manual of Standards.</w:t>
      </w:r>
    </w:p>
    <w:p w:rsidR="00000000" w:rsidRPr="009D774E" w:rsidP="009D774E">
      <w:pPr>
        <w:pStyle w:val="ListBullet"/>
      </w:pPr>
      <w:r w:rsidRPr="009D774E">
        <w:t>Individuals being assessed who have already attained MEA275 Maintain basic light aircraft instrument systems and components will have met all of the criteria for this unit. The Log of Industrial Experience and Achievement record</w:t>
      </w:r>
      <w:r w:rsidRPr="009D774E">
        <w:t>s relating to MEA275 Maintain basic light aircraft instrument systems and components may be accepted as also meeting the evidence requirements for this unit.</w:t>
      </w:r>
    </w:p>
    <w:p w:rsidR="00000000" w:rsidRPr="009D774E" w:rsidP="009D774E">
      <w:pPr>
        <w:pStyle w:val="AllowPageBreak"/>
      </w:pPr>
    </w:p>
    <w:p w:rsidR="00000000" w:rsidRPr="009D774E" w:rsidP="009D774E">
      <w:pPr>
        <w:pStyle w:val="Heading1"/>
      </w:pPr>
      <w:bookmarkStart w:id="15" w:name="O_785707"/>
      <w:bookmarkEnd w:id="15"/>
      <w:r w:rsidRPr="009D774E">
        <w:t>Links</w:t>
      </w:r>
    </w:p>
    <w:p w:rsidR="00000000" w:rsidRPr="009D774E" w:rsidP="00A82B18">
      <w:pPr>
        <w:pStyle w:val="BodyText"/>
      </w:pPr>
      <w:r w:rsidRPr="009D774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1681A">
        <w:rPr>
          <w:rStyle w:val="Hyperlink"/>
        </w:rPr>
        <w:t>https://vetnet.gov.au/Pages/TrainingDocs.aspx?q=ce216c9c-04d5-4b3b-9bcf-4e81d0950371</w:t>
      </w:r>
      <w:r>
        <w:fldChar w:fldCharType="end"/>
      </w:r>
    </w:p>
    <w:p w:rsidR="00000000" w:rsidRPr="009D774E" w:rsidP="009D774E"/>
    <w:sectPr w:rsidSect="009D77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74E" w:rsidRPr="00A82B18" w:rsidP="00A82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18" w:rsidP="009D7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2B18" w:rsidP="009D77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2B18" w:rsidP="009D77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74E" w:rsidP="009D774E">
    <w:pPr>
      <w:pStyle w:val="Footer"/>
      <w:framePr w:wrap="around"/>
    </w:pPr>
    <w:r>
      <w:fldChar w:fldCharType="begin"/>
    </w:r>
    <w:r>
      <w:instrText xml:space="preserve"> DOCPROPERTY  Subject  \* MERGEFORMAT </w:instrText>
    </w:r>
    <w:r>
      <w:fldChar w:fldCharType="separate"/>
    </w:r>
    <w:r w:rsidR="00A82B18">
      <w:t>Approved</w:t>
    </w:r>
    <w:r w:rsidR="00A82B18">
      <w:fldChar w:fldCharType="end"/>
    </w:r>
    <w:r>
      <w:tab/>
      <w:t xml:space="preserve">Page </w:t>
    </w:r>
    <w:r>
      <w:fldChar w:fldCharType="begin"/>
    </w:r>
    <w:r>
      <w:instrText xml:space="preserve"> PAGE  \* Arabic  \* MERGEFORMAT </w:instrText>
    </w:r>
    <w:r>
      <w:fldChar w:fldCharType="separate"/>
    </w:r>
    <w:r w:rsidR="00A82B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B18">
      <w:rPr>
        <w:noProof/>
      </w:rPr>
      <w:t>5</w:t>
    </w:r>
    <w:r>
      <w:rPr>
        <w:noProof/>
      </w:rPr>
      <w:fldChar w:fldCharType="end"/>
    </w:r>
  </w:p>
  <w:p w:rsidR="009D774E" w:rsidP="009D774E">
    <w:pPr>
      <w:pStyle w:val="Footer"/>
      <w:framePr w:wrap="around"/>
    </w:pPr>
    <w:r>
      <w:t xml:space="preserve">© Commonwealth of Australia, </w:t>
    </w:r>
    <w:r>
      <w:fldChar w:fldCharType="begin"/>
    </w:r>
    <w:r>
      <w:instrText xml:space="preserve"> DATE  \@ "yyyy"  \* MERGEFORMAT </w:instrText>
    </w:r>
    <w:r>
      <w:fldChar w:fldCharType="separate"/>
    </w:r>
    <w:r w:rsidR="00A82B18">
      <w:rPr>
        <w:noProof/>
      </w:rPr>
      <w:t>2025</w:t>
    </w:r>
    <w:r>
      <w:fldChar w:fldCharType="end"/>
    </w:r>
    <w:r>
      <w:tab/>
    </w:r>
    <w:r>
      <w:fldChar w:fldCharType="begin"/>
    </w:r>
    <w:r>
      <w:instrText xml:space="preserve"> DOCPROPERTY  Author  \* MERGEFORMAT </w:instrText>
    </w:r>
    <w:r>
      <w:fldChar w:fldCharType="separate"/>
    </w:r>
    <w:r w:rsidR="00A82B18">
      <w:t>Manufacturing Industry Skills Alliance</w:t>
    </w:r>
    <w:r w:rsidR="00A82B18">
      <w:fldChar w:fldCharType="end"/>
    </w:r>
  </w:p>
  <w:p w:rsidR="009D774E" w:rsidP="009D7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74E" w:rsidRPr="00A82B18" w:rsidP="00A82B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B18" w:rsidRPr="002D2AF8" w:rsidP="009D774E">
    <w:pPr>
      <w:pStyle w:val="Header"/>
      <w:framePr w:wrap="around"/>
    </w:pPr>
    <w:r>
      <w:fldChar w:fldCharType="begin"/>
    </w:r>
    <w:r>
      <w:instrText xml:space="preserve"> TITLE   \* MERGEFORMAT </w:instrText>
    </w:r>
    <w:r>
      <w:fldChar w:fldCharType="separate"/>
    </w:r>
    <w:r>
      <w:t>MEA204 Remove and install basic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B18" w:rsidP="009D77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74E" w:rsidRPr="002D2AF8" w:rsidP="009D774E">
    <w:pPr>
      <w:pStyle w:val="Header"/>
      <w:framePr w:wrap="around"/>
    </w:pPr>
    <w:r>
      <w:fldChar w:fldCharType="begin"/>
    </w:r>
    <w:r>
      <w:instrText xml:space="preserve"> TITLE   \* MERGEFORMAT </w:instrText>
    </w:r>
    <w:r>
      <w:fldChar w:fldCharType="separate"/>
    </w:r>
    <w:r w:rsidR="00A82B18">
      <w:t>MEA204 Remove and install basic aircraft instrument system components</w:t>
    </w:r>
    <w:r w:rsidR="00A82B18">
      <w:fldChar w:fldCharType="end"/>
    </w:r>
    <w:r>
      <w:tab/>
      <w:t xml:space="preserve">Date this document was generated: </w:t>
    </w:r>
    <w:r>
      <w:fldChar w:fldCharType="begin"/>
    </w:r>
    <w:r>
      <w:instrText xml:space="preserve"> CREATEDATE  \@ "d MMMM yyyy"  \* MERGEFORMAT </w:instrText>
    </w:r>
    <w:r>
      <w:fldChar w:fldCharType="separate"/>
    </w:r>
    <w:r w:rsidR="00A82B18">
      <w:rPr>
        <w:noProof/>
      </w:rPr>
      <w:t>2 March 2025</w:t>
    </w:r>
    <w:r>
      <w:fldChar w:fldCharType="end"/>
    </w:r>
  </w:p>
  <w:p w:rsidR="009D774E" w:rsidP="009D7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E7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6E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E07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74E"/>
    <w:pPr>
      <w:spacing w:before="360" w:after="60"/>
      <w:outlineLvl w:val="0"/>
    </w:pPr>
    <w:rPr>
      <w:sz w:val="32"/>
    </w:rPr>
  </w:style>
  <w:style w:type="paragraph" w:styleId="Heading2">
    <w:name w:val="heading 2"/>
    <w:basedOn w:val="HeadingBase"/>
    <w:next w:val="BodyText"/>
    <w:link w:val="Heading2Char"/>
    <w:qFormat/>
    <w:rsid w:val="009D774E"/>
    <w:pPr>
      <w:keepLines/>
      <w:spacing w:before="240" w:after="120"/>
      <w:outlineLvl w:val="1"/>
    </w:pPr>
    <w:rPr>
      <w:sz w:val="28"/>
      <w:szCs w:val="40"/>
    </w:rPr>
  </w:style>
  <w:style w:type="paragraph" w:styleId="Heading3">
    <w:name w:val="heading 3"/>
    <w:basedOn w:val="HeadingBase"/>
    <w:next w:val="BodyText"/>
    <w:link w:val="Heading3Char"/>
    <w:qFormat/>
    <w:rsid w:val="009D774E"/>
    <w:pPr>
      <w:spacing w:before="180" w:after="120"/>
      <w:outlineLvl w:val="2"/>
    </w:pPr>
    <w:rPr>
      <w:spacing w:val="-10"/>
      <w:kern w:val="32"/>
    </w:rPr>
  </w:style>
  <w:style w:type="paragraph" w:styleId="Heading4">
    <w:name w:val="heading 4"/>
    <w:basedOn w:val="HeadingBase"/>
    <w:next w:val="BodyText"/>
    <w:link w:val="Heading4Char"/>
    <w:qFormat/>
    <w:rsid w:val="009D774E"/>
    <w:pPr>
      <w:spacing w:before="160" w:after="120"/>
      <w:outlineLvl w:val="3"/>
    </w:pPr>
    <w:rPr>
      <w:sz w:val="22"/>
    </w:rPr>
  </w:style>
  <w:style w:type="paragraph" w:styleId="Heading5">
    <w:name w:val="heading 5"/>
    <w:basedOn w:val="HeadingBase"/>
    <w:next w:val="Normal"/>
    <w:link w:val="Heading5Char"/>
    <w:qFormat/>
    <w:rsid w:val="009D774E"/>
    <w:pPr>
      <w:spacing w:before="80"/>
      <w:outlineLvl w:val="4"/>
    </w:pPr>
    <w:rPr>
      <w:color w:val="918585"/>
      <w:sz w:val="20"/>
    </w:rPr>
  </w:style>
  <w:style w:type="paragraph" w:styleId="Heading6">
    <w:name w:val="heading 6"/>
    <w:basedOn w:val="HeadingBase"/>
    <w:next w:val="Normal"/>
    <w:link w:val="Heading6Char"/>
    <w:qFormat/>
    <w:rsid w:val="009D774E"/>
    <w:pPr>
      <w:spacing w:before="60"/>
      <w:outlineLvl w:val="5"/>
    </w:pPr>
    <w:rPr>
      <w:color w:val="918585"/>
      <w:sz w:val="20"/>
    </w:rPr>
  </w:style>
  <w:style w:type="paragraph" w:styleId="Heading7">
    <w:name w:val="heading 7"/>
    <w:basedOn w:val="Normal"/>
    <w:next w:val="Normal"/>
    <w:link w:val="Heading7Char"/>
    <w:qFormat/>
    <w:rsid w:val="009D774E"/>
    <w:pPr>
      <w:ind w:left="720"/>
      <w:outlineLvl w:val="6"/>
    </w:pPr>
    <w:rPr>
      <w:i/>
    </w:rPr>
  </w:style>
  <w:style w:type="paragraph" w:styleId="Heading8">
    <w:name w:val="heading 8"/>
    <w:basedOn w:val="Normal"/>
    <w:next w:val="Normal"/>
    <w:link w:val="Heading8Char"/>
    <w:qFormat/>
    <w:rsid w:val="009D774E"/>
    <w:pPr>
      <w:ind w:left="720"/>
      <w:outlineLvl w:val="7"/>
    </w:pPr>
    <w:rPr>
      <w:i/>
    </w:rPr>
  </w:style>
  <w:style w:type="paragraph" w:styleId="Heading9">
    <w:name w:val="heading 9"/>
    <w:basedOn w:val="Normal"/>
    <w:next w:val="Normal"/>
    <w:link w:val="Heading9Char"/>
    <w:qFormat/>
    <w:rsid w:val="009D774E"/>
    <w:pPr>
      <w:ind w:left="720"/>
      <w:outlineLvl w:val="8"/>
    </w:pPr>
    <w:rPr>
      <w:i/>
    </w:rPr>
  </w:style>
  <w:style w:type="character" w:default="1" w:styleId="DefaultParagraphFont">
    <w:name w:val="Default Paragraph Font"/>
    <w:uiPriority w:val="1"/>
    <w:unhideWhenUsed/>
    <w:rsid w:val="009D7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74E"/>
  </w:style>
  <w:style w:type="character" w:customStyle="1" w:styleId="Heading1Char">
    <w:name w:val="Heading 1 Char"/>
    <w:basedOn w:val="DefaultParagraphFont"/>
    <w:link w:val="Heading1"/>
    <w:rsid w:val="009D774E"/>
    <w:rPr>
      <w:rFonts w:ascii="Times New Roman" w:eastAsia="Times New Roman" w:hAnsi="Times New Roman" w:cs="Times New Roman"/>
      <w:b/>
      <w:sz w:val="32"/>
      <w:szCs w:val="20"/>
      <w:lang w:eastAsia="en-US"/>
    </w:rPr>
  </w:style>
  <w:style w:type="paragraph" w:styleId="BodyText">
    <w:name w:val="Body Text"/>
    <w:basedOn w:val="Normal"/>
    <w:link w:val="BodyTextChar"/>
    <w:rsid w:val="009D7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74E"/>
    <w:rPr>
      <w:rFonts w:ascii="Times New Roman" w:eastAsia="Times New Roman" w:hAnsi="Times New Roman" w:cs="Times New Roman"/>
      <w:sz w:val="24"/>
      <w:lang w:eastAsia="en-US"/>
    </w:rPr>
  </w:style>
  <w:style w:type="paragraph" w:styleId="ListBullet">
    <w:name w:val="List Bullet"/>
    <w:basedOn w:val="List"/>
    <w:rsid w:val="009D774E"/>
    <w:pPr>
      <w:numPr>
        <w:numId w:val="13"/>
      </w:numPr>
      <w:tabs>
        <w:tab w:val="clear" w:pos="340"/>
      </w:tabs>
      <w:spacing w:before="40" w:after="40"/>
    </w:pPr>
  </w:style>
  <w:style w:type="character" w:customStyle="1" w:styleId="SpecialBold">
    <w:name w:val="Special Bold"/>
    <w:basedOn w:val="DefaultParagraphFont"/>
    <w:rsid w:val="009D774E"/>
    <w:rPr>
      <w:b/>
      <w:spacing w:val="0"/>
    </w:rPr>
  </w:style>
  <w:style w:type="paragraph" w:styleId="ListBullet2">
    <w:name w:val="List Bullet 2"/>
    <w:basedOn w:val="List2"/>
    <w:rsid w:val="009D774E"/>
    <w:pPr>
      <w:numPr>
        <w:numId w:val="14"/>
      </w:numPr>
      <w:tabs>
        <w:tab w:val="clear" w:pos="680"/>
      </w:tabs>
    </w:pPr>
  </w:style>
  <w:style w:type="paragraph" w:customStyle="1" w:styleId="SuperHeading">
    <w:name w:val="SuperHeading"/>
    <w:basedOn w:val="Normal"/>
    <w:rsid w:val="009D774E"/>
    <w:pPr>
      <w:spacing w:before="240" w:after="120"/>
      <w:outlineLvl w:val="0"/>
    </w:pPr>
    <w:rPr>
      <w:rFonts w:ascii="Times New Roman" w:hAnsi="Times New Roman"/>
      <w:b/>
      <w:sz w:val="32"/>
    </w:rPr>
  </w:style>
  <w:style w:type="paragraph" w:customStyle="1" w:styleId="AllowPageBreak">
    <w:name w:val="AllowPageBreak"/>
    <w:rsid w:val="009D77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774E"/>
    <w:pPr>
      <w:numPr>
        <w:numId w:val="3"/>
      </w:numPr>
      <w:tabs>
        <w:tab w:val="clear" w:pos="1021"/>
      </w:tabs>
      <w:ind w:left="1037" w:hanging="357"/>
    </w:pPr>
  </w:style>
  <w:style w:type="character" w:customStyle="1" w:styleId="Heading2Char">
    <w:name w:val="Heading 2 Char"/>
    <w:basedOn w:val="DefaultParagraphFont"/>
    <w:link w:val="Heading2"/>
    <w:rsid w:val="009D7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74E"/>
    <w:rPr>
      <w:rFonts w:ascii="Courier New" w:eastAsia="Times New Roman" w:hAnsi="Courier New" w:cs="Times New Roman"/>
      <w:i/>
      <w:szCs w:val="20"/>
      <w:lang w:eastAsia="en-US"/>
    </w:rPr>
  </w:style>
  <w:style w:type="paragraph" w:customStyle="1" w:styleId="HeadingBase">
    <w:name w:val="Heading Base"/>
    <w:rsid w:val="009D7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74E"/>
    <w:pPr>
      <w:tabs>
        <w:tab w:val="right" w:leader="dot" w:pos="9072"/>
      </w:tabs>
      <w:ind w:left="567"/>
    </w:pPr>
    <w:rPr>
      <w:szCs w:val="22"/>
    </w:rPr>
  </w:style>
  <w:style w:type="paragraph" w:customStyle="1" w:styleId="TOCBase">
    <w:name w:val="TOC Base"/>
    <w:rsid w:val="009D7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74E"/>
    <w:pPr>
      <w:tabs>
        <w:tab w:val="right" w:leader="dot" w:pos="9072"/>
      </w:tabs>
      <w:spacing w:before="40" w:after="40"/>
      <w:ind w:left="284"/>
    </w:pPr>
    <w:rPr>
      <w:rFonts w:ascii="Times New Roman" w:hAnsi="Times New Roman"/>
    </w:rPr>
  </w:style>
  <w:style w:type="paragraph" w:styleId="TOC1">
    <w:name w:val="toc 1"/>
    <w:basedOn w:val="TOCBase"/>
    <w:next w:val="Normal"/>
    <w:rsid w:val="009D7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74E"/>
    <w:rPr>
      <w:rFonts w:ascii="Times New Roman" w:eastAsia="Times New Roman" w:hAnsi="Times New Roman" w:cs="Times New Roman"/>
      <w:sz w:val="16"/>
      <w:lang w:eastAsia="en-US"/>
    </w:rPr>
  </w:style>
  <w:style w:type="paragraph" w:styleId="Title">
    <w:name w:val="Title"/>
    <w:basedOn w:val="HeadingBase"/>
    <w:link w:val="TitleChar"/>
    <w:qFormat/>
    <w:rsid w:val="009D774E"/>
    <w:pPr>
      <w:spacing w:before="5040"/>
      <w:jc w:val="center"/>
    </w:pPr>
    <w:rPr>
      <w:sz w:val="48"/>
      <w:szCs w:val="72"/>
      <w:lang w:val="en-US"/>
    </w:rPr>
  </w:style>
  <w:style w:type="character" w:customStyle="1" w:styleId="TitleChar">
    <w:name w:val="Title Char"/>
    <w:basedOn w:val="DefaultParagraphFont"/>
    <w:link w:val="Title"/>
    <w:rsid w:val="009D7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74E"/>
    <w:pPr>
      <w:tabs>
        <w:tab w:val="left" w:pos="3600"/>
        <w:tab w:val="left" w:pos="3958"/>
      </w:tabs>
    </w:pPr>
  </w:style>
  <w:style w:type="paragraph" w:styleId="List">
    <w:name w:val="List"/>
    <w:basedOn w:val="BodyText"/>
    <w:next w:val="BodyText"/>
    <w:rsid w:val="009D774E"/>
    <w:pPr>
      <w:tabs>
        <w:tab w:val="left" w:pos="340"/>
      </w:tabs>
      <w:spacing w:before="60" w:after="60"/>
      <w:ind w:left="340" w:hanging="340"/>
    </w:pPr>
  </w:style>
  <w:style w:type="paragraph" w:customStyle="1" w:styleId="Note">
    <w:name w:val="Note"/>
    <w:basedOn w:val="BodyText"/>
    <w:rsid w:val="009D7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74E"/>
    <w:pPr>
      <w:framePr w:wrap="auto" w:hAnchor="text" w:y="6049"/>
    </w:pPr>
    <w:rPr>
      <w:color w:val="000000"/>
      <w:sz w:val="40"/>
    </w:rPr>
  </w:style>
  <w:style w:type="paragraph" w:customStyle="1" w:styleId="TOCTitle">
    <w:name w:val="TOCTitle"/>
    <w:basedOn w:val="Heading1"/>
    <w:rsid w:val="009D774E"/>
    <w:pPr>
      <w:spacing w:after="240"/>
      <w:jc w:val="center"/>
      <w:outlineLvl w:val="9"/>
    </w:pPr>
    <w:rPr>
      <w:caps/>
    </w:rPr>
  </w:style>
  <w:style w:type="paragraph" w:customStyle="1" w:styleId="Version">
    <w:name w:val="Version"/>
    <w:rsid w:val="009D7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74E"/>
    <w:pPr>
      <w:keepNext w:val="0"/>
      <w:tabs>
        <w:tab w:val="right" w:pos="4176"/>
      </w:tabs>
      <w:ind w:left="198" w:hanging="198"/>
    </w:pPr>
    <w:rPr>
      <w:rFonts w:ascii="Garamond" w:hAnsi="Garamond"/>
    </w:rPr>
  </w:style>
  <w:style w:type="paragraph" w:styleId="IndexHeading">
    <w:name w:val="index heading"/>
    <w:basedOn w:val="Normal"/>
    <w:next w:val="Index1"/>
    <w:semiHidden/>
    <w:rsid w:val="009D774E"/>
    <w:pPr>
      <w:spacing w:before="120" w:after="120"/>
    </w:pPr>
    <w:rPr>
      <w:rFonts w:ascii="Arial" w:hAnsi="Arial"/>
      <w:b/>
      <w:color w:val="918585"/>
      <w:sz w:val="24"/>
    </w:rPr>
  </w:style>
  <w:style w:type="paragraph" w:styleId="Header">
    <w:name w:val="header"/>
    <w:basedOn w:val="Normal"/>
    <w:link w:val="HeaderChar"/>
    <w:rsid w:val="009D7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74E"/>
    <w:rPr>
      <w:rFonts w:ascii="Times New Roman" w:eastAsia="Times New Roman" w:hAnsi="Times New Roman" w:cs="Times New Roman"/>
      <w:sz w:val="16"/>
      <w:szCs w:val="20"/>
      <w:lang w:val="en-GB" w:eastAsia="en-US"/>
    </w:rPr>
  </w:style>
  <w:style w:type="paragraph" w:customStyle="1" w:styleId="Chapter">
    <w:name w:val="Chapter"/>
    <w:basedOn w:val="Normal"/>
    <w:rsid w:val="009D774E"/>
    <w:pPr>
      <w:spacing w:before="240"/>
    </w:pPr>
    <w:rPr>
      <w:rFonts w:ascii="Times New Roman" w:hAnsi="Times New Roman"/>
      <w:smallCaps/>
      <w:spacing w:val="80"/>
      <w:sz w:val="28"/>
    </w:rPr>
  </w:style>
  <w:style w:type="paragraph" w:customStyle="1" w:styleId="InChapter">
    <w:name w:val="InChapter"/>
    <w:basedOn w:val="Heading3"/>
    <w:rsid w:val="009D774E"/>
    <w:pPr>
      <w:spacing w:after="240"/>
      <w:outlineLvl w:val="9"/>
    </w:pPr>
    <w:rPr>
      <w:noProof/>
    </w:rPr>
  </w:style>
  <w:style w:type="paragraph" w:styleId="Index2">
    <w:name w:val="index 2"/>
    <w:basedOn w:val="Normal"/>
    <w:next w:val="Normal"/>
    <w:semiHidden/>
    <w:rsid w:val="009D774E"/>
    <w:pPr>
      <w:tabs>
        <w:tab w:val="right" w:pos="4176"/>
      </w:tabs>
      <w:ind w:left="568" w:hanging="284"/>
    </w:pPr>
    <w:rPr>
      <w:rFonts w:ascii="Garamond" w:hAnsi="Garamond"/>
    </w:rPr>
  </w:style>
  <w:style w:type="paragraph" w:customStyle="1" w:styleId="Byline">
    <w:name w:val="Byline"/>
    <w:rsid w:val="009D7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74E"/>
    <w:pPr>
      <w:tabs>
        <w:tab w:val="clear" w:pos="3600"/>
        <w:tab w:val="clear" w:pos="3958"/>
      </w:tabs>
      <w:jc w:val="right"/>
    </w:pPr>
  </w:style>
  <w:style w:type="character" w:styleId="Emphasis">
    <w:name w:val="Emphasis"/>
    <w:basedOn w:val="DefaultParagraphFont"/>
    <w:qFormat/>
    <w:rsid w:val="009D774E"/>
    <w:rPr>
      <w:i/>
    </w:rPr>
  </w:style>
  <w:style w:type="paragraph" w:styleId="Caption">
    <w:name w:val="caption"/>
    <w:basedOn w:val="BodyText"/>
    <w:next w:val="Normal"/>
    <w:qFormat/>
    <w:rsid w:val="009D774E"/>
    <w:pPr>
      <w:framePr w:w="2268" w:hSpace="181" w:vSpace="181" w:wrap="around" w:vAnchor="text" w:hAnchor="page" w:x="1135" w:y="285" w:anchorLock="1"/>
    </w:pPr>
    <w:rPr>
      <w:i/>
    </w:rPr>
  </w:style>
  <w:style w:type="paragraph" w:customStyle="1" w:styleId="MiniTOCTitle">
    <w:name w:val="MiniTOCTitle"/>
    <w:basedOn w:val="Heading4"/>
    <w:rsid w:val="009D774E"/>
    <w:pPr>
      <w:spacing w:before="240"/>
      <w:outlineLvl w:val="9"/>
    </w:pPr>
    <w:rPr>
      <w:noProof/>
      <w:sz w:val="24"/>
    </w:rPr>
  </w:style>
  <w:style w:type="paragraph" w:customStyle="1" w:styleId="MiniTOCItem">
    <w:name w:val="MiniTOCItem"/>
    <w:basedOn w:val="ListBullet"/>
    <w:rsid w:val="009D774E"/>
    <w:pPr>
      <w:numPr>
        <w:numId w:val="0"/>
      </w:numPr>
      <w:tabs>
        <w:tab w:val="right" w:leader="dot" w:pos="6521"/>
      </w:tabs>
      <w:spacing w:before="0" w:after="0"/>
    </w:pPr>
  </w:style>
  <w:style w:type="paragraph" w:customStyle="1" w:styleId="TOFTitle">
    <w:name w:val="TOFTitle"/>
    <w:basedOn w:val="TOCTitle"/>
    <w:rsid w:val="009D774E"/>
  </w:style>
  <w:style w:type="paragraph" w:styleId="TableofFigures">
    <w:name w:val="table of figures"/>
    <w:basedOn w:val="Normal"/>
    <w:next w:val="Normal"/>
    <w:semiHidden/>
    <w:rsid w:val="009D774E"/>
    <w:pPr>
      <w:tabs>
        <w:tab w:val="right" w:leader="dot" w:pos="9072"/>
      </w:tabs>
      <w:ind w:left="970" w:hanging="403"/>
    </w:pPr>
    <w:rPr>
      <w:rFonts w:ascii="Times New Roman" w:hAnsi="Times New Roman"/>
      <w:b/>
    </w:rPr>
  </w:style>
  <w:style w:type="paragraph" w:styleId="ListNumber">
    <w:name w:val="List Number"/>
    <w:basedOn w:val="List"/>
    <w:rsid w:val="009D774E"/>
    <w:pPr>
      <w:numPr>
        <w:numId w:val="16"/>
      </w:numPr>
      <w:tabs>
        <w:tab w:val="clear" w:pos="340"/>
      </w:tabs>
    </w:pPr>
  </w:style>
  <w:style w:type="character" w:customStyle="1" w:styleId="WingdingSymbols">
    <w:name w:val="Wingding Symbols"/>
    <w:rsid w:val="009D774E"/>
    <w:rPr>
      <w:rFonts w:ascii="Wingdings" w:hAnsi="Wingdings"/>
    </w:rPr>
  </w:style>
  <w:style w:type="paragraph" w:customStyle="1" w:styleId="TableHeading">
    <w:name w:val="Table Heading"/>
    <w:basedOn w:val="HeadingBase"/>
    <w:rsid w:val="009D774E"/>
    <w:pPr>
      <w:keepLines/>
      <w:pBdr>
        <w:bottom w:val="single" w:sz="6" w:space="1" w:color="918585"/>
      </w:pBdr>
      <w:spacing w:before="240"/>
    </w:pPr>
  </w:style>
  <w:style w:type="character" w:customStyle="1" w:styleId="HotSpot">
    <w:name w:val="HotSpot"/>
    <w:rsid w:val="009D774E"/>
    <w:rPr>
      <w:color w:val="0033CC"/>
      <w:u w:val="none"/>
    </w:rPr>
  </w:style>
  <w:style w:type="paragraph" w:customStyle="1" w:styleId="BodyTextRight">
    <w:name w:val="Body Text Right"/>
    <w:basedOn w:val="BodyText"/>
    <w:rsid w:val="009D774E"/>
    <w:pPr>
      <w:spacing w:before="0" w:after="0"/>
      <w:jc w:val="right"/>
    </w:pPr>
  </w:style>
  <w:style w:type="paragraph" w:styleId="Index3">
    <w:name w:val="index 3"/>
    <w:basedOn w:val="ListNumber2"/>
    <w:next w:val="Normal"/>
    <w:semiHidden/>
    <w:rsid w:val="009D774E"/>
    <w:pPr>
      <w:numPr>
        <w:numId w:val="0"/>
      </w:numPr>
      <w:tabs>
        <w:tab w:val="right" w:leader="dot" w:pos="4176"/>
      </w:tabs>
    </w:pPr>
  </w:style>
  <w:style w:type="paragraph" w:styleId="ListNumber2">
    <w:name w:val="List Number 2"/>
    <w:basedOn w:val="List2"/>
    <w:rsid w:val="009D774E"/>
    <w:pPr>
      <w:numPr>
        <w:numId w:val="11"/>
      </w:numPr>
      <w:tabs>
        <w:tab w:val="clear" w:pos="1060"/>
      </w:tabs>
    </w:pPr>
  </w:style>
  <w:style w:type="paragraph" w:customStyle="1" w:styleId="MarginNote">
    <w:name w:val="Margin Note"/>
    <w:basedOn w:val="BodyText"/>
    <w:rsid w:val="009D7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74E"/>
    <w:rPr>
      <w:sz w:val="32"/>
    </w:rPr>
  </w:style>
  <w:style w:type="paragraph" w:customStyle="1" w:styleId="HeadingProcedure">
    <w:name w:val="Heading Procedure"/>
    <w:basedOn w:val="HeadingBase"/>
    <w:next w:val="Normal"/>
    <w:rsid w:val="009D774E"/>
    <w:pPr>
      <w:tabs>
        <w:tab w:val="left" w:pos="0"/>
      </w:tabs>
      <w:spacing w:before="120" w:after="60"/>
    </w:pPr>
    <w:rPr>
      <w:i/>
      <w:color w:val="918585"/>
      <w:sz w:val="22"/>
    </w:rPr>
  </w:style>
  <w:style w:type="paragraph" w:customStyle="1" w:styleId="TableBodyText">
    <w:name w:val="Table Body Text"/>
    <w:basedOn w:val="BodyText"/>
    <w:rsid w:val="009D774E"/>
    <w:pPr>
      <w:spacing w:before="60" w:after="60"/>
    </w:pPr>
  </w:style>
  <w:style w:type="paragraph" w:styleId="ListContinue">
    <w:name w:val="List Continue"/>
    <w:basedOn w:val="List"/>
    <w:rsid w:val="009D774E"/>
    <w:pPr>
      <w:ind w:firstLine="0"/>
    </w:pPr>
  </w:style>
  <w:style w:type="paragraph" w:customStyle="1" w:styleId="ListNote">
    <w:name w:val="List Note"/>
    <w:basedOn w:val="List"/>
    <w:rsid w:val="009D774E"/>
    <w:pPr>
      <w:pBdr>
        <w:top w:val="single" w:sz="6" w:space="2" w:color="918585"/>
        <w:bottom w:val="single" w:sz="6" w:space="2" w:color="918585"/>
      </w:pBdr>
      <w:tabs>
        <w:tab w:val="left" w:pos="1021"/>
      </w:tabs>
      <w:ind w:firstLine="0"/>
    </w:pPr>
  </w:style>
  <w:style w:type="paragraph" w:customStyle="1" w:styleId="Warning">
    <w:name w:val="Warning"/>
    <w:basedOn w:val="BodyText"/>
    <w:rsid w:val="009D774E"/>
    <w:pPr>
      <w:shd w:val="clear" w:color="auto" w:fill="D9D9D9"/>
      <w:tabs>
        <w:tab w:val="left" w:pos="992"/>
      </w:tabs>
      <w:ind w:left="119" w:right="119"/>
    </w:pPr>
    <w:rPr>
      <w:sz w:val="20"/>
    </w:rPr>
  </w:style>
  <w:style w:type="paragraph" w:customStyle="1" w:styleId="MarginIcons">
    <w:name w:val="Margin Icons"/>
    <w:basedOn w:val="BodyText"/>
    <w:rsid w:val="009D7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74E"/>
    <w:rPr>
      <w:rFonts w:ascii="Courier New" w:hAnsi="Courier New"/>
    </w:rPr>
  </w:style>
  <w:style w:type="paragraph" w:customStyle="1" w:styleId="NoteBullet">
    <w:name w:val="Note Bullet"/>
    <w:basedOn w:val="Note"/>
    <w:rsid w:val="009D774E"/>
    <w:pPr>
      <w:tabs>
        <w:tab w:val="clear" w:pos="680"/>
      </w:tabs>
      <w:spacing w:before="60" w:after="60"/>
    </w:pPr>
  </w:style>
  <w:style w:type="paragraph" w:customStyle="1" w:styleId="SubHeading2">
    <w:name w:val="SubHeading2"/>
    <w:basedOn w:val="HeadingBase"/>
    <w:rsid w:val="009D774E"/>
    <w:pPr>
      <w:spacing w:before="240" w:after="60"/>
    </w:pPr>
    <w:rPr>
      <w:sz w:val="20"/>
    </w:rPr>
  </w:style>
  <w:style w:type="paragraph" w:customStyle="1" w:styleId="SubHeading1">
    <w:name w:val="SubHeading1"/>
    <w:basedOn w:val="HeadingBase"/>
    <w:rsid w:val="009D774E"/>
    <w:pPr>
      <w:spacing w:before="240" w:after="60"/>
    </w:pPr>
    <w:rPr>
      <w:color w:val="918585"/>
      <w:sz w:val="22"/>
    </w:rPr>
  </w:style>
  <w:style w:type="paragraph" w:customStyle="1" w:styleId="SideHeading">
    <w:name w:val="Side Heading"/>
    <w:basedOn w:val="HeadingBase"/>
    <w:rsid w:val="009D7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74E"/>
    <w:pPr>
      <w:numPr>
        <w:numId w:val="12"/>
      </w:numPr>
    </w:pPr>
  </w:style>
  <w:style w:type="paragraph" w:styleId="PlainText">
    <w:name w:val="Plain Text"/>
    <w:basedOn w:val="Normal"/>
    <w:link w:val="PlainTextChar"/>
    <w:rsid w:val="009D774E"/>
    <w:rPr>
      <w:sz w:val="20"/>
    </w:rPr>
  </w:style>
  <w:style w:type="character" w:customStyle="1" w:styleId="PlainTextChar">
    <w:name w:val="Plain Text Char"/>
    <w:basedOn w:val="DefaultParagraphFont"/>
    <w:link w:val="PlainText"/>
    <w:rsid w:val="009D774E"/>
    <w:rPr>
      <w:rFonts w:ascii="Courier New" w:eastAsia="Times New Roman" w:hAnsi="Courier New" w:cs="Times New Roman"/>
      <w:sz w:val="20"/>
      <w:szCs w:val="20"/>
      <w:lang w:eastAsia="en-US"/>
    </w:rPr>
  </w:style>
  <w:style w:type="character" w:customStyle="1" w:styleId="MenuOption">
    <w:name w:val="Menu Option"/>
    <w:basedOn w:val="DefaultParagraphFont"/>
    <w:rsid w:val="009D774E"/>
    <w:rPr>
      <w:b/>
      <w:smallCaps/>
    </w:rPr>
  </w:style>
  <w:style w:type="paragraph" w:customStyle="1" w:styleId="TableListNumber">
    <w:name w:val="Table List Number"/>
    <w:basedOn w:val="ListNumber"/>
    <w:rsid w:val="009D774E"/>
    <w:pPr>
      <w:numPr>
        <w:numId w:val="0"/>
      </w:numPr>
    </w:pPr>
  </w:style>
  <w:style w:type="paragraph" w:styleId="TOC4">
    <w:name w:val="toc 4"/>
    <w:basedOn w:val="TOCBase"/>
    <w:next w:val="Normal"/>
    <w:semiHidden/>
    <w:rsid w:val="009D774E"/>
    <w:pPr>
      <w:tabs>
        <w:tab w:val="right" w:leader="dot" w:pos="9071"/>
      </w:tabs>
      <w:ind w:left="1701"/>
    </w:pPr>
  </w:style>
  <w:style w:type="paragraph" w:customStyle="1" w:styleId="ListAlpha">
    <w:name w:val="List Alpha"/>
    <w:basedOn w:val="List"/>
    <w:rsid w:val="009D774E"/>
    <w:pPr>
      <w:numPr>
        <w:numId w:val="10"/>
      </w:numPr>
    </w:pPr>
  </w:style>
  <w:style w:type="paragraph" w:customStyle="1" w:styleId="ListAlpha2">
    <w:name w:val="List Alpha 2"/>
    <w:basedOn w:val="List2"/>
    <w:rsid w:val="009D774E"/>
    <w:pPr>
      <w:numPr>
        <w:numId w:val="9"/>
      </w:numPr>
    </w:pPr>
  </w:style>
  <w:style w:type="paragraph" w:styleId="List2">
    <w:name w:val="List 2"/>
    <w:basedOn w:val="BodyText"/>
    <w:rsid w:val="009D774E"/>
    <w:pPr>
      <w:tabs>
        <w:tab w:val="left" w:pos="680"/>
      </w:tabs>
      <w:spacing w:before="60" w:after="60"/>
      <w:ind w:left="680" w:hanging="340"/>
    </w:pPr>
  </w:style>
  <w:style w:type="paragraph" w:styleId="List3">
    <w:name w:val="List 3"/>
    <w:basedOn w:val="BodyText"/>
    <w:rsid w:val="009D774E"/>
    <w:pPr>
      <w:tabs>
        <w:tab w:val="left" w:pos="1021"/>
      </w:tabs>
      <w:spacing w:before="60" w:after="60"/>
      <w:ind w:left="1020" w:hanging="340"/>
    </w:pPr>
  </w:style>
  <w:style w:type="paragraph" w:styleId="List4">
    <w:name w:val="List 4"/>
    <w:basedOn w:val="BodyText"/>
    <w:rsid w:val="009D774E"/>
    <w:pPr>
      <w:tabs>
        <w:tab w:val="left" w:pos="1361"/>
      </w:tabs>
      <w:spacing w:before="60" w:after="60"/>
      <w:ind w:left="1361" w:hanging="340"/>
    </w:pPr>
  </w:style>
  <w:style w:type="paragraph" w:styleId="List5">
    <w:name w:val="List 5"/>
    <w:basedOn w:val="BodyText"/>
    <w:rsid w:val="009D774E"/>
    <w:pPr>
      <w:tabs>
        <w:tab w:val="left" w:pos="1701"/>
      </w:tabs>
      <w:spacing w:before="60" w:after="60"/>
      <w:ind w:left="1701" w:hanging="340"/>
    </w:pPr>
  </w:style>
  <w:style w:type="paragraph" w:styleId="ListBullet4">
    <w:name w:val="List Bullet 4"/>
    <w:basedOn w:val="List4"/>
    <w:rsid w:val="009D774E"/>
    <w:pPr>
      <w:numPr>
        <w:numId w:val="4"/>
      </w:numPr>
      <w:tabs>
        <w:tab w:val="clear" w:pos="1361"/>
      </w:tabs>
    </w:pPr>
  </w:style>
  <w:style w:type="paragraph" w:styleId="ListBullet5">
    <w:name w:val="List Bullet 5"/>
    <w:basedOn w:val="List5"/>
    <w:rsid w:val="009D774E"/>
    <w:pPr>
      <w:numPr>
        <w:numId w:val="5"/>
      </w:numPr>
    </w:pPr>
  </w:style>
  <w:style w:type="paragraph" w:styleId="ListContinue2">
    <w:name w:val="List Continue 2"/>
    <w:basedOn w:val="List2"/>
    <w:rsid w:val="009D774E"/>
    <w:pPr>
      <w:ind w:firstLine="0"/>
    </w:pPr>
  </w:style>
  <w:style w:type="paragraph" w:styleId="ListContinue3">
    <w:name w:val="List Continue 3"/>
    <w:basedOn w:val="List3"/>
    <w:rsid w:val="009D774E"/>
    <w:pPr>
      <w:ind w:left="1021" w:firstLine="0"/>
    </w:pPr>
  </w:style>
  <w:style w:type="paragraph" w:styleId="ListContinue4">
    <w:name w:val="List Continue 4"/>
    <w:basedOn w:val="List4"/>
    <w:rsid w:val="009D774E"/>
    <w:pPr>
      <w:ind w:firstLine="0"/>
    </w:pPr>
  </w:style>
  <w:style w:type="paragraph" w:styleId="ListContinue5">
    <w:name w:val="List Continue 5"/>
    <w:basedOn w:val="List5"/>
    <w:rsid w:val="009D774E"/>
    <w:pPr>
      <w:ind w:firstLine="0"/>
    </w:pPr>
  </w:style>
  <w:style w:type="paragraph" w:styleId="ListNumber3">
    <w:name w:val="List Number 3"/>
    <w:basedOn w:val="List3"/>
    <w:rsid w:val="009D774E"/>
    <w:pPr>
      <w:numPr>
        <w:numId w:val="6"/>
      </w:numPr>
    </w:pPr>
  </w:style>
  <w:style w:type="paragraph" w:styleId="ListNumber4">
    <w:name w:val="List Number 4"/>
    <w:basedOn w:val="List4"/>
    <w:rsid w:val="009D774E"/>
    <w:pPr>
      <w:numPr>
        <w:numId w:val="7"/>
      </w:numPr>
    </w:pPr>
  </w:style>
  <w:style w:type="paragraph" w:styleId="ListNumber5">
    <w:name w:val="List Number 5"/>
    <w:basedOn w:val="List5"/>
    <w:rsid w:val="009D774E"/>
    <w:pPr>
      <w:numPr>
        <w:numId w:val="8"/>
      </w:numPr>
    </w:pPr>
  </w:style>
  <w:style w:type="paragraph" w:styleId="BlockText">
    <w:name w:val="Block Text"/>
    <w:basedOn w:val="Normal"/>
    <w:rsid w:val="009D774E"/>
    <w:pPr>
      <w:spacing w:after="120"/>
      <w:ind w:left="1440" w:right="1440"/>
    </w:pPr>
  </w:style>
  <w:style w:type="character" w:customStyle="1" w:styleId="Subscript">
    <w:name w:val="Subscript"/>
    <w:basedOn w:val="DefaultParagraphFont"/>
    <w:rsid w:val="009D774E"/>
    <w:rPr>
      <w:sz w:val="16"/>
      <w:vertAlign w:val="subscript"/>
    </w:rPr>
  </w:style>
  <w:style w:type="character" w:customStyle="1" w:styleId="Superscript">
    <w:name w:val="Superscript"/>
    <w:basedOn w:val="DefaultParagraphFont"/>
    <w:rsid w:val="009D774E"/>
    <w:rPr>
      <w:sz w:val="16"/>
      <w:vertAlign w:val="superscript"/>
    </w:rPr>
  </w:style>
  <w:style w:type="character" w:customStyle="1" w:styleId="Symbols">
    <w:name w:val="Symbols"/>
    <w:basedOn w:val="DefaultParagraphFont"/>
    <w:rsid w:val="009D774E"/>
    <w:rPr>
      <w:rFonts w:ascii="Symbol" w:hAnsi="Symbol"/>
    </w:rPr>
  </w:style>
  <w:style w:type="character" w:customStyle="1" w:styleId="MenuOptions">
    <w:name w:val="Menu Options"/>
    <w:basedOn w:val="DefaultParagraphFont"/>
    <w:rsid w:val="009D774E"/>
    <w:rPr>
      <w:rFonts w:ascii="Arial Narrow" w:hAnsi="Arial Narrow"/>
      <w:smallCaps/>
    </w:rPr>
  </w:style>
  <w:style w:type="character" w:customStyle="1" w:styleId="Buttons">
    <w:name w:val="Buttons"/>
    <w:basedOn w:val="DefaultParagraphFont"/>
    <w:rsid w:val="009D774E"/>
    <w:rPr>
      <w:b/>
    </w:rPr>
  </w:style>
  <w:style w:type="character" w:customStyle="1" w:styleId="Underlined">
    <w:name w:val="Underlined"/>
    <w:basedOn w:val="DefaultParagraphFont"/>
    <w:rsid w:val="009D774E"/>
    <w:rPr>
      <w:u w:val="single"/>
    </w:rPr>
  </w:style>
  <w:style w:type="paragraph" w:customStyle="1" w:styleId="TableBodyTextRight">
    <w:name w:val="Table Body Text Right"/>
    <w:basedOn w:val="TableBodyText"/>
    <w:rsid w:val="009D774E"/>
    <w:pPr>
      <w:widowControl w:val="0"/>
      <w:autoSpaceDE w:val="0"/>
      <w:autoSpaceDN w:val="0"/>
      <w:adjustRightInd w:val="0"/>
      <w:jc w:val="right"/>
    </w:pPr>
    <w:rPr>
      <w:rFonts w:cs="Arial"/>
      <w:szCs w:val="18"/>
    </w:rPr>
  </w:style>
  <w:style w:type="paragraph" w:customStyle="1" w:styleId="CopyrightText">
    <w:name w:val="Copyright Text"/>
    <w:basedOn w:val="BodyText"/>
    <w:rsid w:val="009D774E"/>
    <w:rPr>
      <w:sz w:val="18"/>
    </w:rPr>
  </w:style>
  <w:style w:type="paragraph" w:customStyle="1" w:styleId="BodySmallRight">
    <w:name w:val="Body Small Right"/>
    <w:basedOn w:val="BodyTextRight"/>
    <w:rsid w:val="009D774E"/>
    <w:rPr>
      <w:sz w:val="18"/>
      <w:szCs w:val="18"/>
    </w:rPr>
  </w:style>
  <w:style w:type="paragraph" w:customStyle="1" w:styleId="MarginEdition">
    <w:name w:val="Margin Edition"/>
    <w:basedOn w:val="MarginNote"/>
    <w:rsid w:val="009D774E"/>
    <w:pPr>
      <w:spacing w:before="0" w:after="0"/>
    </w:pPr>
    <w:rPr>
      <w:rFonts w:ascii="Times New Roman" w:hAnsi="Times New Roman"/>
      <w:color w:val="999999"/>
    </w:rPr>
  </w:style>
  <w:style w:type="paragraph" w:customStyle="1" w:styleId="Spacer">
    <w:name w:val="Spacer"/>
    <w:basedOn w:val="Normal"/>
    <w:rsid w:val="009D774E"/>
    <w:rPr>
      <w:sz w:val="2"/>
      <w:szCs w:val="2"/>
    </w:rPr>
  </w:style>
  <w:style w:type="character" w:customStyle="1" w:styleId="Small">
    <w:name w:val="Small"/>
    <w:basedOn w:val="DefaultParagraphFont"/>
    <w:rsid w:val="009D774E"/>
    <w:rPr>
      <w:sz w:val="16"/>
    </w:rPr>
  </w:style>
  <w:style w:type="paragraph" w:customStyle="1" w:styleId="WideTable">
    <w:name w:val="Wide Table"/>
    <w:basedOn w:val="Normal"/>
    <w:rsid w:val="009D774E"/>
    <w:pPr>
      <w:ind w:left="-1418"/>
    </w:pPr>
    <w:rPr>
      <w:sz w:val="2"/>
      <w:szCs w:val="2"/>
    </w:rPr>
  </w:style>
  <w:style w:type="character" w:styleId="PageNumber">
    <w:name w:val="page number"/>
    <w:basedOn w:val="DefaultParagraphFont"/>
    <w:rsid w:val="009D774E"/>
  </w:style>
  <w:style w:type="paragraph" w:styleId="Quote">
    <w:name w:val="Quote"/>
    <w:basedOn w:val="Heading1"/>
    <w:link w:val="QuoteChar"/>
    <w:qFormat/>
    <w:rsid w:val="009D774E"/>
    <w:rPr>
      <w:b w:val="0"/>
      <w:sz w:val="72"/>
      <w:szCs w:val="72"/>
      <w:lang w:val="en-NZ"/>
    </w:rPr>
  </w:style>
  <w:style w:type="character" w:customStyle="1" w:styleId="QuoteChar">
    <w:name w:val="Quote Char"/>
    <w:basedOn w:val="DefaultParagraphFont"/>
    <w:link w:val="Quote"/>
    <w:rsid w:val="009D7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74E"/>
    <w:pPr>
      <w:pageBreakBefore/>
    </w:pPr>
  </w:style>
  <w:style w:type="paragraph" w:customStyle="1" w:styleId="Border">
    <w:name w:val="Border"/>
    <w:basedOn w:val="Normal"/>
    <w:qFormat/>
    <w:rsid w:val="009D7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74E"/>
    <w:rPr>
      <w:b/>
      <w:bCs/>
      <w:i/>
      <w:iCs/>
      <w:color w:val="auto"/>
    </w:rPr>
  </w:style>
  <w:style w:type="paragraph" w:styleId="IntenseQuote">
    <w:name w:val="Intense Quote"/>
    <w:basedOn w:val="Normal"/>
    <w:next w:val="Normal"/>
    <w:link w:val="IntenseQuoteChar"/>
    <w:uiPriority w:val="30"/>
    <w:qFormat/>
    <w:rsid w:val="009D7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74E"/>
    <w:rPr>
      <w:smallCaps/>
      <w:color w:val="auto"/>
      <w:u w:val="single"/>
    </w:rPr>
  </w:style>
  <w:style w:type="character" w:styleId="IntenseReference">
    <w:name w:val="Intense Reference"/>
    <w:basedOn w:val="DefaultParagraphFont"/>
    <w:uiPriority w:val="32"/>
    <w:qFormat/>
    <w:rsid w:val="009D774E"/>
    <w:rPr>
      <w:b/>
      <w:bCs/>
      <w:smallCaps/>
      <w:color w:val="auto"/>
      <w:spacing w:val="5"/>
      <w:u w:val="single"/>
    </w:rPr>
  </w:style>
  <w:style w:type="paragraph" w:customStyle="1" w:styleId="2ColumnHeading">
    <w:name w:val="2Column Heading"/>
    <w:basedOn w:val="BodyText"/>
    <w:qFormat/>
    <w:rsid w:val="009D774E"/>
    <w:pPr>
      <w:spacing w:after="60"/>
      <w:ind w:left="-2268"/>
    </w:pPr>
    <w:rPr>
      <w:b/>
    </w:rPr>
  </w:style>
  <w:style w:type="paragraph" w:customStyle="1" w:styleId="Heading1TOC">
    <w:name w:val="Heading1 TOC"/>
    <w:basedOn w:val="Normal"/>
    <w:qFormat/>
    <w:rsid w:val="009D774E"/>
    <w:pPr>
      <w:spacing w:before="240" w:after="120"/>
    </w:pPr>
    <w:rPr>
      <w:rFonts w:ascii="Times New Roman" w:hAnsi="Times New Roman"/>
      <w:b/>
      <w:sz w:val="32"/>
    </w:rPr>
  </w:style>
  <w:style w:type="paragraph" w:customStyle="1" w:styleId="Heading2TOC">
    <w:name w:val="Heading2 TOC"/>
    <w:basedOn w:val="Normal"/>
    <w:qFormat/>
    <w:rsid w:val="009D774E"/>
    <w:pPr>
      <w:spacing w:before="240" w:after="60"/>
    </w:pPr>
    <w:rPr>
      <w:rFonts w:ascii="Times New Roman" w:hAnsi="Times New Roman"/>
      <w:b/>
      <w:sz w:val="28"/>
    </w:rPr>
  </w:style>
  <w:style w:type="character" w:customStyle="1" w:styleId="Underline">
    <w:name w:val="Underline"/>
    <w:basedOn w:val="DefaultParagraphFont"/>
    <w:qFormat/>
    <w:rsid w:val="009D774E"/>
    <w:rPr>
      <w:u w:val="single"/>
    </w:rPr>
  </w:style>
  <w:style w:type="character" w:customStyle="1" w:styleId="BoldandItalics">
    <w:name w:val="Bold and Italics"/>
    <w:qFormat/>
    <w:rsid w:val="009D774E"/>
    <w:rPr>
      <w:b/>
      <w:i/>
      <w:u w:val="none"/>
    </w:rPr>
  </w:style>
  <w:style w:type="paragraph" w:styleId="BalloonText">
    <w:name w:val="Balloon Text"/>
    <w:basedOn w:val="Normal"/>
    <w:link w:val="BalloonTextChar"/>
    <w:rsid w:val="009D774E"/>
    <w:rPr>
      <w:rFonts w:ascii="Tahoma" w:hAnsi="Tahoma" w:cs="Tahoma"/>
      <w:sz w:val="16"/>
      <w:szCs w:val="16"/>
    </w:rPr>
  </w:style>
  <w:style w:type="character" w:customStyle="1" w:styleId="BalloonTextChar">
    <w:name w:val="Balloon Text Char"/>
    <w:basedOn w:val="DefaultParagraphFont"/>
    <w:link w:val="BalloonText"/>
    <w:rsid w:val="009D7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74E"/>
    <w:rPr>
      <w:b/>
      <w:color w:val="660033"/>
      <w:spacing w:val="0"/>
    </w:rPr>
  </w:style>
  <w:style w:type="paragraph" w:customStyle="1" w:styleId="Nameditemlist">
    <w:name w:val="Named item list"/>
    <w:basedOn w:val="BodyText"/>
    <w:qFormat/>
    <w:rsid w:val="009D774E"/>
    <w:pPr>
      <w:tabs>
        <w:tab w:val="left" w:pos="2835"/>
      </w:tabs>
      <w:ind w:left="2835" w:hanging="2835"/>
    </w:pPr>
  </w:style>
  <w:style w:type="paragraph" w:customStyle="1" w:styleId="BodyTextnopadding">
    <w:name w:val="Body Text no padding"/>
    <w:basedOn w:val="BodyText"/>
    <w:qFormat/>
    <w:rsid w:val="009D774E"/>
    <w:pPr>
      <w:spacing w:before="0" w:after="0"/>
    </w:pPr>
  </w:style>
  <w:style w:type="paragraph" w:customStyle="1" w:styleId="BodyTextBold">
    <w:name w:val="Body Text Bold"/>
    <w:basedOn w:val="BodyText"/>
    <w:qFormat/>
    <w:rsid w:val="009D774E"/>
    <w:rPr>
      <w:b/>
    </w:rPr>
  </w:style>
  <w:style w:type="character" w:styleId="Hyperlink">
    <w:name w:val="Hyperlink"/>
    <w:basedOn w:val="DefaultParagraphFont"/>
    <w:uiPriority w:val="99"/>
    <w:unhideWhenUsed/>
    <w:rsid w:val="00A82B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Words>
  <Characters>9875</Characters>
  <Application>Microsoft Office Word</Application>
  <DocSecurity>0</DocSecurity>
  <Lines>282</Lines>
  <Paragraphs>169</Paragraphs>
  <ScaleCrop>false</ScaleCrop>
  <Company>Author-it Software Corporation Ltd.</Company>
  <LinksUpToDate>false</LinksUpToDate>
  <CharactersWithSpaces>11209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MEA204 Remove and install basic aircraft instrument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