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B47" w:rsidP="00FB3B47">
      <w:pPr>
        <w:pStyle w:val="Title"/>
      </w:pPr>
      <w:r>
        <w:fldChar w:fldCharType="begin"/>
      </w:r>
      <w:r>
        <w:instrText xml:space="preserve"> TITLE   \* MERGEFORMAT </w:instrText>
      </w:r>
      <w:r>
        <w:fldChar w:fldCharType="separate"/>
      </w:r>
      <w:r>
        <w:t>Assessment Requirements for MEA204 Remove and install basic aircraft instrument system components</w:t>
      </w:r>
      <w:r>
        <w:fldChar w:fldCharType="end"/>
      </w:r>
    </w:p>
    <w:p w:rsidR="00FB3B47" w:rsidP="00FB3B47">
      <w:pPr>
        <w:pStyle w:val="Version"/>
        <w:sectPr w:rsidSect="009D3B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3B7B" w:rsidP="009D3B7B">
      <w:pPr>
        <w:pStyle w:val="SuperHeading"/>
      </w:pPr>
      <w:r w:rsidRPr="009D3B7B">
        <w:t>Assessment Requirements for MEA204 Remove and install basic aircraft instrument system components</w:t>
      </w:r>
    </w:p>
    <w:p w:rsidR="00000000" w:rsidRPr="009D3B7B" w:rsidP="009D3B7B">
      <w:pPr>
        <w:pStyle w:val="Heading1"/>
      </w:pPr>
      <w:bookmarkStart w:id="1" w:name="O_785695"/>
      <w:bookmarkEnd w:id="1"/>
      <w:r w:rsidRPr="009D3B7B">
        <w:t>Modification History</w:t>
      </w:r>
    </w:p>
    <w:p w:rsidR="00000000" w:rsidRPr="009D3B7B" w:rsidP="00FB3B47">
      <w:pPr>
        <w:pStyle w:val="BodyText"/>
      </w:pPr>
      <w:r w:rsidRPr="009D3B7B">
        <w:t>Release 2 - Remote reading gyro compasses and gas turbine engine indication system components added to Assessment Requirements</w:t>
      </w:r>
    </w:p>
    <w:p w:rsidR="00000000" w:rsidRPr="009D3B7B" w:rsidP="00FB3B47">
      <w:pPr>
        <w:pStyle w:val="BodyText"/>
      </w:pPr>
      <w:r w:rsidRPr="009D3B7B">
        <w:t>Release 1 - New unit of competency</w:t>
      </w:r>
    </w:p>
    <w:p w:rsidR="00000000" w:rsidRPr="009D3B7B" w:rsidP="009D3B7B">
      <w:pPr>
        <w:pStyle w:val="Heading1"/>
      </w:pPr>
      <w:bookmarkStart w:id="2" w:name="O_785694"/>
      <w:bookmarkEnd w:id="2"/>
      <w:r w:rsidRPr="009D3B7B">
        <w:t>Performance Evidence</w:t>
      </w:r>
    </w:p>
    <w:p w:rsidR="00000000" w:rsidRPr="009D3B7B" w:rsidP="00FB3B47">
      <w:pPr>
        <w:pStyle w:val="BodyText"/>
      </w:pPr>
      <w:r w:rsidRPr="009D3B7B">
        <w:t>Evidence required to demonstrate competency in this unit</w:t>
      </w:r>
      <w:r w:rsidRPr="009D3B7B">
        <w:t xml:space="preserve"> must be relevant to and satisfy all of the requirements of the elements and performance criteria under the specified conditions of assessment, and must include:</w:t>
      </w:r>
    </w:p>
    <w:p w:rsidR="00000000" w:rsidRPr="009D3B7B" w:rsidP="009D3B7B">
      <w:pPr>
        <w:pStyle w:val="ListBullet"/>
      </w:pPr>
      <w:r w:rsidRPr="009D3B7B">
        <w:t>locating and identifying flight instrument system components comprising:</w:t>
      </w:r>
    </w:p>
    <w:p w:rsidR="00000000" w:rsidRPr="009D3B7B" w:rsidP="009D3B7B">
      <w:pPr>
        <w:pStyle w:val="ListBullet2"/>
      </w:pPr>
      <w:r w:rsidRPr="009D3B7B">
        <w:t>piston engine syste</w:t>
      </w:r>
      <w:r w:rsidRPr="009D3B7B">
        <w:t>m temperature, pressure, speed (including mechanical and electrical tachometers), manifold pressure/boost (including aneroid type, sylphon bellows and dual compartment type)</w:t>
      </w:r>
    </w:p>
    <w:p w:rsidR="00000000" w:rsidRPr="009D3B7B" w:rsidP="009D3B7B">
      <w:pPr>
        <w:pStyle w:val="ListBullet2"/>
      </w:pPr>
      <w:r w:rsidRPr="009D3B7B">
        <w:t>gas turbine engine indicating system temperature, pressure, speed, torque, fuel fl</w:t>
      </w:r>
      <w:r w:rsidRPr="009D3B7B">
        <w:t>ow and vibration (may be omitted if not relevant to the enterprise)</w:t>
      </w:r>
    </w:p>
    <w:p w:rsidR="00000000" w:rsidRPr="009D3B7B" w:rsidP="009D3B7B">
      <w:pPr>
        <w:pStyle w:val="ListBullet2"/>
      </w:pPr>
      <w:r w:rsidRPr="009D3B7B">
        <w:t>auxiliary direct reading systems, including hydraulic pressure, pneumatic pressure and vacuum, and fuel storage quantities</w:t>
      </w:r>
    </w:p>
    <w:p w:rsidR="00000000" w:rsidRPr="009D3B7B" w:rsidP="009D3B7B">
      <w:pPr>
        <w:pStyle w:val="ListBullet2"/>
      </w:pPr>
      <w:r w:rsidRPr="009D3B7B">
        <w:t>flight systems, including attitude, altitude, air speed and OAT</w:t>
      </w:r>
    </w:p>
    <w:p w:rsidR="00000000" w:rsidRPr="009D3B7B" w:rsidP="009D3B7B">
      <w:pPr>
        <w:pStyle w:val="ListBullet"/>
      </w:pPr>
      <w:r w:rsidRPr="009D3B7B">
        <w:t>locating and identifying direct reading compasses</w:t>
      </w:r>
    </w:p>
    <w:p w:rsidR="00000000" w:rsidRPr="009D3B7B" w:rsidP="009D3B7B">
      <w:pPr>
        <w:pStyle w:val="ListBullet"/>
      </w:pPr>
      <w:r w:rsidRPr="009D3B7B">
        <w:t>locating and identifying remote reading gyro compass system components (may be omitted if not relevant to enterprise)</w:t>
      </w:r>
    </w:p>
    <w:p w:rsidR="00000000" w:rsidRPr="009D3B7B" w:rsidP="009D3B7B">
      <w:pPr>
        <w:pStyle w:val="ListBullet"/>
      </w:pPr>
      <w:r w:rsidRPr="009D3B7B">
        <w:t>correct handling and observance of maintenance precautions relating to gyroscopes, gimbals, pitot/static systems (connections, heating and protrusions)</w:t>
      </w:r>
    </w:p>
    <w:p w:rsidR="00000000" w:rsidRPr="009D3B7B" w:rsidP="009D3B7B">
      <w:pPr>
        <w:pStyle w:val="ListBullet"/>
      </w:pPr>
      <w:r w:rsidRPr="009D3B7B">
        <w:t>applying relevant WHS practices.</w:t>
      </w:r>
    </w:p>
    <w:p w:rsidR="00000000" w:rsidRPr="009D3B7B" w:rsidP="00FB3B47">
      <w:pPr>
        <w:pStyle w:val="BodyText"/>
      </w:pPr>
      <w:r w:rsidRPr="009D3B7B">
        <w:t>It is essential that cleanliness requirements and safety precautions ap</w:t>
      </w:r>
      <w:r w:rsidRPr="009D3B7B">
        <w:t>plicable to the system being maintained are fully observed, understood and complied with, as well as work practices associated with electrostatic sensitive devices.</w:t>
      </w:r>
    </w:p>
    <w:p w:rsidR="00FB3B47" w:rsidP="00FB3B47">
      <w:pPr>
        <w:pStyle w:val="BodyText"/>
      </w:pPr>
      <w:r w:rsidRPr="009D3B7B">
        <w:t xml:space="preserve">Evidence of transferability of skills and knowledge related to removal and installation is </w:t>
      </w:r>
      <w:r w:rsidRPr="009D3B7B">
        <w:t>essential. This is to be demonstrated by application across a range of aircraft instrument system components as listed in the Assessment Conditions.</w:t>
      </w:r>
    </w:p>
    <w:p w:rsidR="00000000" w:rsidRPr="009D3B7B" w:rsidP="009D3B7B">
      <w:pPr>
        <w:pStyle w:val="Heading1"/>
      </w:pPr>
      <w:bookmarkStart w:id="3" w:name="O_785693"/>
      <w:bookmarkEnd w:id="3"/>
      <w:r w:rsidRPr="009D3B7B">
        <w:t>Knowledge Evidence</w:t>
      </w:r>
    </w:p>
    <w:p w:rsidR="00000000" w:rsidRPr="009D3B7B" w:rsidP="00FB3B47">
      <w:pPr>
        <w:pStyle w:val="BodyText"/>
      </w:pPr>
      <w:r w:rsidRPr="009D3B7B">
        <w:t>Evidence required to demonstrate competency in this unit must be relev</w:t>
      </w:r>
      <w:r w:rsidRPr="009D3B7B">
        <w:t>ant to and satisfy all of the requirements of the elements and performance criteria and include knowledge of:</w:t>
      </w:r>
    </w:p>
    <w:p w:rsidR="00000000" w:rsidRPr="009D3B7B" w:rsidP="009D3B7B">
      <w:pPr>
        <w:pStyle w:val="ListBullet"/>
      </w:pPr>
      <w:r w:rsidRPr="009D3B7B">
        <w:t>component attachment methods</w:t>
      </w:r>
    </w:p>
    <w:p w:rsidR="00000000" w:rsidRPr="009D3B7B" w:rsidP="009D3B7B">
      <w:pPr>
        <w:pStyle w:val="ListBullet"/>
      </w:pPr>
      <w:r w:rsidRPr="009D3B7B">
        <w:t>connection of hardware and plugs</w:t>
      </w:r>
    </w:p>
    <w:p w:rsidR="00000000" w:rsidRPr="009D3B7B" w:rsidP="009D3B7B">
      <w:pPr>
        <w:pStyle w:val="ListBullet"/>
      </w:pPr>
      <w:r w:rsidRPr="009D3B7B">
        <w:t>handling precautions relating to:</w:t>
      </w:r>
    </w:p>
    <w:p w:rsidR="00000000" w:rsidRPr="009D3B7B" w:rsidP="009D3B7B">
      <w:pPr>
        <w:pStyle w:val="ListBullet2"/>
      </w:pPr>
      <w:r w:rsidRPr="009D3B7B">
        <w:t>electrostatic sensitive devices</w:t>
      </w:r>
    </w:p>
    <w:p w:rsidR="00000000" w:rsidRPr="009D3B7B" w:rsidP="009D3B7B">
      <w:pPr>
        <w:pStyle w:val="ListBullet2"/>
      </w:pPr>
      <w:r w:rsidRPr="009D3B7B">
        <w:t>gyroscopes and g</w:t>
      </w:r>
      <w:r w:rsidRPr="009D3B7B">
        <w:t>imbals</w:t>
      </w:r>
    </w:p>
    <w:p w:rsidR="00000000" w:rsidRPr="009D3B7B" w:rsidP="009D3B7B">
      <w:pPr>
        <w:pStyle w:val="ListBullet"/>
      </w:pPr>
      <w:r w:rsidRPr="009D3B7B">
        <w:t>basic instrument system and component operating principles:</w:t>
      </w:r>
    </w:p>
    <w:p w:rsidR="00000000" w:rsidRPr="009D3B7B" w:rsidP="009D3B7B">
      <w:pPr>
        <w:pStyle w:val="ListBullet2"/>
      </w:pPr>
      <w:r w:rsidRPr="009D3B7B">
        <w:t>atmospherics and barometry</w:t>
      </w:r>
    </w:p>
    <w:p w:rsidR="00000000" w:rsidRPr="009D3B7B" w:rsidP="009D3B7B">
      <w:pPr>
        <w:pStyle w:val="ListBullet2"/>
      </w:pPr>
      <w:r w:rsidRPr="009D3B7B">
        <w:t>terminology and unit of measurement conversion</w:t>
      </w:r>
    </w:p>
    <w:p w:rsidR="00000000" w:rsidRPr="009D3B7B" w:rsidP="009D3B7B">
      <w:pPr>
        <w:pStyle w:val="ListBullet2"/>
      </w:pPr>
      <w:r w:rsidRPr="009D3B7B">
        <w:t>aircraft instrumentation requirements</w:t>
      </w:r>
    </w:p>
    <w:p w:rsidR="00000000" w:rsidRPr="009D3B7B" w:rsidP="009D3B7B">
      <w:pPr>
        <w:pStyle w:val="ListBullet2"/>
      </w:pPr>
      <w:r w:rsidRPr="009D3B7B">
        <w:t>instrument panel layout</w:t>
      </w:r>
    </w:p>
    <w:p w:rsidR="00000000" w:rsidRPr="009D3B7B" w:rsidP="009D3B7B">
      <w:pPr>
        <w:pStyle w:val="ListBullet2"/>
      </w:pPr>
      <w:r w:rsidRPr="009D3B7B">
        <w:t>pressure sensing elements</w:t>
      </w:r>
    </w:p>
    <w:p w:rsidR="00000000" w:rsidRPr="009D3B7B" w:rsidP="009D3B7B">
      <w:pPr>
        <w:pStyle w:val="ListBullet2"/>
      </w:pPr>
      <w:r w:rsidRPr="009D3B7B">
        <w:t>pitot static systems and testing requirements</w:t>
      </w:r>
    </w:p>
    <w:p w:rsidR="00000000" w:rsidRPr="009D3B7B" w:rsidP="009D3B7B">
      <w:pPr>
        <w:pStyle w:val="ListBullet2"/>
      </w:pPr>
      <w:r w:rsidRPr="009D3B7B">
        <w:t>gyroscopic principles</w:t>
      </w:r>
    </w:p>
    <w:p w:rsidR="00000000" w:rsidRPr="009D3B7B" w:rsidP="009D3B7B">
      <w:pPr>
        <w:pStyle w:val="ListBullet2"/>
      </w:pPr>
      <w:r w:rsidRPr="009D3B7B">
        <w:t>direct reading compasses</w:t>
      </w:r>
    </w:p>
    <w:p w:rsidR="00000000" w:rsidRPr="009D3B7B" w:rsidP="009D3B7B">
      <w:pPr>
        <w:pStyle w:val="ListBullet2"/>
      </w:pPr>
      <w:r w:rsidRPr="009D3B7B">
        <w:t>remote reading gyro compasses</w:t>
      </w:r>
    </w:p>
    <w:p w:rsidR="00000000" w:rsidRPr="009D3B7B" w:rsidP="009D3B7B">
      <w:pPr>
        <w:pStyle w:val="ListBullet2"/>
      </w:pPr>
      <w:r w:rsidRPr="009D3B7B">
        <w:t>temperature sensors</w:t>
      </w:r>
    </w:p>
    <w:p w:rsidR="00000000" w:rsidRPr="009D3B7B" w:rsidP="009D3B7B">
      <w:pPr>
        <w:pStyle w:val="ListBullet2"/>
      </w:pPr>
      <w:r w:rsidRPr="009D3B7B">
        <w:t>fluid quantity indication systems</w:t>
      </w:r>
    </w:p>
    <w:p w:rsidR="00000000" w:rsidRPr="009D3B7B" w:rsidP="009D3B7B">
      <w:pPr>
        <w:pStyle w:val="ListBullet"/>
      </w:pPr>
      <w:r w:rsidRPr="009D3B7B">
        <w:t>general layout and components of the following systems:</w:t>
      </w:r>
    </w:p>
    <w:p w:rsidR="00000000" w:rsidRPr="009D3B7B" w:rsidP="009D3B7B">
      <w:pPr>
        <w:pStyle w:val="ListBullet2"/>
      </w:pPr>
      <w:r w:rsidRPr="009D3B7B">
        <w:t>flight systems, inclu</w:t>
      </w:r>
      <w:r w:rsidRPr="009D3B7B">
        <w:t>ding:</w:t>
      </w:r>
    </w:p>
    <w:p w:rsidR="00000000" w:rsidRPr="009D3B7B" w:rsidP="009D3B7B">
      <w:pPr>
        <w:pStyle w:val="ListBullet3"/>
      </w:pPr>
      <w:r w:rsidRPr="009D3B7B">
        <w:t>altitude (direct reading altimeters)</w:t>
      </w:r>
    </w:p>
    <w:p w:rsidR="00000000" w:rsidRPr="009D3B7B" w:rsidP="009D3B7B">
      <w:pPr>
        <w:pStyle w:val="ListBullet3"/>
      </w:pPr>
      <w:r w:rsidRPr="009D3B7B">
        <w:t>attitude, including directional gyros and artificial horizons (both air and electrically driven), turn and slip and turn coordinator</w:t>
      </w:r>
    </w:p>
    <w:p w:rsidR="00000000" w:rsidRPr="009D3B7B" w:rsidP="009D3B7B">
      <w:pPr>
        <w:pStyle w:val="ListBullet3"/>
      </w:pPr>
      <w:r w:rsidRPr="009D3B7B">
        <w:t>airspeed</w:t>
      </w:r>
    </w:p>
    <w:p w:rsidR="00000000" w:rsidRPr="009D3B7B" w:rsidP="009D3B7B">
      <w:pPr>
        <w:pStyle w:val="ListBullet3"/>
      </w:pPr>
      <w:r w:rsidRPr="009D3B7B">
        <w:t>OAT</w:t>
      </w:r>
    </w:p>
    <w:p w:rsidR="00000000" w:rsidRPr="009D3B7B" w:rsidP="009D3B7B">
      <w:pPr>
        <w:pStyle w:val="ListBullet2"/>
      </w:pPr>
      <w:r w:rsidRPr="009D3B7B">
        <w:t>remote reading gyro compass system</w:t>
      </w:r>
    </w:p>
    <w:p w:rsidR="00000000" w:rsidRPr="009D3B7B" w:rsidP="009D3B7B">
      <w:pPr>
        <w:pStyle w:val="ListBullet2"/>
      </w:pPr>
      <w:r w:rsidRPr="009D3B7B">
        <w:t>piton engine indication systems, including:</w:t>
      </w:r>
    </w:p>
    <w:p w:rsidR="00000000" w:rsidRPr="009D3B7B" w:rsidP="009D3B7B">
      <w:pPr>
        <w:pStyle w:val="ListBullet3"/>
      </w:pPr>
      <w:r w:rsidRPr="009D3B7B">
        <w:t>direct reading temperature</w:t>
      </w:r>
    </w:p>
    <w:p w:rsidR="00000000" w:rsidRPr="009D3B7B" w:rsidP="009D3B7B">
      <w:pPr>
        <w:pStyle w:val="ListBullet3"/>
      </w:pPr>
      <w:r w:rsidRPr="009D3B7B">
        <w:t>direct reading pressure (e.g. oil pressure)</w:t>
      </w:r>
    </w:p>
    <w:p w:rsidR="00000000" w:rsidRPr="009D3B7B" w:rsidP="009D3B7B">
      <w:pPr>
        <w:pStyle w:val="ListBullet3"/>
      </w:pPr>
      <w:r w:rsidRPr="009D3B7B">
        <w:t>speed, including mechanical and electric tachometers</w:t>
      </w:r>
    </w:p>
    <w:p w:rsidR="00000000" w:rsidRPr="009D3B7B" w:rsidP="009D3B7B">
      <w:pPr>
        <w:pStyle w:val="ListBullet3"/>
      </w:pPr>
      <w:r w:rsidRPr="009D3B7B">
        <w:t>manifold pressure/boost, including aneroid, sylphon bellows and dual compartment types</w:t>
      </w:r>
    </w:p>
    <w:p w:rsidR="00000000" w:rsidRPr="009D3B7B" w:rsidP="009D3B7B">
      <w:pPr>
        <w:pStyle w:val="ListBullet2"/>
      </w:pPr>
      <w:r w:rsidRPr="009D3B7B">
        <w:t>gas turbine engine indication systems, including:</w:t>
      </w:r>
    </w:p>
    <w:p w:rsidR="00000000" w:rsidRPr="009D3B7B" w:rsidP="009D3B7B">
      <w:pPr>
        <w:pStyle w:val="ListBullet3"/>
      </w:pPr>
      <w:r w:rsidRPr="009D3B7B">
        <w:t xml:space="preserve">temperature and pressure </w:t>
      </w:r>
    </w:p>
    <w:p w:rsidR="00000000" w:rsidRPr="009D3B7B" w:rsidP="009D3B7B">
      <w:pPr>
        <w:pStyle w:val="ListBullet3"/>
      </w:pPr>
      <w:r w:rsidRPr="009D3B7B">
        <w:t>speed, including mechanical and electric tachometers</w:t>
      </w:r>
    </w:p>
    <w:p w:rsidR="00000000" w:rsidRPr="009D3B7B" w:rsidP="009D3B7B">
      <w:pPr>
        <w:pStyle w:val="ListBullet3"/>
      </w:pPr>
      <w:r w:rsidRPr="009D3B7B">
        <w:t>torque</w:t>
      </w:r>
    </w:p>
    <w:p w:rsidR="00000000" w:rsidRPr="009D3B7B" w:rsidP="009D3B7B">
      <w:pPr>
        <w:pStyle w:val="ListBullet3"/>
      </w:pPr>
      <w:r w:rsidRPr="009D3B7B">
        <w:t>fuel flow</w:t>
      </w:r>
    </w:p>
    <w:p w:rsidR="00000000" w:rsidRPr="009D3B7B" w:rsidP="009D3B7B">
      <w:pPr>
        <w:pStyle w:val="ListBullet3"/>
      </w:pPr>
      <w:r w:rsidRPr="009D3B7B">
        <w:t>vibration</w:t>
      </w:r>
    </w:p>
    <w:p w:rsidR="00000000" w:rsidRPr="009D3B7B" w:rsidP="009D3B7B">
      <w:pPr>
        <w:pStyle w:val="ListBullet2"/>
      </w:pPr>
      <w:r w:rsidRPr="009D3B7B">
        <w:t>auxiliary direct reading systems, including:</w:t>
      </w:r>
    </w:p>
    <w:p w:rsidR="00000000" w:rsidRPr="009D3B7B" w:rsidP="009D3B7B">
      <w:pPr>
        <w:pStyle w:val="ListBullet3"/>
      </w:pPr>
      <w:r w:rsidRPr="009D3B7B">
        <w:t>electrical</w:t>
      </w:r>
    </w:p>
    <w:p w:rsidR="00000000" w:rsidRPr="009D3B7B" w:rsidP="009D3B7B">
      <w:pPr>
        <w:pStyle w:val="ListBullet3"/>
      </w:pPr>
      <w:r w:rsidRPr="009D3B7B">
        <w:t>hydraulic pressure</w:t>
      </w:r>
    </w:p>
    <w:p w:rsidR="00000000" w:rsidRPr="009D3B7B" w:rsidP="009D3B7B">
      <w:pPr>
        <w:pStyle w:val="ListBullet3"/>
      </w:pPr>
      <w:r w:rsidRPr="009D3B7B">
        <w:t>pneumatic pressure and vacuum</w:t>
      </w:r>
    </w:p>
    <w:p w:rsidR="00000000" w:rsidRPr="009D3B7B" w:rsidP="009D3B7B">
      <w:pPr>
        <w:pStyle w:val="ListBullet3"/>
      </w:pPr>
      <w:r w:rsidRPr="009D3B7B">
        <w:t>basic fuel quantity indication</w:t>
      </w:r>
    </w:p>
    <w:p w:rsidR="00000000" w:rsidRPr="009D3B7B" w:rsidP="009D3B7B">
      <w:pPr>
        <w:pStyle w:val="ListBullet"/>
      </w:pPr>
      <w:r w:rsidRPr="009D3B7B">
        <w:t>relevant WHS practices</w:t>
      </w:r>
    </w:p>
    <w:p w:rsidR="00000000" w:rsidRPr="009D3B7B" w:rsidP="009D3B7B">
      <w:pPr>
        <w:pStyle w:val="ListBullet"/>
      </w:pPr>
      <w:r w:rsidRPr="009D3B7B">
        <w:t>relevant maintenance manuals</w:t>
      </w:r>
    </w:p>
    <w:p w:rsidR="00000000" w:rsidRPr="009D3B7B" w:rsidP="009D3B7B">
      <w:pPr>
        <w:pStyle w:val="ListBullet"/>
      </w:pPr>
      <w:r w:rsidRPr="009D3B7B">
        <w:t>relevant regulatory requirements and standard procedures.</w:t>
      </w:r>
    </w:p>
    <w:p w:rsidR="00000000" w:rsidRPr="009D3B7B" w:rsidP="009D3B7B">
      <w:pPr>
        <w:pStyle w:val="AllowPageBreak"/>
      </w:pPr>
    </w:p>
    <w:p w:rsidR="00000000" w:rsidRPr="009D3B7B" w:rsidP="009D3B7B">
      <w:pPr>
        <w:pStyle w:val="Heading1"/>
      </w:pPr>
      <w:bookmarkStart w:id="4" w:name="O_785692"/>
      <w:bookmarkEnd w:id="4"/>
      <w:r w:rsidRPr="009D3B7B">
        <w:t>Assessment Conditions</w:t>
      </w:r>
    </w:p>
    <w:p w:rsidR="00000000" w:rsidRPr="009D3B7B" w:rsidP="009D3B7B">
      <w:pPr>
        <w:pStyle w:val="ListBullet"/>
      </w:pPr>
      <w:r w:rsidRPr="009D3B7B">
        <w:t>Competency should be assessed in the workplace or simulated workplace using tools and equipment specified in maintenance manuals. It is also expected that general-purpose tools, test and ground support equipment found in most routine maintenance situations</w:t>
      </w:r>
      <w:r w:rsidRPr="009D3B7B">
        <w:t xml:space="preserve"> would be used where appropriate.</w:t>
      </w:r>
    </w:p>
    <w:p w:rsidR="00000000" w:rsidRPr="009D3B7B" w:rsidP="009D3B7B">
      <w:pPr>
        <w:pStyle w:val="ListBullet"/>
      </w:pPr>
      <w:r w:rsidRPr="009D3B7B">
        <w:t>An understanding of the attachment methods, connection of hardware, and the need for adjustment or calibration and system operation as they relate to the work must be demonstrated before undertaking any action. The work pl</w:t>
      </w:r>
      <w:r w:rsidRPr="009D3B7B">
        <w:t>an should take account of applicable safety and quality requirements in accordance with the industry and regulatory standards.</w:t>
      </w:r>
    </w:p>
    <w:p w:rsidR="00000000" w:rsidRPr="009D3B7B" w:rsidP="009D3B7B">
      <w:pPr>
        <w:pStyle w:val="ListBullet"/>
      </w:pPr>
      <w:r w:rsidRPr="009D3B7B">
        <w:t>The following conditions of assessment represent the requirements of the Regulators (ADF and CASA) and maintenance stakeholders a</w:t>
      </w:r>
      <w:r w:rsidRPr="009D3B7B">
        <w:t xml:space="preserve">nd must be rigorously observed. </w:t>
      </w:r>
    </w:p>
    <w:p w:rsidR="00000000" w:rsidRPr="009D3B7B" w:rsidP="009D3B7B">
      <w:pPr>
        <w:pStyle w:val="ListBullet"/>
      </w:pPr>
      <w:r w:rsidRPr="009D3B7B">
        <w:t>A person cannot be assessed as competent until it can be demonstrated to the satisfaction of the workplace assessor that the relevant elements and performance criteria of the unit of competency are being achieved under rout</w:t>
      </w:r>
      <w:r w:rsidRPr="009D3B7B">
        <w:t>ine supervision on at least one (1) component from each of:</w:t>
      </w:r>
    </w:p>
    <w:p w:rsidR="00000000" w:rsidRPr="009D3B7B" w:rsidP="009D3B7B">
      <w:pPr>
        <w:pStyle w:val="ListBullet2"/>
      </w:pPr>
      <w:r w:rsidRPr="009D3B7B">
        <w:t>pitot/static system components, ASIs, VSIs and counter pointer altimeters</w:t>
      </w:r>
    </w:p>
    <w:p w:rsidR="00000000" w:rsidRPr="009D3B7B" w:rsidP="009D3B7B">
      <w:pPr>
        <w:pStyle w:val="ListBullet2"/>
      </w:pPr>
      <w:r w:rsidRPr="009D3B7B">
        <w:t>DGs and AHs, both air and electrically driven</w:t>
      </w:r>
    </w:p>
    <w:p w:rsidR="00000000" w:rsidRPr="009D3B7B" w:rsidP="009D3B7B">
      <w:pPr>
        <w:pStyle w:val="ListBullet2"/>
      </w:pPr>
      <w:r w:rsidRPr="009D3B7B">
        <w:t>turn and bank and slip/turn coordinators</w:t>
      </w:r>
    </w:p>
    <w:p w:rsidR="00000000" w:rsidRPr="009D3B7B" w:rsidP="009D3B7B">
      <w:pPr>
        <w:pStyle w:val="ListBullet2"/>
      </w:pPr>
      <w:r w:rsidRPr="009D3B7B">
        <w:t>remote reading gyro compass system</w:t>
      </w:r>
      <w:r w:rsidRPr="009D3B7B">
        <w:t xml:space="preserve"> (may be omitted if not relevant to the enterprise)</w:t>
      </w:r>
    </w:p>
    <w:p w:rsidR="00000000" w:rsidRPr="009D3B7B" w:rsidP="009D3B7B">
      <w:pPr>
        <w:pStyle w:val="ListBullet2"/>
      </w:pPr>
      <w:r w:rsidRPr="009D3B7B">
        <w:t>direct reading compasses</w:t>
      </w:r>
    </w:p>
    <w:p w:rsidR="00000000" w:rsidRPr="009D3B7B" w:rsidP="009D3B7B">
      <w:pPr>
        <w:pStyle w:val="ListBullet2"/>
      </w:pPr>
      <w:r w:rsidRPr="009D3B7B">
        <w:t>piston engine indication system components (direct reading measuring instruments and temperature indication)</w:t>
      </w:r>
    </w:p>
    <w:p w:rsidR="00000000" w:rsidRPr="009D3B7B" w:rsidP="009D3B7B">
      <w:pPr>
        <w:pStyle w:val="ListBullet2"/>
      </w:pPr>
      <w:r w:rsidRPr="009D3B7B">
        <w:t>gas turbine engine indication system components (may be omitted if not relevant to the enterprise)</w:t>
      </w:r>
    </w:p>
    <w:p w:rsidR="00000000" w:rsidRPr="009D3B7B" w:rsidP="009D3B7B">
      <w:pPr>
        <w:pStyle w:val="ListBullet2"/>
      </w:pPr>
      <w:r w:rsidRPr="009D3B7B">
        <w:t>electrical systems indication (voltage, current, power and frequency)</w:t>
      </w:r>
    </w:p>
    <w:p w:rsidR="00000000" w:rsidRPr="009D3B7B" w:rsidP="009D3B7B">
      <w:pPr>
        <w:pStyle w:val="ListBullet2"/>
      </w:pPr>
      <w:r w:rsidRPr="009D3B7B">
        <w:t>basic fuel quantity indication system components</w:t>
      </w:r>
    </w:p>
    <w:p w:rsidR="00000000" w:rsidRPr="009D3B7B" w:rsidP="009D3B7B">
      <w:pPr>
        <w:pStyle w:val="ListBullet2"/>
      </w:pPr>
      <w:r w:rsidRPr="009D3B7B">
        <w:t>pneumatic/vacuum indication system com</w:t>
      </w:r>
      <w:r w:rsidRPr="009D3B7B">
        <w:t>ponents.</w:t>
      </w:r>
    </w:p>
    <w:p w:rsidR="00000000" w:rsidRPr="009D3B7B" w:rsidP="009D3B7B">
      <w:pPr>
        <w:pStyle w:val="ListBullet"/>
      </w:pPr>
      <w:r w:rsidRPr="009D3B7B">
        <w:t>This shall be established via the records in the Log of Industrial Experience and Achievement or, where appropriate, an equivalent Industry Evidence Guide (for details refer to the Companion Volume Assessment Guidelines).</w:t>
      </w:r>
    </w:p>
    <w:p w:rsidR="00000000" w:rsidRPr="009D3B7B" w:rsidP="009D3B7B">
      <w:pPr>
        <w:pStyle w:val="ListBullet"/>
      </w:pPr>
      <w:r w:rsidRPr="009D3B7B">
        <w:t>Assessors must satisfy t</w:t>
      </w:r>
      <w:r w:rsidRPr="009D3B7B">
        <w:t>he requirements of the National Vocational Education and Training Regulator (Australian Skills Quality Authority, or its successors).</w:t>
      </w:r>
    </w:p>
    <w:p w:rsidR="00000000" w:rsidRPr="009D3B7B" w:rsidP="009D3B7B">
      <w:pPr>
        <w:pStyle w:val="ListBullet"/>
      </w:pPr>
      <w:r w:rsidRPr="009D3B7B">
        <w:t>Where the unit is to be used for CASA licensing purposes the Assessor must also meet the criteria specified in the CASR Pa</w:t>
      </w:r>
      <w:r w:rsidRPr="009D3B7B">
        <w:t>rt 147 Manual of Standards.</w:t>
      </w:r>
    </w:p>
    <w:p w:rsidR="00000000" w:rsidRPr="009D3B7B" w:rsidP="009D3B7B">
      <w:pPr>
        <w:pStyle w:val="ListBullet"/>
      </w:pPr>
      <w:r w:rsidRPr="009D3B7B">
        <w:t>Individuals being assessed who have already attained MEA275 Maintain basic light aircraft instrument systems and components will have met all of the criteria for this unit. The Log of Industrial Experience and Achievement record</w:t>
      </w:r>
      <w:r w:rsidRPr="009D3B7B">
        <w:t>s relating to MEA275 Maintain basic light aircraft instrument systems and components may be accepted as also meeting the evidence requirements for this unit.</w:t>
      </w:r>
    </w:p>
    <w:p w:rsidR="00000000" w:rsidRPr="009D3B7B" w:rsidP="009D3B7B">
      <w:pPr>
        <w:pStyle w:val="AllowPageBreak"/>
      </w:pPr>
    </w:p>
    <w:p w:rsidR="00000000" w:rsidRPr="009D3B7B" w:rsidP="009D3B7B">
      <w:pPr>
        <w:pStyle w:val="Heading1"/>
      </w:pPr>
      <w:bookmarkStart w:id="5" w:name="O_785707"/>
      <w:bookmarkEnd w:id="5"/>
      <w:r w:rsidRPr="009D3B7B">
        <w:t>Links</w:t>
      </w:r>
    </w:p>
    <w:p w:rsidR="00000000" w:rsidRPr="009D3B7B" w:rsidP="00FB3B47">
      <w:pPr>
        <w:pStyle w:val="BodyText"/>
      </w:pPr>
      <w:r w:rsidRPr="009D3B7B">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41979">
        <w:rPr>
          <w:rStyle w:val="Hyperlink"/>
        </w:rPr>
        <w:t>https://vetnet.education.gov.au/Pages/TrainingDocs.aspx?q=ce216c9c-04d5-4b3b-9bcf-4e81d0950371</w:t>
      </w:r>
      <w:r>
        <w:fldChar w:fldCharType="end"/>
      </w:r>
    </w:p>
    <w:p w:rsidR="00000000" w:rsidRPr="009D3B7B" w:rsidP="009D3B7B"/>
    <w:sectPr w:rsidSect="009D3B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7B" w:rsidRPr="00FB3B47" w:rsidP="00FB3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47" w:rsidP="009D3B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3B47" w:rsidP="009D3B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3B47" w:rsidP="009D3B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B7B" w:rsidRPr="00FB3B47" w:rsidP="00FB3B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B47" w:rsidRPr="002D2AF8" w:rsidP="009D3B7B">
    <w:pPr>
      <w:pStyle w:val="Header"/>
      <w:framePr w:wrap="around"/>
    </w:pPr>
    <w:r>
      <w:fldChar w:fldCharType="begin"/>
    </w:r>
    <w:r>
      <w:instrText xml:space="preserve"> TITLE   \* MERGEFORMAT </w:instrText>
    </w:r>
    <w:r>
      <w:fldChar w:fldCharType="separate"/>
    </w:r>
    <w:r>
      <w:t>Assessment Requirements for MEA204 Remove and install basic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B3B47" w:rsidP="009D3B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0B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EE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00F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B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B7B"/>
    <w:pPr>
      <w:spacing w:before="360" w:after="60"/>
      <w:outlineLvl w:val="0"/>
    </w:pPr>
    <w:rPr>
      <w:sz w:val="32"/>
    </w:rPr>
  </w:style>
  <w:style w:type="paragraph" w:styleId="Heading2">
    <w:name w:val="heading 2"/>
    <w:basedOn w:val="HeadingBase"/>
    <w:next w:val="BodyText"/>
    <w:link w:val="Heading2Char"/>
    <w:qFormat/>
    <w:rsid w:val="009D3B7B"/>
    <w:pPr>
      <w:keepLines/>
      <w:spacing w:before="240" w:after="120"/>
      <w:outlineLvl w:val="1"/>
    </w:pPr>
    <w:rPr>
      <w:sz w:val="28"/>
      <w:szCs w:val="40"/>
    </w:rPr>
  </w:style>
  <w:style w:type="paragraph" w:styleId="Heading3">
    <w:name w:val="heading 3"/>
    <w:basedOn w:val="HeadingBase"/>
    <w:next w:val="BodyText"/>
    <w:link w:val="Heading3Char"/>
    <w:qFormat/>
    <w:rsid w:val="009D3B7B"/>
    <w:pPr>
      <w:spacing w:before="180" w:after="120"/>
      <w:outlineLvl w:val="2"/>
    </w:pPr>
    <w:rPr>
      <w:spacing w:val="-10"/>
      <w:kern w:val="32"/>
    </w:rPr>
  </w:style>
  <w:style w:type="paragraph" w:styleId="Heading4">
    <w:name w:val="heading 4"/>
    <w:basedOn w:val="HeadingBase"/>
    <w:next w:val="BodyText"/>
    <w:link w:val="Heading4Char"/>
    <w:qFormat/>
    <w:rsid w:val="009D3B7B"/>
    <w:pPr>
      <w:spacing w:before="160" w:after="120"/>
      <w:outlineLvl w:val="3"/>
    </w:pPr>
    <w:rPr>
      <w:sz w:val="22"/>
    </w:rPr>
  </w:style>
  <w:style w:type="paragraph" w:styleId="Heading5">
    <w:name w:val="heading 5"/>
    <w:basedOn w:val="HeadingBase"/>
    <w:next w:val="Normal"/>
    <w:link w:val="Heading5Char"/>
    <w:qFormat/>
    <w:rsid w:val="009D3B7B"/>
    <w:pPr>
      <w:spacing w:before="80"/>
      <w:outlineLvl w:val="4"/>
    </w:pPr>
    <w:rPr>
      <w:color w:val="918585"/>
      <w:sz w:val="20"/>
    </w:rPr>
  </w:style>
  <w:style w:type="paragraph" w:styleId="Heading6">
    <w:name w:val="heading 6"/>
    <w:basedOn w:val="HeadingBase"/>
    <w:next w:val="Normal"/>
    <w:link w:val="Heading6Char"/>
    <w:qFormat/>
    <w:rsid w:val="009D3B7B"/>
    <w:pPr>
      <w:spacing w:before="60"/>
      <w:outlineLvl w:val="5"/>
    </w:pPr>
    <w:rPr>
      <w:color w:val="918585"/>
      <w:sz w:val="20"/>
    </w:rPr>
  </w:style>
  <w:style w:type="paragraph" w:styleId="Heading7">
    <w:name w:val="heading 7"/>
    <w:basedOn w:val="Normal"/>
    <w:next w:val="Normal"/>
    <w:link w:val="Heading7Char"/>
    <w:qFormat/>
    <w:rsid w:val="009D3B7B"/>
    <w:pPr>
      <w:ind w:left="720"/>
      <w:outlineLvl w:val="6"/>
    </w:pPr>
    <w:rPr>
      <w:i/>
    </w:rPr>
  </w:style>
  <w:style w:type="paragraph" w:styleId="Heading8">
    <w:name w:val="heading 8"/>
    <w:basedOn w:val="Normal"/>
    <w:next w:val="Normal"/>
    <w:link w:val="Heading8Char"/>
    <w:qFormat/>
    <w:rsid w:val="009D3B7B"/>
    <w:pPr>
      <w:ind w:left="720"/>
      <w:outlineLvl w:val="7"/>
    </w:pPr>
    <w:rPr>
      <w:i/>
    </w:rPr>
  </w:style>
  <w:style w:type="paragraph" w:styleId="Heading9">
    <w:name w:val="heading 9"/>
    <w:basedOn w:val="Normal"/>
    <w:next w:val="Normal"/>
    <w:link w:val="Heading9Char"/>
    <w:qFormat/>
    <w:rsid w:val="009D3B7B"/>
    <w:pPr>
      <w:ind w:left="720"/>
      <w:outlineLvl w:val="8"/>
    </w:pPr>
    <w:rPr>
      <w:i/>
    </w:rPr>
  </w:style>
  <w:style w:type="character" w:default="1" w:styleId="DefaultParagraphFont">
    <w:name w:val="Default Paragraph Font"/>
    <w:uiPriority w:val="1"/>
    <w:unhideWhenUsed/>
    <w:rsid w:val="009D3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B7B"/>
  </w:style>
  <w:style w:type="character" w:customStyle="1" w:styleId="Heading1Char">
    <w:name w:val="Heading 1 Char"/>
    <w:basedOn w:val="DefaultParagraphFont"/>
    <w:link w:val="Heading1"/>
    <w:rsid w:val="009D3B7B"/>
    <w:rPr>
      <w:rFonts w:ascii="Times New Roman" w:eastAsia="Times New Roman" w:hAnsi="Times New Roman" w:cs="Times New Roman"/>
      <w:b/>
      <w:sz w:val="32"/>
      <w:szCs w:val="20"/>
      <w:lang w:eastAsia="en-US"/>
    </w:rPr>
  </w:style>
  <w:style w:type="paragraph" w:styleId="BodyText">
    <w:name w:val="Body Text"/>
    <w:basedOn w:val="Normal"/>
    <w:link w:val="BodyTextChar"/>
    <w:rsid w:val="009D3B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B7B"/>
    <w:rPr>
      <w:rFonts w:ascii="Times New Roman" w:eastAsia="Times New Roman" w:hAnsi="Times New Roman" w:cs="Times New Roman"/>
      <w:sz w:val="24"/>
      <w:lang w:eastAsia="en-US"/>
    </w:rPr>
  </w:style>
  <w:style w:type="paragraph" w:styleId="ListBullet">
    <w:name w:val="List Bullet"/>
    <w:basedOn w:val="List"/>
    <w:rsid w:val="009D3B7B"/>
    <w:pPr>
      <w:numPr>
        <w:numId w:val="13"/>
      </w:numPr>
      <w:tabs>
        <w:tab w:val="clear" w:pos="340"/>
      </w:tabs>
      <w:spacing w:before="40" w:after="40"/>
    </w:pPr>
  </w:style>
  <w:style w:type="paragraph" w:styleId="ListBullet2">
    <w:name w:val="List Bullet 2"/>
    <w:basedOn w:val="List2"/>
    <w:rsid w:val="009D3B7B"/>
    <w:pPr>
      <w:numPr>
        <w:numId w:val="14"/>
      </w:numPr>
      <w:tabs>
        <w:tab w:val="clear" w:pos="680"/>
      </w:tabs>
    </w:pPr>
  </w:style>
  <w:style w:type="paragraph" w:customStyle="1" w:styleId="SuperHeading">
    <w:name w:val="SuperHeading"/>
    <w:basedOn w:val="Normal"/>
    <w:rsid w:val="009D3B7B"/>
    <w:pPr>
      <w:spacing w:before="240" w:after="120"/>
      <w:outlineLvl w:val="0"/>
    </w:pPr>
    <w:rPr>
      <w:rFonts w:ascii="Times New Roman" w:hAnsi="Times New Roman"/>
      <w:b/>
      <w:sz w:val="32"/>
    </w:rPr>
  </w:style>
  <w:style w:type="paragraph" w:customStyle="1" w:styleId="AllowPageBreak">
    <w:name w:val="AllowPageBreak"/>
    <w:rsid w:val="009D3B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3B7B"/>
    <w:pPr>
      <w:numPr>
        <w:numId w:val="3"/>
      </w:numPr>
      <w:tabs>
        <w:tab w:val="clear" w:pos="1021"/>
      </w:tabs>
      <w:ind w:left="1037" w:hanging="357"/>
    </w:pPr>
  </w:style>
  <w:style w:type="character" w:customStyle="1" w:styleId="Heading2Char">
    <w:name w:val="Heading 2 Char"/>
    <w:basedOn w:val="DefaultParagraphFont"/>
    <w:link w:val="Heading2"/>
    <w:rsid w:val="009D3B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B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B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B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B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B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B7B"/>
    <w:rPr>
      <w:rFonts w:ascii="Courier New" w:eastAsia="Times New Roman" w:hAnsi="Courier New" w:cs="Times New Roman"/>
      <w:i/>
      <w:szCs w:val="20"/>
      <w:lang w:eastAsia="en-US"/>
    </w:rPr>
  </w:style>
  <w:style w:type="paragraph" w:customStyle="1" w:styleId="HeadingBase">
    <w:name w:val="Heading Base"/>
    <w:rsid w:val="009D3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B7B"/>
    <w:pPr>
      <w:tabs>
        <w:tab w:val="right" w:leader="dot" w:pos="9072"/>
      </w:tabs>
      <w:ind w:left="567"/>
    </w:pPr>
    <w:rPr>
      <w:szCs w:val="22"/>
    </w:rPr>
  </w:style>
  <w:style w:type="paragraph" w:customStyle="1" w:styleId="TOCBase">
    <w:name w:val="TOC Base"/>
    <w:rsid w:val="009D3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B7B"/>
    <w:pPr>
      <w:tabs>
        <w:tab w:val="right" w:leader="dot" w:pos="9072"/>
      </w:tabs>
      <w:spacing w:before="40" w:after="40"/>
      <w:ind w:left="284"/>
    </w:pPr>
    <w:rPr>
      <w:rFonts w:ascii="Times New Roman" w:hAnsi="Times New Roman"/>
    </w:rPr>
  </w:style>
  <w:style w:type="paragraph" w:styleId="TOC1">
    <w:name w:val="toc 1"/>
    <w:basedOn w:val="TOCBase"/>
    <w:next w:val="Normal"/>
    <w:rsid w:val="009D3B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B7B"/>
    <w:rPr>
      <w:rFonts w:ascii="Times New Roman" w:eastAsia="Times New Roman" w:hAnsi="Times New Roman" w:cs="Times New Roman"/>
      <w:sz w:val="16"/>
      <w:lang w:eastAsia="en-US"/>
    </w:rPr>
  </w:style>
  <w:style w:type="paragraph" w:styleId="Title">
    <w:name w:val="Title"/>
    <w:basedOn w:val="HeadingBase"/>
    <w:link w:val="TitleChar"/>
    <w:qFormat/>
    <w:rsid w:val="009D3B7B"/>
    <w:pPr>
      <w:spacing w:before="5040"/>
      <w:jc w:val="center"/>
    </w:pPr>
    <w:rPr>
      <w:sz w:val="48"/>
      <w:szCs w:val="72"/>
      <w:lang w:val="en-US"/>
    </w:rPr>
  </w:style>
  <w:style w:type="character" w:customStyle="1" w:styleId="TitleChar">
    <w:name w:val="Title Char"/>
    <w:basedOn w:val="DefaultParagraphFont"/>
    <w:link w:val="Title"/>
    <w:rsid w:val="009D3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B7B"/>
    <w:pPr>
      <w:tabs>
        <w:tab w:val="left" w:pos="3600"/>
        <w:tab w:val="left" w:pos="3958"/>
      </w:tabs>
    </w:pPr>
  </w:style>
  <w:style w:type="paragraph" w:styleId="List">
    <w:name w:val="List"/>
    <w:basedOn w:val="BodyText"/>
    <w:next w:val="BodyText"/>
    <w:rsid w:val="009D3B7B"/>
    <w:pPr>
      <w:tabs>
        <w:tab w:val="left" w:pos="340"/>
      </w:tabs>
      <w:spacing w:before="60" w:after="60"/>
      <w:ind w:left="340" w:hanging="340"/>
    </w:pPr>
  </w:style>
  <w:style w:type="paragraph" w:customStyle="1" w:styleId="Note">
    <w:name w:val="Note"/>
    <w:basedOn w:val="BodyText"/>
    <w:rsid w:val="009D3B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3B7B"/>
    <w:rPr>
      <w:b/>
      <w:spacing w:val="0"/>
    </w:rPr>
  </w:style>
  <w:style w:type="paragraph" w:customStyle="1" w:styleId="SuperTitle">
    <w:name w:val="SuperTitle"/>
    <w:basedOn w:val="Title"/>
    <w:rsid w:val="009D3B7B"/>
    <w:pPr>
      <w:framePr w:wrap="auto" w:hAnchor="text" w:y="6049"/>
    </w:pPr>
    <w:rPr>
      <w:color w:val="000000"/>
      <w:sz w:val="40"/>
    </w:rPr>
  </w:style>
  <w:style w:type="paragraph" w:customStyle="1" w:styleId="TOCTitle">
    <w:name w:val="TOCTitle"/>
    <w:basedOn w:val="Heading1"/>
    <w:rsid w:val="009D3B7B"/>
    <w:pPr>
      <w:spacing w:after="240"/>
      <w:jc w:val="center"/>
      <w:outlineLvl w:val="9"/>
    </w:pPr>
    <w:rPr>
      <w:caps/>
    </w:rPr>
  </w:style>
  <w:style w:type="paragraph" w:customStyle="1" w:styleId="Version">
    <w:name w:val="Version"/>
    <w:rsid w:val="009D3B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B7B"/>
    <w:pPr>
      <w:keepNext w:val="0"/>
      <w:tabs>
        <w:tab w:val="right" w:pos="4176"/>
      </w:tabs>
      <w:ind w:left="198" w:hanging="198"/>
    </w:pPr>
    <w:rPr>
      <w:rFonts w:ascii="Garamond" w:hAnsi="Garamond"/>
    </w:rPr>
  </w:style>
  <w:style w:type="paragraph" w:styleId="IndexHeading">
    <w:name w:val="index heading"/>
    <w:basedOn w:val="Normal"/>
    <w:next w:val="Index1"/>
    <w:semiHidden/>
    <w:rsid w:val="009D3B7B"/>
    <w:pPr>
      <w:spacing w:before="120" w:after="120"/>
    </w:pPr>
    <w:rPr>
      <w:rFonts w:ascii="Arial" w:hAnsi="Arial"/>
      <w:b/>
      <w:color w:val="918585"/>
      <w:sz w:val="24"/>
    </w:rPr>
  </w:style>
  <w:style w:type="paragraph" w:styleId="Header">
    <w:name w:val="header"/>
    <w:basedOn w:val="Normal"/>
    <w:link w:val="HeaderChar"/>
    <w:rsid w:val="009D3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B7B"/>
    <w:rPr>
      <w:rFonts w:ascii="Times New Roman" w:eastAsia="Times New Roman" w:hAnsi="Times New Roman" w:cs="Times New Roman"/>
      <w:sz w:val="16"/>
      <w:szCs w:val="20"/>
      <w:lang w:val="en-GB" w:eastAsia="en-US"/>
    </w:rPr>
  </w:style>
  <w:style w:type="paragraph" w:customStyle="1" w:styleId="Chapter">
    <w:name w:val="Chapter"/>
    <w:basedOn w:val="Normal"/>
    <w:rsid w:val="009D3B7B"/>
    <w:pPr>
      <w:spacing w:before="240"/>
    </w:pPr>
    <w:rPr>
      <w:rFonts w:ascii="Times New Roman" w:hAnsi="Times New Roman"/>
      <w:smallCaps/>
      <w:spacing w:val="80"/>
      <w:sz w:val="28"/>
    </w:rPr>
  </w:style>
  <w:style w:type="paragraph" w:customStyle="1" w:styleId="InChapter">
    <w:name w:val="InChapter"/>
    <w:basedOn w:val="Heading3"/>
    <w:rsid w:val="009D3B7B"/>
    <w:pPr>
      <w:spacing w:after="240"/>
      <w:outlineLvl w:val="9"/>
    </w:pPr>
    <w:rPr>
      <w:noProof/>
    </w:rPr>
  </w:style>
  <w:style w:type="paragraph" w:styleId="Index2">
    <w:name w:val="index 2"/>
    <w:basedOn w:val="Normal"/>
    <w:next w:val="Normal"/>
    <w:semiHidden/>
    <w:rsid w:val="009D3B7B"/>
    <w:pPr>
      <w:tabs>
        <w:tab w:val="right" w:pos="4176"/>
      </w:tabs>
      <w:ind w:left="568" w:hanging="284"/>
    </w:pPr>
    <w:rPr>
      <w:rFonts w:ascii="Garamond" w:hAnsi="Garamond"/>
    </w:rPr>
  </w:style>
  <w:style w:type="paragraph" w:customStyle="1" w:styleId="Byline">
    <w:name w:val="Byline"/>
    <w:rsid w:val="009D3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B7B"/>
    <w:pPr>
      <w:tabs>
        <w:tab w:val="clear" w:pos="3600"/>
        <w:tab w:val="clear" w:pos="3958"/>
      </w:tabs>
      <w:jc w:val="right"/>
    </w:pPr>
  </w:style>
  <w:style w:type="character" w:styleId="Emphasis">
    <w:name w:val="Emphasis"/>
    <w:basedOn w:val="DefaultParagraphFont"/>
    <w:qFormat/>
    <w:rsid w:val="009D3B7B"/>
    <w:rPr>
      <w:i/>
    </w:rPr>
  </w:style>
  <w:style w:type="paragraph" w:styleId="Caption">
    <w:name w:val="caption"/>
    <w:basedOn w:val="BodyText"/>
    <w:next w:val="Normal"/>
    <w:qFormat/>
    <w:rsid w:val="009D3B7B"/>
    <w:pPr>
      <w:framePr w:w="2268" w:hSpace="181" w:vSpace="181" w:wrap="around" w:vAnchor="text" w:hAnchor="page" w:x="1135" w:y="285" w:anchorLock="1"/>
    </w:pPr>
    <w:rPr>
      <w:i/>
    </w:rPr>
  </w:style>
  <w:style w:type="paragraph" w:customStyle="1" w:styleId="MiniTOCTitle">
    <w:name w:val="MiniTOCTitle"/>
    <w:basedOn w:val="Heading4"/>
    <w:rsid w:val="009D3B7B"/>
    <w:pPr>
      <w:spacing w:before="240"/>
      <w:outlineLvl w:val="9"/>
    </w:pPr>
    <w:rPr>
      <w:noProof/>
      <w:sz w:val="24"/>
    </w:rPr>
  </w:style>
  <w:style w:type="paragraph" w:customStyle="1" w:styleId="MiniTOCItem">
    <w:name w:val="MiniTOCItem"/>
    <w:basedOn w:val="ListBullet"/>
    <w:rsid w:val="009D3B7B"/>
    <w:pPr>
      <w:numPr>
        <w:numId w:val="0"/>
      </w:numPr>
      <w:tabs>
        <w:tab w:val="right" w:leader="dot" w:pos="6521"/>
      </w:tabs>
      <w:spacing w:before="0" w:after="0"/>
    </w:pPr>
  </w:style>
  <w:style w:type="paragraph" w:customStyle="1" w:styleId="TOFTitle">
    <w:name w:val="TOFTitle"/>
    <w:basedOn w:val="TOCTitle"/>
    <w:rsid w:val="009D3B7B"/>
  </w:style>
  <w:style w:type="paragraph" w:styleId="TableofFigures">
    <w:name w:val="table of figures"/>
    <w:basedOn w:val="Normal"/>
    <w:next w:val="Normal"/>
    <w:semiHidden/>
    <w:rsid w:val="009D3B7B"/>
    <w:pPr>
      <w:tabs>
        <w:tab w:val="right" w:leader="dot" w:pos="9072"/>
      </w:tabs>
      <w:ind w:left="970" w:hanging="403"/>
    </w:pPr>
    <w:rPr>
      <w:rFonts w:ascii="Times New Roman" w:hAnsi="Times New Roman"/>
      <w:b/>
    </w:rPr>
  </w:style>
  <w:style w:type="paragraph" w:styleId="ListNumber">
    <w:name w:val="List Number"/>
    <w:basedOn w:val="List"/>
    <w:rsid w:val="009D3B7B"/>
    <w:pPr>
      <w:numPr>
        <w:numId w:val="16"/>
      </w:numPr>
      <w:tabs>
        <w:tab w:val="clear" w:pos="340"/>
      </w:tabs>
    </w:pPr>
  </w:style>
  <w:style w:type="character" w:customStyle="1" w:styleId="WingdingSymbols">
    <w:name w:val="Wingding Symbols"/>
    <w:rsid w:val="009D3B7B"/>
    <w:rPr>
      <w:rFonts w:ascii="Wingdings" w:hAnsi="Wingdings"/>
    </w:rPr>
  </w:style>
  <w:style w:type="paragraph" w:customStyle="1" w:styleId="TableHeading">
    <w:name w:val="Table Heading"/>
    <w:basedOn w:val="HeadingBase"/>
    <w:rsid w:val="009D3B7B"/>
    <w:pPr>
      <w:keepLines/>
      <w:pBdr>
        <w:bottom w:val="single" w:sz="6" w:space="1" w:color="918585"/>
      </w:pBdr>
      <w:spacing w:before="240"/>
    </w:pPr>
  </w:style>
  <w:style w:type="character" w:customStyle="1" w:styleId="HotSpot">
    <w:name w:val="HotSpot"/>
    <w:rsid w:val="009D3B7B"/>
    <w:rPr>
      <w:color w:val="0033CC"/>
      <w:u w:val="none"/>
    </w:rPr>
  </w:style>
  <w:style w:type="paragraph" w:customStyle="1" w:styleId="BodyTextRight">
    <w:name w:val="Body Text Right"/>
    <w:basedOn w:val="BodyText"/>
    <w:rsid w:val="009D3B7B"/>
    <w:pPr>
      <w:spacing w:before="0" w:after="0"/>
      <w:jc w:val="right"/>
    </w:pPr>
  </w:style>
  <w:style w:type="paragraph" w:styleId="Index3">
    <w:name w:val="index 3"/>
    <w:basedOn w:val="ListNumber2"/>
    <w:next w:val="Normal"/>
    <w:semiHidden/>
    <w:rsid w:val="009D3B7B"/>
    <w:pPr>
      <w:numPr>
        <w:numId w:val="0"/>
      </w:numPr>
      <w:tabs>
        <w:tab w:val="right" w:leader="dot" w:pos="4176"/>
      </w:tabs>
    </w:pPr>
  </w:style>
  <w:style w:type="paragraph" w:styleId="ListNumber2">
    <w:name w:val="List Number 2"/>
    <w:basedOn w:val="List2"/>
    <w:rsid w:val="009D3B7B"/>
    <w:pPr>
      <w:numPr>
        <w:numId w:val="11"/>
      </w:numPr>
      <w:tabs>
        <w:tab w:val="clear" w:pos="1060"/>
      </w:tabs>
    </w:pPr>
  </w:style>
  <w:style w:type="paragraph" w:customStyle="1" w:styleId="MarginNote">
    <w:name w:val="Margin Note"/>
    <w:basedOn w:val="BodyText"/>
    <w:rsid w:val="009D3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B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B7B"/>
    <w:rPr>
      <w:sz w:val="32"/>
    </w:rPr>
  </w:style>
  <w:style w:type="paragraph" w:customStyle="1" w:styleId="HeadingProcedure">
    <w:name w:val="Heading Procedure"/>
    <w:basedOn w:val="HeadingBase"/>
    <w:next w:val="Normal"/>
    <w:rsid w:val="009D3B7B"/>
    <w:pPr>
      <w:tabs>
        <w:tab w:val="left" w:pos="0"/>
      </w:tabs>
      <w:spacing w:before="120" w:after="60"/>
    </w:pPr>
    <w:rPr>
      <w:i/>
      <w:color w:val="918585"/>
      <w:sz w:val="22"/>
    </w:rPr>
  </w:style>
  <w:style w:type="paragraph" w:customStyle="1" w:styleId="TableBodyText">
    <w:name w:val="Table Body Text"/>
    <w:basedOn w:val="BodyText"/>
    <w:rsid w:val="009D3B7B"/>
    <w:pPr>
      <w:spacing w:before="60" w:after="60"/>
    </w:pPr>
  </w:style>
  <w:style w:type="paragraph" w:styleId="ListContinue">
    <w:name w:val="List Continue"/>
    <w:basedOn w:val="List"/>
    <w:rsid w:val="009D3B7B"/>
    <w:pPr>
      <w:ind w:firstLine="0"/>
    </w:pPr>
  </w:style>
  <w:style w:type="paragraph" w:customStyle="1" w:styleId="ListNote">
    <w:name w:val="List Note"/>
    <w:basedOn w:val="List"/>
    <w:rsid w:val="009D3B7B"/>
    <w:pPr>
      <w:pBdr>
        <w:top w:val="single" w:sz="6" w:space="2" w:color="918585"/>
        <w:bottom w:val="single" w:sz="6" w:space="2" w:color="918585"/>
      </w:pBdr>
      <w:tabs>
        <w:tab w:val="left" w:pos="1021"/>
      </w:tabs>
      <w:ind w:firstLine="0"/>
    </w:pPr>
  </w:style>
  <w:style w:type="paragraph" w:customStyle="1" w:styleId="Warning">
    <w:name w:val="Warning"/>
    <w:basedOn w:val="BodyText"/>
    <w:rsid w:val="009D3B7B"/>
    <w:pPr>
      <w:shd w:val="clear" w:color="auto" w:fill="D9D9D9"/>
      <w:tabs>
        <w:tab w:val="left" w:pos="992"/>
      </w:tabs>
      <w:ind w:left="119" w:right="119"/>
    </w:pPr>
    <w:rPr>
      <w:sz w:val="20"/>
    </w:rPr>
  </w:style>
  <w:style w:type="paragraph" w:customStyle="1" w:styleId="MarginIcons">
    <w:name w:val="Margin Icons"/>
    <w:basedOn w:val="BodyText"/>
    <w:rsid w:val="009D3B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B7B"/>
    <w:rPr>
      <w:rFonts w:ascii="Courier New" w:hAnsi="Courier New"/>
    </w:rPr>
  </w:style>
  <w:style w:type="paragraph" w:customStyle="1" w:styleId="NoteBullet">
    <w:name w:val="Note Bullet"/>
    <w:basedOn w:val="Note"/>
    <w:rsid w:val="009D3B7B"/>
    <w:pPr>
      <w:tabs>
        <w:tab w:val="clear" w:pos="680"/>
      </w:tabs>
      <w:spacing w:before="60" w:after="60"/>
    </w:pPr>
  </w:style>
  <w:style w:type="paragraph" w:customStyle="1" w:styleId="SubHeading2">
    <w:name w:val="SubHeading2"/>
    <w:basedOn w:val="HeadingBase"/>
    <w:rsid w:val="009D3B7B"/>
    <w:pPr>
      <w:spacing w:before="240" w:after="60"/>
    </w:pPr>
    <w:rPr>
      <w:sz w:val="20"/>
    </w:rPr>
  </w:style>
  <w:style w:type="paragraph" w:customStyle="1" w:styleId="SubHeading1">
    <w:name w:val="SubHeading1"/>
    <w:basedOn w:val="HeadingBase"/>
    <w:rsid w:val="009D3B7B"/>
    <w:pPr>
      <w:spacing w:before="240" w:after="60"/>
    </w:pPr>
    <w:rPr>
      <w:color w:val="918585"/>
      <w:sz w:val="22"/>
    </w:rPr>
  </w:style>
  <w:style w:type="paragraph" w:customStyle="1" w:styleId="SideHeading">
    <w:name w:val="Side Heading"/>
    <w:basedOn w:val="HeadingBase"/>
    <w:rsid w:val="009D3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B7B"/>
    <w:pPr>
      <w:numPr>
        <w:numId w:val="12"/>
      </w:numPr>
    </w:pPr>
  </w:style>
  <w:style w:type="paragraph" w:styleId="PlainText">
    <w:name w:val="Plain Text"/>
    <w:basedOn w:val="Normal"/>
    <w:link w:val="PlainTextChar"/>
    <w:rsid w:val="009D3B7B"/>
    <w:rPr>
      <w:sz w:val="20"/>
    </w:rPr>
  </w:style>
  <w:style w:type="character" w:customStyle="1" w:styleId="PlainTextChar">
    <w:name w:val="Plain Text Char"/>
    <w:basedOn w:val="DefaultParagraphFont"/>
    <w:link w:val="PlainText"/>
    <w:rsid w:val="009D3B7B"/>
    <w:rPr>
      <w:rFonts w:ascii="Courier New" w:eastAsia="Times New Roman" w:hAnsi="Courier New" w:cs="Times New Roman"/>
      <w:sz w:val="20"/>
      <w:szCs w:val="20"/>
      <w:lang w:eastAsia="en-US"/>
    </w:rPr>
  </w:style>
  <w:style w:type="character" w:customStyle="1" w:styleId="MenuOption">
    <w:name w:val="Menu Option"/>
    <w:basedOn w:val="DefaultParagraphFont"/>
    <w:rsid w:val="009D3B7B"/>
    <w:rPr>
      <w:b/>
      <w:smallCaps/>
    </w:rPr>
  </w:style>
  <w:style w:type="paragraph" w:customStyle="1" w:styleId="TableListNumber">
    <w:name w:val="Table List Number"/>
    <w:basedOn w:val="ListNumber"/>
    <w:rsid w:val="009D3B7B"/>
    <w:pPr>
      <w:numPr>
        <w:numId w:val="0"/>
      </w:numPr>
    </w:pPr>
  </w:style>
  <w:style w:type="paragraph" w:styleId="TOC4">
    <w:name w:val="toc 4"/>
    <w:basedOn w:val="TOCBase"/>
    <w:next w:val="Normal"/>
    <w:semiHidden/>
    <w:rsid w:val="009D3B7B"/>
    <w:pPr>
      <w:tabs>
        <w:tab w:val="right" w:leader="dot" w:pos="9071"/>
      </w:tabs>
      <w:ind w:left="1701"/>
    </w:pPr>
  </w:style>
  <w:style w:type="paragraph" w:customStyle="1" w:styleId="ListAlpha">
    <w:name w:val="List Alpha"/>
    <w:basedOn w:val="List"/>
    <w:rsid w:val="009D3B7B"/>
    <w:pPr>
      <w:numPr>
        <w:numId w:val="10"/>
      </w:numPr>
    </w:pPr>
  </w:style>
  <w:style w:type="paragraph" w:customStyle="1" w:styleId="ListAlpha2">
    <w:name w:val="List Alpha 2"/>
    <w:basedOn w:val="List2"/>
    <w:rsid w:val="009D3B7B"/>
    <w:pPr>
      <w:numPr>
        <w:numId w:val="9"/>
      </w:numPr>
    </w:pPr>
  </w:style>
  <w:style w:type="paragraph" w:styleId="List2">
    <w:name w:val="List 2"/>
    <w:basedOn w:val="BodyText"/>
    <w:rsid w:val="009D3B7B"/>
    <w:pPr>
      <w:tabs>
        <w:tab w:val="left" w:pos="680"/>
      </w:tabs>
      <w:spacing w:before="60" w:after="60"/>
      <w:ind w:left="680" w:hanging="340"/>
    </w:pPr>
  </w:style>
  <w:style w:type="paragraph" w:styleId="List3">
    <w:name w:val="List 3"/>
    <w:basedOn w:val="BodyText"/>
    <w:rsid w:val="009D3B7B"/>
    <w:pPr>
      <w:tabs>
        <w:tab w:val="left" w:pos="1021"/>
      </w:tabs>
      <w:spacing w:before="60" w:after="60"/>
      <w:ind w:left="1020" w:hanging="340"/>
    </w:pPr>
  </w:style>
  <w:style w:type="paragraph" w:styleId="List4">
    <w:name w:val="List 4"/>
    <w:basedOn w:val="BodyText"/>
    <w:rsid w:val="009D3B7B"/>
    <w:pPr>
      <w:tabs>
        <w:tab w:val="left" w:pos="1361"/>
      </w:tabs>
      <w:spacing w:before="60" w:after="60"/>
      <w:ind w:left="1361" w:hanging="340"/>
    </w:pPr>
  </w:style>
  <w:style w:type="paragraph" w:styleId="List5">
    <w:name w:val="List 5"/>
    <w:basedOn w:val="BodyText"/>
    <w:rsid w:val="009D3B7B"/>
    <w:pPr>
      <w:tabs>
        <w:tab w:val="left" w:pos="1701"/>
      </w:tabs>
      <w:spacing w:before="60" w:after="60"/>
      <w:ind w:left="1701" w:hanging="340"/>
    </w:pPr>
  </w:style>
  <w:style w:type="paragraph" w:styleId="ListBullet4">
    <w:name w:val="List Bullet 4"/>
    <w:basedOn w:val="List4"/>
    <w:rsid w:val="009D3B7B"/>
    <w:pPr>
      <w:numPr>
        <w:numId w:val="4"/>
      </w:numPr>
      <w:tabs>
        <w:tab w:val="clear" w:pos="1361"/>
      </w:tabs>
    </w:pPr>
  </w:style>
  <w:style w:type="paragraph" w:styleId="ListBullet5">
    <w:name w:val="List Bullet 5"/>
    <w:basedOn w:val="List5"/>
    <w:rsid w:val="009D3B7B"/>
    <w:pPr>
      <w:numPr>
        <w:numId w:val="5"/>
      </w:numPr>
    </w:pPr>
  </w:style>
  <w:style w:type="paragraph" w:styleId="ListContinue2">
    <w:name w:val="List Continue 2"/>
    <w:basedOn w:val="List2"/>
    <w:rsid w:val="009D3B7B"/>
    <w:pPr>
      <w:ind w:firstLine="0"/>
    </w:pPr>
  </w:style>
  <w:style w:type="paragraph" w:styleId="ListContinue3">
    <w:name w:val="List Continue 3"/>
    <w:basedOn w:val="List3"/>
    <w:rsid w:val="009D3B7B"/>
    <w:pPr>
      <w:ind w:left="1021" w:firstLine="0"/>
    </w:pPr>
  </w:style>
  <w:style w:type="paragraph" w:styleId="ListContinue4">
    <w:name w:val="List Continue 4"/>
    <w:basedOn w:val="List4"/>
    <w:rsid w:val="009D3B7B"/>
    <w:pPr>
      <w:ind w:firstLine="0"/>
    </w:pPr>
  </w:style>
  <w:style w:type="paragraph" w:styleId="ListContinue5">
    <w:name w:val="List Continue 5"/>
    <w:basedOn w:val="List5"/>
    <w:rsid w:val="009D3B7B"/>
    <w:pPr>
      <w:ind w:firstLine="0"/>
    </w:pPr>
  </w:style>
  <w:style w:type="paragraph" w:styleId="ListNumber3">
    <w:name w:val="List Number 3"/>
    <w:basedOn w:val="List3"/>
    <w:rsid w:val="009D3B7B"/>
    <w:pPr>
      <w:numPr>
        <w:numId w:val="6"/>
      </w:numPr>
    </w:pPr>
  </w:style>
  <w:style w:type="paragraph" w:styleId="ListNumber4">
    <w:name w:val="List Number 4"/>
    <w:basedOn w:val="List4"/>
    <w:rsid w:val="009D3B7B"/>
    <w:pPr>
      <w:numPr>
        <w:numId w:val="7"/>
      </w:numPr>
    </w:pPr>
  </w:style>
  <w:style w:type="paragraph" w:styleId="ListNumber5">
    <w:name w:val="List Number 5"/>
    <w:basedOn w:val="List5"/>
    <w:rsid w:val="009D3B7B"/>
    <w:pPr>
      <w:numPr>
        <w:numId w:val="8"/>
      </w:numPr>
    </w:pPr>
  </w:style>
  <w:style w:type="paragraph" w:styleId="BlockText">
    <w:name w:val="Block Text"/>
    <w:basedOn w:val="Normal"/>
    <w:rsid w:val="009D3B7B"/>
    <w:pPr>
      <w:spacing w:after="120"/>
      <w:ind w:left="1440" w:right="1440"/>
    </w:pPr>
  </w:style>
  <w:style w:type="character" w:customStyle="1" w:styleId="Subscript">
    <w:name w:val="Subscript"/>
    <w:basedOn w:val="DefaultParagraphFont"/>
    <w:rsid w:val="009D3B7B"/>
    <w:rPr>
      <w:sz w:val="16"/>
      <w:vertAlign w:val="subscript"/>
    </w:rPr>
  </w:style>
  <w:style w:type="character" w:customStyle="1" w:styleId="Superscript">
    <w:name w:val="Superscript"/>
    <w:basedOn w:val="DefaultParagraphFont"/>
    <w:rsid w:val="009D3B7B"/>
    <w:rPr>
      <w:sz w:val="16"/>
      <w:vertAlign w:val="superscript"/>
    </w:rPr>
  </w:style>
  <w:style w:type="character" w:customStyle="1" w:styleId="Symbols">
    <w:name w:val="Symbols"/>
    <w:basedOn w:val="DefaultParagraphFont"/>
    <w:rsid w:val="009D3B7B"/>
    <w:rPr>
      <w:rFonts w:ascii="Symbol" w:hAnsi="Symbol"/>
    </w:rPr>
  </w:style>
  <w:style w:type="character" w:customStyle="1" w:styleId="MenuOptions">
    <w:name w:val="Menu Options"/>
    <w:basedOn w:val="DefaultParagraphFont"/>
    <w:rsid w:val="009D3B7B"/>
    <w:rPr>
      <w:rFonts w:ascii="Arial Narrow" w:hAnsi="Arial Narrow"/>
      <w:smallCaps/>
    </w:rPr>
  </w:style>
  <w:style w:type="character" w:customStyle="1" w:styleId="Buttons">
    <w:name w:val="Buttons"/>
    <w:basedOn w:val="DefaultParagraphFont"/>
    <w:rsid w:val="009D3B7B"/>
    <w:rPr>
      <w:b/>
    </w:rPr>
  </w:style>
  <w:style w:type="character" w:customStyle="1" w:styleId="Underlined">
    <w:name w:val="Underlined"/>
    <w:basedOn w:val="DefaultParagraphFont"/>
    <w:rsid w:val="009D3B7B"/>
    <w:rPr>
      <w:u w:val="single"/>
    </w:rPr>
  </w:style>
  <w:style w:type="paragraph" w:customStyle="1" w:styleId="TableBodyTextRight">
    <w:name w:val="Table Body Text Right"/>
    <w:basedOn w:val="TableBodyText"/>
    <w:rsid w:val="009D3B7B"/>
    <w:pPr>
      <w:widowControl w:val="0"/>
      <w:autoSpaceDE w:val="0"/>
      <w:autoSpaceDN w:val="0"/>
      <w:adjustRightInd w:val="0"/>
      <w:jc w:val="right"/>
    </w:pPr>
    <w:rPr>
      <w:rFonts w:cs="Arial"/>
      <w:szCs w:val="18"/>
    </w:rPr>
  </w:style>
  <w:style w:type="paragraph" w:customStyle="1" w:styleId="CopyrightText">
    <w:name w:val="Copyright Text"/>
    <w:basedOn w:val="BodyText"/>
    <w:rsid w:val="009D3B7B"/>
    <w:rPr>
      <w:sz w:val="18"/>
    </w:rPr>
  </w:style>
  <w:style w:type="paragraph" w:customStyle="1" w:styleId="BodySmallRight">
    <w:name w:val="Body Small Right"/>
    <w:basedOn w:val="BodyTextRight"/>
    <w:rsid w:val="009D3B7B"/>
    <w:rPr>
      <w:sz w:val="18"/>
      <w:szCs w:val="18"/>
    </w:rPr>
  </w:style>
  <w:style w:type="paragraph" w:customStyle="1" w:styleId="MarginEdition">
    <w:name w:val="Margin Edition"/>
    <w:basedOn w:val="MarginNote"/>
    <w:rsid w:val="009D3B7B"/>
    <w:pPr>
      <w:spacing w:before="0" w:after="0"/>
    </w:pPr>
    <w:rPr>
      <w:rFonts w:ascii="Times New Roman" w:hAnsi="Times New Roman"/>
      <w:color w:val="999999"/>
    </w:rPr>
  </w:style>
  <w:style w:type="paragraph" w:customStyle="1" w:styleId="Spacer">
    <w:name w:val="Spacer"/>
    <w:basedOn w:val="Normal"/>
    <w:rsid w:val="009D3B7B"/>
    <w:rPr>
      <w:sz w:val="2"/>
      <w:szCs w:val="2"/>
    </w:rPr>
  </w:style>
  <w:style w:type="character" w:customStyle="1" w:styleId="Small">
    <w:name w:val="Small"/>
    <w:basedOn w:val="DefaultParagraphFont"/>
    <w:rsid w:val="009D3B7B"/>
    <w:rPr>
      <w:sz w:val="16"/>
    </w:rPr>
  </w:style>
  <w:style w:type="paragraph" w:customStyle="1" w:styleId="WideTable">
    <w:name w:val="Wide Table"/>
    <w:basedOn w:val="Normal"/>
    <w:rsid w:val="009D3B7B"/>
    <w:pPr>
      <w:ind w:left="-1418"/>
    </w:pPr>
    <w:rPr>
      <w:sz w:val="2"/>
      <w:szCs w:val="2"/>
    </w:rPr>
  </w:style>
  <w:style w:type="character" w:styleId="PageNumber">
    <w:name w:val="page number"/>
    <w:basedOn w:val="DefaultParagraphFont"/>
    <w:rsid w:val="009D3B7B"/>
  </w:style>
  <w:style w:type="paragraph" w:styleId="Quote">
    <w:name w:val="Quote"/>
    <w:basedOn w:val="Heading1"/>
    <w:link w:val="QuoteChar"/>
    <w:qFormat/>
    <w:rsid w:val="009D3B7B"/>
    <w:rPr>
      <w:b w:val="0"/>
      <w:sz w:val="72"/>
      <w:szCs w:val="72"/>
      <w:lang w:val="en-NZ"/>
    </w:rPr>
  </w:style>
  <w:style w:type="character" w:customStyle="1" w:styleId="QuoteChar">
    <w:name w:val="Quote Char"/>
    <w:basedOn w:val="DefaultParagraphFont"/>
    <w:link w:val="Quote"/>
    <w:rsid w:val="009D3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B7B"/>
    <w:pPr>
      <w:pageBreakBefore/>
    </w:pPr>
  </w:style>
  <w:style w:type="paragraph" w:customStyle="1" w:styleId="Border">
    <w:name w:val="Border"/>
    <w:basedOn w:val="Normal"/>
    <w:qFormat/>
    <w:rsid w:val="009D3B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B7B"/>
    <w:rPr>
      <w:b/>
      <w:bCs/>
      <w:i/>
      <w:iCs/>
      <w:color w:val="auto"/>
    </w:rPr>
  </w:style>
  <w:style w:type="paragraph" w:styleId="IntenseQuote">
    <w:name w:val="Intense Quote"/>
    <w:basedOn w:val="Normal"/>
    <w:next w:val="Normal"/>
    <w:link w:val="IntenseQuoteChar"/>
    <w:uiPriority w:val="30"/>
    <w:qFormat/>
    <w:rsid w:val="009D3B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B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B7B"/>
    <w:rPr>
      <w:smallCaps/>
      <w:color w:val="auto"/>
      <w:u w:val="single"/>
    </w:rPr>
  </w:style>
  <w:style w:type="character" w:styleId="IntenseReference">
    <w:name w:val="Intense Reference"/>
    <w:basedOn w:val="DefaultParagraphFont"/>
    <w:uiPriority w:val="32"/>
    <w:qFormat/>
    <w:rsid w:val="009D3B7B"/>
    <w:rPr>
      <w:b/>
      <w:bCs/>
      <w:smallCaps/>
      <w:color w:val="auto"/>
      <w:spacing w:val="5"/>
      <w:u w:val="single"/>
    </w:rPr>
  </w:style>
  <w:style w:type="paragraph" w:customStyle="1" w:styleId="2ColumnHeading">
    <w:name w:val="2Column Heading"/>
    <w:basedOn w:val="BodyText"/>
    <w:qFormat/>
    <w:rsid w:val="009D3B7B"/>
    <w:pPr>
      <w:spacing w:after="60"/>
      <w:ind w:left="-2268"/>
    </w:pPr>
    <w:rPr>
      <w:b/>
    </w:rPr>
  </w:style>
  <w:style w:type="paragraph" w:customStyle="1" w:styleId="Heading1TOC">
    <w:name w:val="Heading1 TOC"/>
    <w:basedOn w:val="Normal"/>
    <w:qFormat/>
    <w:rsid w:val="009D3B7B"/>
    <w:pPr>
      <w:spacing w:before="240" w:after="120"/>
    </w:pPr>
    <w:rPr>
      <w:rFonts w:ascii="Times New Roman" w:hAnsi="Times New Roman"/>
      <w:b/>
      <w:sz w:val="32"/>
    </w:rPr>
  </w:style>
  <w:style w:type="paragraph" w:customStyle="1" w:styleId="Heading2TOC">
    <w:name w:val="Heading2 TOC"/>
    <w:basedOn w:val="Normal"/>
    <w:qFormat/>
    <w:rsid w:val="009D3B7B"/>
    <w:pPr>
      <w:spacing w:before="240" w:after="60"/>
    </w:pPr>
    <w:rPr>
      <w:rFonts w:ascii="Times New Roman" w:hAnsi="Times New Roman"/>
      <w:b/>
      <w:sz w:val="28"/>
    </w:rPr>
  </w:style>
  <w:style w:type="character" w:customStyle="1" w:styleId="Underline">
    <w:name w:val="Underline"/>
    <w:basedOn w:val="DefaultParagraphFont"/>
    <w:qFormat/>
    <w:rsid w:val="009D3B7B"/>
    <w:rPr>
      <w:u w:val="single"/>
    </w:rPr>
  </w:style>
  <w:style w:type="character" w:customStyle="1" w:styleId="BoldandItalics">
    <w:name w:val="Bold and Italics"/>
    <w:qFormat/>
    <w:rsid w:val="009D3B7B"/>
    <w:rPr>
      <w:b/>
      <w:i/>
      <w:u w:val="none"/>
    </w:rPr>
  </w:style>
  <w:style w:type="paragraph" w:styleId="BalloonText">
    <w:name w:val="Balloon Text"/>
    <w:basedOn w:val="Normal"/>
    <w:link w:val="BalloonTextChar"/>
    <w:rsid w:val="009D3B7B"/>
    <w:rPr>
      <w:rFonts w:ascii="Tahoma" w:hAnsi="Tahoma" w:cs="Tahoma"/>
      <w:sz w:val="16"/>
      <w:szCs w:val="16"/>
    </w:rPr>
  </w:style>
  <w:style w:type="character" w:customStyle="1" w:styleId="BalloonTextChar">
    <w:name w:val="Balloon Text Char"/>
    <w:basedOn w:val="DefaultParagraphFont"/>
    <w:link w:val="BalloonText"/>
    <w:rsid w:val="009D3B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B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B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B7B"/>
    <w:rPr>
      <w:b/>
      <w:color w:val="660033"/>
      <w:spacing w:val="0"/>
    </w:rPr>
  </w:style>
  <w:style w:type="paragraph" w:customStyle="1" w:styleId="Nameditemlist">
    <w:name w:val="Named item list"/>
    <w:basedOn w:val="BodyText"/>
    <w:qFormat/>
    <w:rsid w:val="009D3B7B"/>
    <w:pPr>
      <w:tabs>
        <w:tab w:val="left" w:pos="2835"/>
      </w:tabs>
      <w:ind w:left="2835" w:hanging="2835"/>
    </w:pPr>
  </w:style>
  <w:style w:type="paragraph" w:customStyle="1" w:styleId="BodyTextnopadding">
    <w:name w:val="Body Text no padding"/>
    <w:basedOn w:val="BodyText"/>
    <w:qFormat/>
    <w:rsid w:val="009D3B7B"/>
    <w:pPr>
      <w:spacing w:before="0" w:after="0"/>
    </w:pPr>
  </w:style>
  <w:style w:type="paragraph" w:customStyle="1" w:styleId="BodyTextBold">
    <w:name w:val="Body Text Bold"/>
    <w:basedOn w:val="BodyText"/>
    <w:qFormat/>
    <w:rsid w:val="009D3B7B"/>
    <w:rPr>
      <w:b/>
    </w:rPr>
  </w:style>
  <w:style w:type="character" w:styleId="Hyperlink">
    <w:name w:val="Hyperlink"/>
    <w:basedOn w:val="DefaultParagraphFont"/>
    <w:uiPriority w:val="99"/>
    <w:unhideWhenUsed/>
    <w:rsid w:val="00FB3B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5885</Characters>
  <Application>Microsoft Office Word</Application>
  <DocSecurity>0</DocSecurity>
  <Lines>136</Lines>
  <Paragraphs>98</Paragraphs>
  <ScaleCrop>false</ScaleCrop>
  <Company>Author-it Software Corporation Ltd.</Company>
  <LinksUpToDate>false</LinksUpToDate>
  <CharactersWithSpaces>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MEA204 Remove and install basic aircraft instrument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2019-09-30T08:31:00Z</dcterms:created>
  <dcterms:modified xsi:type="dcterms:W3CDTF">2019-09-30T08:31:00Z</dcterms:modified>
</cp:coreProperties>
</file>