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5484" w:rsidP="00245484">
      <w:pPr>
        <w:pStyle w:val="Title"/>
      </w:pPr>
      <w:r>
        <w:fldChar w:fldCharType="begin"/>
      </w:r>
      <w:r>
        <w:instrText xml:space="preserve"> TITLE   \* MERGEFORMAT </w:instrText>
      </w:r>
      <w:r>
        <w:fldChar w:fldCharType="separate"/>
      </w:r>
      <w:r>
        <w:t>MEA158 Perform basic hand skills, standard trade practices and fundamentals in aviation maintenance</w:t>
      </w:r>
      <w:r>
        <w:fldChar w:fldCharType="end"/>
      </w:r>
    </w:p>
    <w:p w:rsidR="00245484" w:rsidP="00245484">
      <w:pPr>
        <w:pStyle w:val="Version"/>
        <w:sectPr w:rsidSect="00654C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4C2A" w:rsidP="00654C2A">
      <w:pPr>
        <w:pStyle w:val="SuperHeading"/>
      </w:pPr>
      <w:r w:rsidRPr="00654C2A">
        <w:t>MEA158 Perform basic hand skills, standard trade practices and fundamentals in aviation maintenance</w:t>
      </w:r>
    </w:p>
    <w:p w:rsidR="00000000" w:rsidRPr="00654C2A" w:rsidP="00654C2A">
      <w:pPr>
        <w:pStyle w:val="Heading1"/>
      </w:pPr>
      <w:bookmarkStart w:id="1" w:name="O_988042"/>
      <w:bookmarkEnd w:id="1"/>
      <w:r w:rsidRPr="00654C2A">
        <w:t>Modification History</w:t>
      </w:r>
    </w:p>
    <w:p w:rsidR="00245484" w:rsidP="00245484">
      <w:pPr>
        <w:pStyle w:val="BodyText"/>
      </w:pPr>
      <w:r w:rsidRPr="00654C2A">
        <w:t>Release 1. Supersedes and equivalent to MEA109 Perform basic hand skills, standard trade practices and fundamentals in aviation maintenance. Revised as a result of changed prerequisites. Unit codes updated.</w:t>
      </w:r>
    </w:p>
    <w:p w:rsidR="00000000" w:rsidRPr="00654C2A" w:rsidP="00654C2A">
      <w:pPr>
        <w:pStyle w:val="Heading1"/>
      </w:pPr>
      <w:bookmarkStart w:id="2" w:name="O_988048"/>
      <w:bookmarkEnd w:id="2"/>
      <w:r w:rsidRPr="00654C2A">
        <w:t>Application</w:t>
      </w:r>
    </w:p>
    <w:p w:rsidR="00000000" w:rsidRPr="00654C2A" w:rsidP="00245484">
      <w:pPr>
        <w:pStyle w:val="BodyText"/>
      </w:pPr>
      <w:r w:rsidRPr="00654C2A">
        <w:t>This unit of compet</w:t>
      </w:r>
      <w:r w:rsidRPr="00654C2A">
        <w:t>ency describes the skills and knowledge required to select and use the hand and power tools and equipment associated with the scheduled and unscheduled maintenance of aircraft and aircraft components. It requires the use of basic hand skills and standard t</w:t>
      </w:r>
      <w:r w:rsidRPr="00654C2A">
        <w:t>rade practices and fundamentals according to industry standard procedures specified by manufacturers, regulatory authorities, and the organisation. Work may be performed individually or as part of a team.</w:t>
      </w:r>
    </w:p>
    <w:p w:rsidR="00000000" w:rsidRPr="00654C2A" w:rsidP="00245484">
      <w:pPr>
        <w:pStyle w:val="BodyText"/>
      </w:pPr>
      <w:r w:rsidRPr="00654C2A">
        <w:t>The unit applies to aviation maintenance on-aircraf</w:t>
      </w:r>
      <w:r w:rsidRPr="00654C2A">
        <w:t xml:space="preserve">t or workshop-related activities. It is used in workplaces that operate under the airworthiness regulatory systems of the Australian Defence Force (ADF) and the Civil Aviation Safety Authority (CASA). </w:t>
      </w:r>
    </w:p>
    <w:p w:rsidR="00000000" w:rsidRPr="00654C2A" w:rsidP="00245484">
      <w:pPr>
        <w:pStyle w:val="BodyText"/>
      </w:pPr>
      <w:r w:rsidRPr="00654C2A">
        <w:t>This unit forms part of the Civil Aviation Safety Auth</w:t>
      </w:r>
      <w:r w:rsidRPr="00654C2A">
        <w:t>ority (CASA) requirement for maintenance certification licences under Civil Aviation Safety Regulation (CASR) Part 66. Where a CASA licensing outcome is sought, users must refer to the licensing provisions in the MEA Aeroskills Companion Volume Implementat</w:t>
      </w:r>
      <w:r w:rsidRPr="00654C2A">
        <w:t>ion Guide.</w:t>
      </w:r>
    </w:p>
    <w:p w:rsidR="00000000" w:rsidRPr="00654C2A" w:rsidP="00654C2A">
      <w:pPr>
        <w:pStyle w:val="Heading1"/>
      </w:pPr>
      <w:bookmarkStart w:id="3" w:name="O_988047"/>
      <w:bookmarkEnd w:id="3"/>
      <w:r w:rsidRPr="00654C2A">
        <w:t>Pre-requisite Unit</w:t>
      </w:r>
    </w:p>
    <w:p w:rsidR="00000000" w:rsidRPr="00654C2A" w:rsidP="00245484">
      <w:pPr>
        <w:pStyle w:val="BodyText"/>
      </w:pPr>
      <w:r w:rsidRPr="00654C2A">
        <w:t>Nil.</w:t>
      </w:r>
    </w:p>
    <w:p w:rsidR="00000000" w:rsidRPr="00654C2A" w:rsidP="00654C2A">
      <w:pPr>
        <w:pStyle w:val="Heading1"/>
      </w:pPr>
      <w:bookmarkStart w:id="4" w:name="O_988046"/>
      <w:bookmarkEnd w:id="4"/>
      <w:r w:rsidRPr="00654C2A">
        <w:t>Competency Field</w:t>
      </w:r>
    </w:p>
    <w:p w:rsidR="00000000" w:rsidRPr="00654C2A" w:rsidP="00245484">
      <w:pPr>
        <w:pStyle w:val="BodyText"/>
      </w:pPr>
      <w:r w:rsidRPr="00654C2A">
        <w:t>Aviation maintenance</w:t>
      </w:r>
    </w:p>
    <w:p w:rsidR="00000000" w:rsidRPr="00654C2A" w:rsidP="00654C2A">
      <w:pPr>
        <w:pStyle w:val="Heading1"/>
      </w:pPr>
      <w:bookmarkStart w:id="5" w:name="O_988045"/>
      <w:bookmarkEnd w:id="5"/>
      <w:r w:rsidRPr="00654C2A">
        <w:t>Elements and Performance Criteria</w:t>
      </w:r>
    </w:p>
    <w:tbl>
      <w:tblPr>
        <w:tblW w:w="9639" w:type="dxa"/>
        <w:tblLayout w:type="fixed"/>
        <w:tblCellMar>
          <w:left w:w="62" w:type="dxa"/>
          <w:right w:w="62" w:type="dxa"/>
        </w:tblCellMar>
        <w:tblLook w:val="0000"/>
      </w:tblPr>
      <w:tblGrid>
        <w:gridCol w:w="567"/>
        <w:gridCol w:w="1701"/>
        <w:gridCol w:w="567"/>
        <w:gridCol w:w="6804"/>
      </w:tblGrid>
      <w:tr w:rsidTr="00245484">
        <w:tblPrEx>
          <w:tblW w:w="9639" w:type="dxa"/>
          <w:tblLayout w:type="fixed"/>
          <w:tblCellMar>
            <w:left w:w="62" w:type="dxa"/>
            <w:right w:w="62" w:type="dxa"/>
          </w:tblCellMar>
          <w:tblLook w:val="0000"/>
        </w:tblPrEx>
        <w:trPr>
          <w:tblHeader/>
        </w:trPr>
        <w:tc>
          <w:tcPr>
            <w:tcW w:w="2268" w:type="dxa"/>
            <w:gridSpan w:val="2"/>
            <w:tcBorders>
              <w:top w:val="nil"/>
              <w:left w:val="nil"/>
              <w:bottom w:val="nil"/>
              <w:right w:val="nil"/>
            </w:tcBorders>
            <w:tcMar>
              <w:top w:w="0" w:type="dxa"/>
              <w:left w:w="62" w:type="dxa"/>
              <w:bottom w:w="0" w:type="dxa"/>
              <w:right w:w="62" w:type="dxa"/>
            </w:tcMar>
          </w:tcPr>
          <w:p w:rsidR="00000000" w:rsidRPr="00654C2A" w:rsidP="00654C2A">
            <w:pPr>
              <w:pStyle w:val="BodyText"/>
            </w:pPr>
            <w:r w:rsidRPr="00654C2A">
              <w:rPr>
                <w:rStyle w:val="SpecialBold"/>
              </w:rPr>
              <w:t>ELEMENTS</w:t>
            </w:r>
          </w:p>
        </w:tc>
        <w:tc>
          <w:tcPr>
            <w:tcW w:w="7371" w:type="dxa"/>
            <w:gridSpan w:val="2"/>
            <w:tcBorders>
              <w:top w:val="nil"/>
              <w:left w:val="nil"/>
              <w:bottom w:val="nil"/>
              <w:right w:val="nil"/>
            </w:tcBorders>
            <w:tcMar>
              <w:top w:w="0" w:type="dxa"/>
              <w:left w:w="62" w:type="dxa"/>
              <w:bottom w:w="0" w:type="dxa"/>
              <w:right w:w="62" w:type="dxa"/>
            </w:tcMar>
          </w:tcPr>
          <w:p w:rsidR="00000000" w:rsidP="00654C2A">
            <w:pPr>
              <w:pStyle w:val="BodyText"/>
              <w:rPr>
                <w:lang w:val="en-NZ"/>
              </w:rPr>
            </w:pPr>
            <w:r w:rsidRPr="00654C2A">
              <w:rPr>
                <w:rStyle w:val="SpecialBold"/>
              </w:rPr>
              <w:t>PERFORMANCE CRITERIA</w:t>
            </w:r>
          </w:p>
        </w:tc>
      </w:tr>
      <w:tr w:rsidTr="00245484">
        <w:tblPrEx>
          <w:tblW w:w="9639" w:type="dxa"/>
          <w:tblLayout w:type="fixed"/>
          <w:tblCellMar>
            <w:left w:w="62" w:type="dxa"/>
            <w:right w:w="62" w:type="dxa"/>
          </w:tblCellMar>
          <w:tblLook w:val="0000"/>
        </w:tblPrEx>
        <w:trPr>
          <w:tblHeader/>
        </w:trPr>
        <w:tc>
          <w:tcPr>
            <w:tcW w:w="2268" w:type="dxa"/>
            <w:gridSpan w:val="2"/>
            <w:tcBorders>
              <w:top w:val="nil"/>
              <w:left w:val="nil"/>
              <w:bottom w:val="nil"/>
              <w:right w:val="nil"/>
            </w:tcBorders>
            <w:tcMar>
              <w:top w:w="0" w:type="dxa"/>
              <w:left w:w="62" w:type="dxa"/>
              <w:bottom w:w="0" w:type="dxa"/>
              <w:right w:w="62" w:type="dxa"/>
            </w:tcMar>
          </w:tcPr>
          <w:p w:rsidR="00000000" w:rsidP="00654C2A">
            <w:pPr>
              <w:pStyle w:val="BodyText"/>
              <w:rPr>
                <w:lang w:val="en-NZ"/>
              </w:rPr>
            </w:pPr>
            <w:r w:rsidRPr="00654C2A">
              <w:t>Elements describe the essential outcomes.</w:t>
            </w:r>
          </w:p>
        </w:tc>
        <w:tc>
          <w:tcPr>
            <w:tcW w:w="7371" w:type="dxa"/>
            <w:gridSpan w:val="2"/>
            <w:tcBorders>
              <w:top w:val="nil"/>
              <w:left w:val="nil"/>
              <w:bottom w:val="nil"/>
              <w:right w:val="nil"/>
            </w:tcBorders>
            <w:tcMar>
              <w:top w:w="0" w:type="dxa"/>
              <w:left w:w="62" w:type="dxa"/>
              <w:bottom w:w="0" w:type="dxa"/>
              <w:right w:w="62" w:type="dxa"/>
            </w:tcMar>
          </w:tcPr>
          <w:p w:rsidR="00000000" w:rsidP="00654C2A">
            <w:pPr>
              <w:pStyle w:val="BodyText"/>
              <w:rPr>
                <w:lang w:val="en-NZ"/>
              </w:rPr>
            </w:pPr>
            <w:r w:rsidRPr="00654C2A">
              <w:t xml:space="preserve">Performance criteria </w:t>
            </w:r>
            <w:r w:rsidRPr="00654C2A">
              <w:t>describe the performance needed to demonstrate achievement of the element.</w:t>
            </w:r>
          </w:p>
        </w:tc>
      </w:tr>
      <w:tr w:rsidTr="00245484">
        <w:tblPrEx>
          <w:tblW w:w="9639"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rsidP="00654C2A">
            <w:pPr>
              <w:pStyle w:val="BodyText"/>
              <w:rPr>
                <w:lang w:val="en-NZ"/>
              </w:rPr>
            </w:pPr>
            <w:r w:rsidRPr="00654C2A">
              <w:t>1.</w:t>
            </w:r>
          </w:p>
        </w:tc>
        <w:tc>
          <w:tcPr>
            <w:tcW w:w="1701" w:type="dxa"/>
            <w:tcBorders>
              <w:top w:val="nil"/>
              <w:left w:val="nil"/>
              <w:bottom w:val="nil"/>
              <w:right w:val="nil"/>
            </w:tcBorders>
            <w:tcMar>
              <w:top w:w="0" w:type="dxa"/>
              <w:left w:w="62" w:type="dxa"/>
              <w:bottom w:w="0" w:type="dxa"/>
              <w:right w:w="62" w:type="dxa"/>
            </w:tcMar>
          </w:tcPr>
          <w:p w:rsidR="00000000" w:rsidP="00654C2A">
            <w:pPr>
              <w:pStyle w:val="BodyText"/>
              <w:rPr>
                <w:lang w:val="en-NZ"/>
              </w:rPr>
            </w:pPr>
            <w:r w:rsidRPr="00654C2A">
              <w:t xml:space="preserve">Select tools and equipment </w:t>
            </w:r>
            <w:r w:rsidRPr="00654C2A">
              <w:t>suited to task requirements</w:t>
            </w:r>
          </w:p>
        </w:tc>
        <w:tc>
          <w:tcPr>
            <w:tcW w:w="567" w:type="dxa"/>
            <w:tcBorders>
              <w:top w:val="nil"/>
              <w:left w:val="nil"/>
              <w:bottom w:val="nil"/>
              <w:right w:val="nil"/>
            </w:tcBorders>
            <w:tcMar>
              <w:top w:w="0" w:type="dxa"/>
              <w:left w:w="62" w:type="dxa"/>
              <w:bottom w:w="0" w:type="dxa"/>
              <w:right w:w="62" w:type="dxa"/>
            </w:tcMar>
          </w:tcPr>
          <w:p w:rsidR="00000000" w:rsidP="00654C2A">
            <w:pPr>
              <w:pStyle w:val="BodyText"/>
              <w:rPr>
                <w:lang w:val="en-NZ"/>
              </w:rPr>
            </w:pPr>
            <w:r w:rsidRPr="00654C2A">
              <w:t>1.1</w:t>
            </w:r>
          </w:p>
        </w:tc>
        <w:tc>
          <w:tcPr>
            <w:tcW w:w="6804" w:type="dxa"/>
            <w:tcBorders>
              <w:top w:val="nil"/>
              <w:left w:val="nil"/>
              <w:bottom w:val="nil"/>
              <w:right w:val="nil"/>
            </w:tcBorders>
            <w:tcMar>
              <w:top w:w="0" w:type="dxa"/>
              <w:left w:w="62" w:type="dxa"/>
              <w:bottom w:w="0" w:type="dxa"/>
              <w:right w:w="62" w:type="dxa"/>
            </w:tcMar>
          </w:tcPr>
          <w:p w:rsidR="00000000" w:rsidP="00654C2A">
            <w:pPr>
              <w:pStyle w:val="BodyText"/>
              <w:rPr>
                <w:lang w:val="en-NZ"/>
              </w:rPr>
            </w:pPr>
            <w:r w:rsidRPr="00654C2A">
              <w:t>Analyse information in maintenance-related documentation and/or other sources, including communication with other per</w:t>
            </w:r>
            <w:r w:rsidRPr="00654C2A">
              <w:t xml:space="preserve">sonnel, to </w:t>
            </w:r>
            <w:r w:rsidRPr="00654C2A">
              <w:t>determine task and tooling requirements</w:t>
            </w:r>
          </w:p>
        </w:tc>
      </w:tr>
      <w:tr w:rsidTr="00245484">
        <w:tblPrEx>
          <w:tblW w:w="9639"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70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54C2A">
            <w:pPr>
              <w:pStyle w:val="BodyText"/>
              <w:rPr>
                <w:lang w:val="en-NZ"/>
              </w:rPr>
            </w:pPr>
            <w:r w:rsidRPr="00654C2A">
              <w:t>1.2</w:t>
            </w:r>
          </w:p>
        </w:tc>
        <w:tc>
          <w:tcPr>
            <w:tcW w:w="6804" w:type="dxa"/>
            <w:tcBorders>
              <w:top w:val="nil"/>
              <w:left w:val="nil"/>
              <w:bottom w:val="nil"/>
              <w:right w:val="nil"/>
            </w:tcBorders>
            <w:tcMar>
              <w:top w:w="0" w:type="dxa"/>
              <w:left w:w="62" w:type="dxa"/>
              <w:bottom w:w="0" w:type="dxa"/>
              <w:right w:w="62" w:type="dxa"/>
            </w:tcMar>
          </w:tcPr>
          <w:p w:rsidR="00000000" w:rsidP="00654C2A">
            <w:pPr>
              <w:pStyle w:val="BodyText"/>
              <w:rPr>
                <w:lang w:val="en-NZ"/>
              </w:rPr>
            </w:pPr>
            <w:r w:rsidRPr="00654C2A">
              <w:t>Select hand and/or power tools and equipment suitable for use in required task, including lubrication equipment and lubricants</w:t>
            </w:r>
          </w:p>
        </w:tc>
      </w:tr>
      <w:tr w:rsidTr="00245484">
        <w:tblPrEx>
          <w:tblW w:w="9639"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70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54C2A">
            <w:pPr>
              <w:pStyle w:val="BodyText"/>
              <w:rPr>
                <w:lang w:val="en-NZ"/>
              </w:rPr>
            </w:pPr>
            <w:r w:rsidRPr="00654C2A">
              <w:t>1.3</w:t>
            </w:r>
          </w:p>
        </w:tc>
        <w:tc>
          <w:tcPr>
            <w:tcW w:w="6804" w:type="dxa"/>
            <w:tcBorders>
              <w:top w:val="nil"/>
              <w:left w:val="nil"/>
              <w:bottom w:val="nil"/>
              <w:right w:val="nil"/>
            </w:tcBorders>
            <w:tcMar>
              <w:top w:w="0" w:type="dxa"/>
              <w:left w:w="62" w:type="dxa"/>
              <w:bottom w:w="0" w:type="dxa"/>
              <w:right w:w="62" w:type="dxa"/>
            </w:tcMar>
          </w:tcPr>
          <w:p w:rsidR="00000000" w:rsidP="00654C2A">
            <w:pPr>
              <w:pStyle w:val="BodyText"/>
              <w:rPr>
                <w:lang w:val="en-NZ"/>
              </w:rPr>
            </w:pPr>
            <w:r w:rsidRPr="00654C2A">
              <w:t>Check all tools and equipment to be used for condition or calibration, where necessary</w:t>
            </w:r>
          </w:p>
        </w:tc>
      </w:tr>
      <w:tr w:rsidTr="00245484">
        <w:tblPrEx>
          <w:tblW w:w="9639"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70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54C2A">
            <w:pPr>
              <w:pStyle w:val="BodyText"/>
              <w:rPr>
                <w:lang w:val="en-NZ"/>
              </w:rPr>
            </w:pPr>
            <w:r w:rsidRPr="00654C2A">
              <w:t>1.4</w:t>
            </w:r>
          </w:p>
        </w:tc>
        <w:tc>
          <w:tcPr>
            <w:tcW w:w="6804" w:type="dxa"/>
            <w:tcBorders>
              <w:top w:val="nil"/>
              <w:left w:val="nil"/>
              <w:bottom w:val="nil"/>
              <w:right w:val="nil"/>
            </w:tcBorders>
            <w:tcMar>
              <w:top w:w="0" w:type="dxa"/>
              <w:left w:w="62" w:type="dxa"/>
              <w:bottom w:w="0" w:type="dxa"/>
              <w:right w:w="62" w:type="dxa"/>
            </w:tcMar>
          </w:tcPr>
          <w:p w:rsidR="00000000" w:rsidP="00654C2A">
            <w:pPr>
              <w:pStyle w:val="BodyText"/>
              <w:rPr>
                <w:lang w:val="en-NZ"/>
              </w:rPr>
            </w:pPr>
            <w:r w:rsidRPr="00654C2A">
              <w:t>Identify unsafe or faulty tools and equipment and mark them for repair according to organisational procedures</w:t>
            </w:r>
          </w:p>
        </w:tc>
      </w:tr>
      <w:tr w:rsidTr="00245484">
        <w:tblPrEx>
          <w:tblW w:w="9639"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rsidP="00654C2A">
            <w:pPr>
              <w:pStyle w:val="BodyText"/>
              <w:rPr>
                <w:lang w:val="en-NZ"/>
              </w:rPr>
            </w:pPr>
            <w:r w:rsidRPr="00654C2A">
              <w:t>2.</w:t>
            </w:r>
          </w:p>
        </w:tc>
        <w:tc>
          <w:tcPr>
            <w:tcW w:w="1701" w:type="dxa"/>
            <w:tcBorders>
              <w:top w:val="nil"/>
              <w:left w:val="nil"/>
              <w:bottom w:val="nil"/>
              <w:right w:val="nil"/>
            </w:tcBorders>
            <w:tcMar>
              <w:top w:w="0" w:type="dxa"/>
              <w:left w:w="62" w:type="dxa"/>
              <w:bottom w:w="0" w:type="dxa"/>
              <w:right w:w="62" w:type="dxa"/>
            </w:tcMar>
          </w:tcPr>
          <w:p w:rsidR="00000000" w:rsidP="00654C2A">
            <w:pPr>
              <w:pStyle w:val="BodyText"/>
              <w:rPr>
                <w:lang w:val="en-NZ"/>
              </w:rPr>
            </w:pPr>
            <w:r w:rsidRPr="00654C2A">
              <w:t>Use tools and equipment, applying standard trade</w:t>
            </w:r>
            <w:r w:rsidRPr="00654C2A">
              <w:t xml:space="preserve"> practices</w:t>
            </w:r>
          </w:p>
        </w:tc>
        <w:tc>
          <w:tcPr>
            <w:tcW w:w="567" w:type="dxa"/>
            <w:tcBorders>
              <w:top w:val="nil"/>
              <w:left w:val="nil"/>
              <w:bottom w:val="nil"/>
              <w:right w:val="nil"/>
            </w:tcBorders>
            <w:tcMar>
              <w:top w:w="0" w:type="dxa"/>
              <w:left w:w="62" w:type="dxa"/>
              <w:bottom w:w="0" w:type="dxa"/>
              <w:right w:w="62" w:type="dxa"/>
            </w:tcMar>
          </w:tcPr>
          <w:p w:rsidR="00000000" w:rsidP="00654C2A">
            <w:pPr>
              <w:pStyle w:val="BodyText"/>
              <w:rPr>
                <w:lang w:val="en-NZ"/>
              </w:rPr>
            </w:pPr>
            <w:r w:rsidRPr="00654C2A">
              <w:t>2.1</w:t>
            </w:r>
          </w:p>
        </w:tc>
        <w:tc>
          <w:tcPr>
            <w:tcW w:w="6804" w:type="dxa"/>
            <w:tcBorders>
              <w:top w:val="nil"/>
              <w:left w:val="nil"/>
              <w:bottom w:val="nil"/>
              <w:right w:val="nil"/>
            </w:tcBorders>
            <w:tcMar>
              <w:top w:w="0" w:type="dxa"/>
              <w:left w:w="62" w:type="dxa"/>
              <w:bottom w:w="0" w:type="dxa"/>
              <w:right w:w="62" w:type="dxa"/>
            </w:tcMar>
          </w:tcPr>
          <w:p w:rsidR="00000000" w:rsidP="00654C2A">
            <w:pPr>
              <w:pStyle w:val="BodyText"/>
              <w:rPr>
                <w:lang w:val="en-NZ"/>
              </w:rPr>
            </w:pPr>
            <w:r w:rsidRPr="00654C2A">
              <w:t>Use selected tools and equipment according to work health and safety (WHS) requirements and standard practices to ensure correct outcome is achieved safely, efficiently, and without damage to components and tooling</w:t>
            </w:r>
          </w:p>
        </w:tc>
      </w:tr>
      <w:tr w:rsidTr="00245484">
        <w:tblPrEx>
          <w:tblW w:w="9639"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70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54C2A">
            <w:pPr>
              <w:pStyle w:val="BodyText"/>
              <w:rPr>
                <w:lang w:val="en-NZ"/>
              </w:rPr>
            </w:pPr>
            <w:r w:rsidRPr="00654C2A">
              <w:t>2.2</w:t>
            </w:r>
          </w:p>
        </w:tc>
        <w:tc>
          <w:tcPr>
            <w:tcW w:w="6804" w:type="dxa"/>
            <w:tcBorders>
              <w:top w:val="nil"/>
              <w:left w:val="nil"/>
              <w:bottom w:val="nil"/>
              <w:right w:val="nil"/>
            </w:tcBorders>
            <w:tcMar>
              <w:top w:w="0" w:type="dxa"/>
              <w:left w:w="62" w:type="dxa"/>
              <w:bottom w:w="0" w:type="dxa"/>
              <w:right w:w="62" w:type="dxa"/>
            </w:tcMar>
          </w:tcPr>
          <w:p w:rsidR="00000000" w:rsidP="00654C2A">
            <w:pPr>
              <w:pStyle w:val="BodyText"/>
              <w:rPr>
                <w:lang w:val="en-NZ"/>
              </w:rPr>
            </w:pPr>
            <w:r w:rsidRPr="00654C2A">
              <w:t xml:space="preserve">Manufacture simple </w:t>
            </w:r>
            <w:r w:rsidRPr="00654C2A">
              <w:t>items using basic engineering hand skills</w:t>
            </w:r>
          </w:p>
        </w:tc>
      </w:tr>
      <w:tr w:rsidTr="00245484">
        <w:tblPrEx>
          <w:tblW w:w="9639"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70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54C2A">
            <w:pPr>
              <w:pStyle w:val="BodyText"/>
              <w:rPr>
                <w:lang w:val="en-NZ"/>
              </w:rPr>
            </w:pPr>
            <w:r w:rsidRPr="00654C2A">
              <w:t>2.3</w:t>
            </w:r>
          </w:p>
        </w:tc>
        <w:tc>
          <w:tcPr>
            <w:tcW w:w="6804" w:type="dxa"/>
            <w:tcBorders>
              <w:top w:val="nil"/>
              <w:left w:val="nil"/>
              <w:bottom w:val="nil"/>
              <w:right w:val="nil"/>
            </w:tcBorders>
            <w:tcMar>
              <w:top w:w="0" w:type="dxa"/>
              <w:left w:w="62" w:type="dxa"/>
              <w:bottom w:w="0" w:type="dxa"/>
              <w:right w:w="62" w:type="dxa"/>
            </w:tcMar>
          </w:tcPr>
          <w:p w:rsidR="00000000" w:rsidP="00654C2A">
            <w:pPr>
              <w:pStyle w:val="BodyText"/>
              <w:rPr>
                <w:lang w:val="en-NZ"/>
              </w:rPr>
            </w:pPr>
            <w:r w:rsidRPr="00654C2A">
              <w:t>Select and use common types of aircraft attachment hardware</w:t>
            </w:r>
          </w:p>
        </w:tc>
      </w:tr>
      <w:tr w:rsidTr="00245484">
        <w:tblPrEx>
          <w:tblW w:w="9639"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70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54C2A">
            <w:pPr>
              <w:pStyle w:val="BodyText"/>
              <w:rPr>
                <w:lang w:val="en-NZ"/>
              </w:rPr>
            </w:pPr>
            <w:r w:rsidRPr="00654C2A">
              <w:t>2.4</w:t>
            </w:r>
          </w:p>
        </w:tc>
        <w:tc>
          <w:tcPr>
            <w:tcW w:w="6804" w:type="dxa"/>
            <w:tcBorders>
              <w:top w:val="nil"/>
              <w:left w:val="nil"/>
              <w:bottom w:val="nil"/>
              <w:right w:val="nil"/>
            </w:tcBorders>
            <w:tcMar>
              <w:top w:w="0" w:type="dxa"/>
              <w:left w:w="62" w:type="dxa"/>
              <w:bottom w:w="0" w:type="dxa"/>
              <w:right w:w="62" w:type="dxa"/>
            </w:tcMar>
          </w:tcPr>
          <w:p w:rsidR="00000000" w:rsidP="00654C2A">
            <w:pPr>
              <w:pStyle w:val="BodyText"/>
              <w:rPr>
                <w:lang w:val="en-NZ"/>
              </w:rPr>
            </w:pPr>
            <w:r w:rsidRPr="00654C2A">
              <w:t>Select and use common types of safety locking devices and fasteners</w:t>
            </w:r>
          </w:p>
        </w:tc>
      </w:tr>
      <w:tr w:rsidTr="00245484">
        <w:tblPrEx>
          <w:tblW w:w="9639"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70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54C2A">
            <w:pPr>
              <w:pStyle w:val="BodyText"/>
              <w:rPr>
                <w:lang w:val="en-NZ"/>
              </w:rPr>
            </w:pPr>
            <w:r w:rsidRPr="00654C2A">
              <w:t>2.5</w:t>
            </w:r>
          </w:p>
        </w:tc>
        <w:tc>
          <w:tcPr>
            <w:tcW w:w="6804" w:type="dxa"/>
            <w:tcBorders>
              <w:top w:val="nil"/>
              <w:left w:val="nil"/>
              <w:bottom w:val="nil"/>
              <w:right w:val="nil"/>
            </w:tcBorders>
            <w:tcMar>
              <w:top w:w="0" w:type="dxa"/>
              <w:left w:w="62" w:type="dxa"/>
              <w:bottom w:w="0" w:type="dxa"/>
              <w:right w:w="62" w:type="dxa"/>
            </w:tcMar>
          </w:tcPr>
          <w:p w:rsidR="00000000" w:rsidP="00654C2A">
            <w:pPr>
              <w:pStyle w:val="BodyText"/>
              <w:rPr>
                <w:lang w:val="en-NZ"/>
              </w:rPr>
            </w:pPr>
            <w:r w:rsidRPr="00654C2A">
              <w:t>Lockwire aircraft components, devices and hardware in the correct manner, using the appropriate wire gauge</w:t>
            </w:r>
          </w:p>
        </w:tc>
      </w:tr>
      <w:tr w:rsidTr="00245484">
        <w:tblPrEx>
          <w:tblW w:w="9639"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70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54C2A">
            <w:pPr>
              <w:pStyle w:val="BodyText"/>
              <w:rPr>
                <w:lang w:val="en-NZ"/>
              </w:rPr>
            </w:pPr>
            <w:r w:rsidRPr="00654C2A">
              <w:t>2.6</w:t>
            </w:r>
          </w:p>
        </w:tc>
        <w:tc>
          <w:tcPr>
            <w:tcW w:w="6804" w:type="dxa"/>
            <w:tcBorders>
              <w:top w:val="nil"/>
              <w:left w:val="nil"/>
              <w:bottom w:val="nil"/>
              <w:right w:val="nil"/>
            </w:tcBorders>
            <w:tcMar>
              <w:top w:w="0" w:type="dxa"/>
              <w:left w:w="62" w:type="dxa"/>
              <w:bottom w:w="0" w:type="dxa"/>
              <w:right w:w="62" w:type="dxa"/>
            </w:tcMar>
          </w:tcPr>
          <w:p w:rsidR="00000000" w:rsidP="00654C2A">
            <w:pPr>
              <w:pStyle w:val="BodyText"/>
              <w:rPr>
                <w:lang w:val="en-NZ"/>
              </w:rPr>
            </w:pPr>
            <w:r w:rsidRPr="00654C2A">
              <w:t>Assemble and connect common types of aircraft connectors and plumbing</w:t>
            </w:r>
          </w:p>
        </w:tc>
      </w:tr>
      <w:tr w:rsidTr="00245484">
        <w:tblPrEx>
          <w:tblW w:w="9639"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rsidP="00654C2A">
            <w:pPr>
              <w:pStyle w:val="BodyText"/>
              <w:rPr>
                <w:lang w:val="en-NZ"/>
              </w:rPr>
            </w:pPr>
            <w:r w:rsidRPr="00654C2A">
              <w:t>3</w:t>
            </w:r>
          </w:p>
        </w:tc>
        <w:tc>
          <w:tcPr>
            <w:tcW w:w="1701" w:type="dxa"/>
            <w:tcBorders>
              <w:top w:val="nil"/>
              <w:left w:val="nil"/>
              <w:bottom w:val="nil"/>
              <w:right w:val="nil"/>
            </w:tcBorders>
            <w:tcMar>
              <w:top w:w="0" w:type="dxa"/>
              <w:left w:w="62" w:type="dxa"/>
              <w:bottom w:w="0" w:type="dxa"/>
              <w:right w:w="62" w:type="dxa"/>
            </w:tcMar>
          </w:tcPr>
          <w:p w:rsidR="00000000" w:rsidP="00654C2A">
            <w:pPr>
              <w:pStyle w:val="BodyText"/>
              <w:rPr>
                <w:lang w:val="en-NZ"/>
              </w:rPr>
            </w:pPr>
            <w:r w:rsidRPr="00654C2A">
              <w:t>Store tools and equipment</w:t>
            </w:r>
          </w:p>
        </w:tc>
        <w:tc>
          <w:tcPr>
            <w:tcW w:w="567" w:type="dxa"/>
            <w:tcBorders>
              <w:top w:val="nil"/>
              <w:left w:val="nil"/>
              <w:bottom w:val="nil"/>
              <w:right w:val="nil"/>
            </w:tcBorders>
            <w:tcMar>
              <w:top w:w="0" w:type="dxa"/>
              <w:left w:w="62" w:type="dxa"/>
              <w:bottom w:w="0" w:type="dxa"/>
              <w:right w:w="62" w:type="dxa"/>
            </w:tcMar>
          </w:tcPr>
          <w:p w:rsidR="00000000" w:rsidP="00654C2A">
            <w:pPr>
              <w:pStyle w:val="BodyText"/>
              <w:rPr>
                <w:lang w:val="en-NZ"/>
              </w:rPr>
            </w:pPr>
            <w:r w:rsidRPr="00654C2A">
              <w:t>3.1</w:t>
            </w:r>
          </w:p>
        </w:tc>
        <w:tc>
          <w:tcPr>
            <w:tcW w:w="6804" w:type="dxa"/>
            <w:tcBorders>
              <w:top w:val="nil"/>
              <w:left w:val="nil"/>
              <w:bottom w:val="nil"/>
              <w:right w:val="nil"/>
            </w:tcBorders>
            <w:tcMar>
              <w:top w:w="0" w:type="dxa"/>
              <w:left w:w="62" w:type="dxa"/>
              <w:bottom w:w="0" w:type="dxa"/>
              <w:right w:w="62" w:type="dxa"/>
            </w:tcMar>
          </w:tcPr>
          <w:p w:rsidR="00000000" w:rsidP="00654C2A">
            <w:pPr>
              <w:pStyle w:val="BodyText"/>
              <w:rPr>
                <w:lang w:val="en-NZ"/>
              </w:rPr>
            </w:pPr>
            <w:r w:rsidRPr="00654C2A">
              <w:t>Undertake operational maintenance of tools and equipment according to standard workshop procedures</w:t>
            </w:r>
          </w:p>
        </w:tc>
      </w:tr>
      <w:tr w:rsidTr="00245484">
        <w:tblPrEx>
          <w:tblW w:w="9639"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70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54C2A">
            <w:pPr>
              <w:pStyle w:val="BodyText"/>
              <w:rPr>
                <w:lang w:val="en-NZ"/>
              </w:rPr>
            </w:pPr>
            <w:r w:rsidRPr="00654C2A">
              <w:t>3.2</w:t>
            </w:r>
          </w:p>
        </w:tc>
        <w:tc>
          <w:tcPr>
            <w:tcW w:w="6804" w:type="dxa"/>
            <w:tcBorders>
              <w:top w:val="nil"/>
              <w:left w:val="nil"/>
              <w:bottom w:val="nil"/>
              <w:right w:val="nil"/>
            </w:tcBorders>
            <w:tcMar>
              <w:top w:w="0" w:type="dxa"/>
              <w:left w:w="62" w:type="dxa"/>
              <w:bottom w:w="0" w:type="dxa"/>
              <w:right w:w="62" w:type="dxa"/>
            </w:tcMar>
          </w:tcPr>
          <w:p w:rsidR="00000000" w:rsidRPr="00654C2A" w:rsidP="00654C2A">
            <w:pPr>
              <w:pStyle w:val="BodyText"/>
            </w:pPr>
            <w:r w:rsidRPr="00654C2A">
              <w:t>Store tools and equipment safely and securely in line with organisational procedures</w:t>
            </w:r>
          </w:p>
        </w:tc>
      </w:tr>
    </w:tbl>
    <w:p w:rsidR="00000000" w:rsidRPr="00654C2A" w:rsidP="00654C2A">
      <w:pPr>
        <w:pStyle w:val="BodyText"/>
      </w:pPr>
    </w:p>
    <w:p w:rsidR="00000000" w:rsidRPr="00654C2A" w:rsidP="00654C2A">
      <w:pPr>
        <w:pStyle w:val="AllowPageBreak"/>
      </w:pPr>
    </w:p>
    <w:p w:rsidR="00000000" w:rsidRPr="00654C2A" w:rsidP="00654C2A">
      <w:pPr>
        <w:pStyle w:val="Heading1"/>
      </w:pPr>
      <w:bookmarkStart w:id="6" w:name="O_988044"/>
      <w:bookmarkEnd w:id="6"/>
      <w:r w:rsidRPr="00654C2A">
        <w:t>Foundation Skills</w:t>
      </w:r>
    </w:p>
    <w:p w:rsidR="00000000" w:rsidRPr="00654C2A" w:rsidP="00245484">
      <w:pPr>
        <w:pStyle w:val="BodyText"/>
      </w:pPr>
      <w:r w:rsidRPr="00654C2A">
        <w:t xml:space="preserve">Foundation skills essential </w:t>
      </w:r>
      <w:r w:rsidRPr="00654C2A">
        <w:t>to performance are explicit in the performance criteria of this unit of competency.</w:t>
      </w:r>
    </w:p>
    <w:p w:rsidR="00000000" w:rsidRPr="00654C2A" w:rsidP="00654C2A">
      <w:pPr>
        <w:pStyle w:val="Heading1"/>
      </w:pPr>
      <w:bookmarkStart w:id="7" w:name="O_988043"/>
      <w:bookmarkEnd w:id="7"/>
      <w:r w:rsidRPr="00654C2A">
        <w:t>Unit Mapping Information</w:t>
      </w:r>
    </w:p>
    <w:p w:rsidR="00245484" w:rsidP="00245484">
      <w:pPr>
        <w:pStyle w:val="BodyText"/>
      </w:pPr>
      <w:r w:rsidRPr="00654C2A">
        <w:t>Release 1. Supersedes and equivalent to MEA109 Perform basic hand skills, standard trade practices and fundamentals in aviation ma</w:t>
      </w:r>
      <w:r w:rsidRPr="00654C2A">
        <w:t>intenance.</w:t>
      </w:r>
    </w:p>
    <w:p w:rsidR="00000000" w:rsidRPr="00654C2A" w:rsidP="00654C2A">
      <w:pPr>
        <w:pStyle w:val="Heading1"/>
      </w:pPr>
      <w:bookmarkStart w:id="8" w:name="O_988036"/>
      <w:bookmarkEnd w:id="8"/>
      <w:r w:rsidRPr="00654C2A">
        <w:t>Links</w:t>
      </w:r>
    </w:p>
    <w:p w:rsidR="00000000" w:rsidRPr="00654C2A" w:rsidP="00245484">
      <w:pPr>
        <w:pStyle w:val="BodyText"/>
      </w:pPr>
      <w:r w:rsidRPr="00654C2A">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CC72D0">
        <w:rPr>
          <w:rStyle w:val="Hyperlink"/>
        </w:rPr>
        <w:t>https://vetnet.gov.au/Pages/TrainingDocs.aspx?q=ce216c9c-04d5-4b3b-9bcf-4e81d0950371</w:t>
      </w:r>
      <w:r>
        <w:fldChar w:fldCharType="end"/>
      </w:r>
    </w:p>
    <w:p w:rsidR="00000000" w:rsidRPr="00654C2A" w:rsidP="00654C2A"/>
    <w:sectPr w:rsidSect="00654C2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C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C2A" w:rsidRPr="00245484" w:rsidP="002454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C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484" w:rsidP="00654C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45484" w:rsidP="00654C2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45484" w:rsidP="00654C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C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4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4C2A" w:rsidRPr="00245484" w:rsidP="002454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C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484" w:rsidRPr="002D2AF8" w:rsidP="00654C2A">
    <w:pPr>
      <w:pStyle w:val="Header"/>
      <w:framePr w:wrap="around"/>
    </w:pPr>
    <w:r>
      <w:fldChar w:fldCharType="begin"/>
    </w:r>
    <w:r>
      <w:instrText xml:space="preserve"> TITLE   \* MERGEFORMAT </w:instrText>
    </w:r>
    <w:r>
      <w:fldChar w:fldCharType="separate"/>
    </w:r>
    <w:r>
      <w:t>MEA158 Perform basic hand skills, standard trade practices and fundamentals in aviation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245484" w:rsidP="00654C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4C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4C2A"/>
    <w:pPr>
      <w:spacing w:before="360" w:after="60"/>
      <w:outlineLvl w:val="0"/>
    </w:pPr>
    <w:rPr>
      <w:sz w:val="32"/>
    </w:rPr>
  </w:style>
  <w:style w:type="paragraph" w:styleId="Heading2">
    <w:name w:val="heading 2"/>
    <w:basedOn w:val="HeadingBase"/>
    <w:next w:val="BodyText"/>
    <w:link w:val="Heading2Char"/>
    <w:qFormat/>
    <w:rsid w:val="00654C2A"/>
    <w:pPr>
      <w:keepLines/>
      <w:spacing w:before="240" w:after="120"/>
      <w:outlineLvl w:val="1"/>
    </w:pPr>
    <w:rPr>
      <w:sz w:val="28"/>
      <w:szCs w:val="40"/>
    </w:rPr>
  </w:style>
  <w:style w:type="paragraph" w:styleId="Heading3">
    <w:name w:val="heading 3"/>
    <w:basedOn w:val="HeadingBase"/>
    <w:next w:val="BodyText"/>
    <w:link w:val="Heading3Char"/>
    <w:qFormat/>
    <w:rsid w:val="00654C2A"/>
    <w:pPr>
      <w:spacing w:before="180" w:after="120"/>
      <w:outlineLvl w:val="2"/>
    </w:pPr>
    <w:rPr>
      <w:spacing w:val="-10"/>
      <w:kern w:val="32"/>
    </w:rPr>
  </w:style>
  <w:style w:type="paragraph" w:styleId="Heading4">
    <w:name w:val="heading 4"/>
    <w:basedOn w:val="HeadingBase"/>
    <w:next w:val="BodyText"/>
    <w:link w:val="Heading4Char"/>
    <w:qFormat/>
    <w:rsid w:val="00654C2A"/>
    <w:pPr>
      <w:spacing w:before="160" w:after="120"/>
      <w:outlineLvl w:val="3"/>
    </w:pPr>
    <w:rPr>
      <w:sz w:val="22"/>
    </w:rPr>
  </w:style>
  <w:style w:type="paragraph" w:styleId="Heading5">
    <w:name w:val="heading 5"/>
    <w:basedOn w:val="HeadingBase"/>
    <w:next w:val="Normal"/>
    <w:link w:val="Heading5Char"/>
    <w:qFormat/>
    <w:rsid w:val="00654C2A"/>
    <w:pPr>
      <w:spacing w:before="80"/>
      <w:outlineLvl w:val="4"/>
    </w:pPr>
    <w:rPr>
      <w:color w:val="918585"/>
      <w:sz w:val="20"/>
    </w:rPr>
  </w:style>
  <w:style w:type="paragraph" w:styleId="Heading6">
    <w:name w:val="heading 6"/>
    <w:basedOn w:val="HeadingBase"/>
    <w:next w:val="Normal"/>
    <w:link w:val="Heading6Char"/>
    <w:qFormat/>
    <w:rsid w:val="00654C2A"/>
    <w:pPr>
      <w:spacing w:before="60"/>
      <w:outlineLvl w:val="5"/>
    </w:pPr>
    <w:rPr>
      <w:color w:val="918585"/>
      <w:sz w:val="20"/>
    </w:rPr>
  </w:style>
  <w:style w:type="paragraph" w:styleId="Heading7">
    <w:name w:val="heading 7"/>
    <w:basedOn w:val="Normal"/>
    <w:next w:val="Normal"/>
    <w:link w:val="Heading7Char"/>
    <w:qFormat/>
    <w:rsid w:val="00654C2A"/>
    <w:pPr>
      <w:ind w:left="720"/>
      <w:outlineLvl w:val="6"/>
    </w:pPr>
    <w:rPr>
      <w:i/>
    </w:rPr>
  </w:style>
  <w:style w:type="paragraph" w:styleId="Heading8">
    <w:name w:val="heading 8"/>
    <w:basedOn w:val="Normal"/>
    <w:next w:val="Normal"/>
    <w:link w:val="Heading8Char"/>
    <w:qFormat/>
    <w:rsid w:val="00654C2A"/>
    <w:pPr>
      <w:ind w:left="720"/>
      <w:outlineLvl w:val="7"/>
    </w:pPr>
    <w:rPr>
      <w:i/>
    </w:rPr>
  </w:style>
  <w:style w:type="paragraph" w:styleId="Heading9">
    <w:name w:val="heading 9"/>
    <w:basedOn w:val="Normal"/>
    <w:next w:val="Normal"/>
    <w:link w:val="Heading9Char"/>
    <w:qFormat/>
    <w:rsid w:val="00654C2A"/>
    <w:pPr>
      <w:ind w:left="720"/>
      <w:outlineLvl w:val="8"/>
    </w:pPr>
    <w:rPr>
      <w:i/>
    </w:rPr>
  </w:style>
  <w:style w:type="character" w:default="1" w:styleId="DefaultParagraphFont">
    <w:name w:val="Default Paragraph Font"/>
    <w:uiPriority w:val="1"/>
    <w:unhideWhenUsed/>
    <w:rsid w:val="00654C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4C2A"/>
  </w:style>
  <w:style w:type="character" w:customStyle="1" w:styleId="Heading1Char">
    <w:name w:val="Heading 1 Char"/>
    <w:basedOn w:val="DefaultParagraphFont"/>
    <w:link w:val="Heading1"/>
    <w:rsid w:val="00654C2A"/>
    <w:rPr>
      <w:rFonts w:ascii="Times New Roman" w:eastAsia="Times New Roman" w:hAnsi="Times New Roman" w:cs="Times New Roman"/>
      <w:b/>
      <w:sz w:val="32"/>
      <w:szCs w:val="20"/>
      <w:lang w:eastAsia="en-US"/>
    </w:rPr>
  </w:style>
  <w:style w:type="paragraph" w:styleId="BodyText">
    <w:name w:val="Body Text"/>
    <w:basedOn w:val="Normal"/>
    <w:link w:val="BodyTextChar"/>
    <w:rsid w:val="00654C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4C2A"/>
    <w:rPr>
      <w:rFonts w:ascii="Times New Roman" w:eastAsia="Times New Roman" w:hAnsi="Times New Roman" w:cs="Times New Roman"/>
      <w:sz w:val="24"/>
      <w:lang w:eastAsia="en-US"/>
    </w:rPr>
  </w:style>
  <w:style w:type="character" w:customStyle="1" w:styleId="SpecialBold">
    <w:name w:val="Special Bold"/>
    <w:basedOn w:val="DefaultParagraphFont"/>
    <w:rsid w:val="00654C2A"/>
    <w:rPr>
      <w:b/>
      <w:spacing w:val="0"/>
    </w:rPr>
  </w:style>
  <w:style w:type="paragraph" w:customStyle="1" w:styleId="SuperHeading">
    <w:name w:val="SuperHeading"/>
    <w:basedOn w:val="Normal"/>
    <w:rsid w:val="00654C2A"/>
    <w:pPr>
      <w:spacing w:before="240" w:after="120"/>
      <w:outlineLvl w:val="0"/>
    </w:pPr>
    <w:rPr>
      <w:rFonts w:ascii="Times New Roman" w:hAnsi="Times New Roman"/>
      <w:b/>
      <w:sz w:val="32"/>
    </w:rPr>
  </w:style>
  <w:style w:type="paragraph" w:customStyle="1" w:styleId="AllowPageBreak">
    <w:name w:val="AllowPageBreak"/>
    <w:rsid w:val="00654C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4C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4C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4C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4C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4C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4C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4C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4C2A"/>
    <w:rPr>
      <w:rFonts w:ascii="Courier New" w:eastAsia="Times New Roman" w:hAnsi="Courier New" w:cs="Times New Roman"/>
      <w:i/>
      <w:szCs w:val="20"/>
      <w:lang w:eastAsia="en-US"/>
    </w:rPr>
  </w:style>
  <w:style w:type="paragraph" w:customStyle="1" w:styleId="HeadingBase">
    <w:name w:val="Heading Base"/>
    <w:rsid w:val="00654C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4C2A"/>
    <w:pPr>
      <w:tabs>
        <w:tab w:val="right" w:leader="dot" w:pos="9072"/>
      </w:tabs>
      <w:ind w:left="567"/>
    </w:pPr>
    <w:rPr>
      <w:szCs w:val="22"/>
    </w:rPr>
  </w:style>
  <w:style w:type="paragraph" w:customStyle="1" w:styleId="TOCBase">
    <w:name w:val="TOC Base"/>
    <w:rsid w:val="00654C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4C2A"/>
    <w:pPr>
      <w:tabs>
        <w:tab w:val="right" w:leader="dot" w:pos="9072"/>
      </w:tabs>
      <w:spacing w:before="40" w:after="40"/>
      <w:ind w:left="284"/>
    </w:pPr>
    <w:rPr>
      <w:rFonts w:ascii="Times New Roman" w:hAnsi="Times New Roman"/>
    </w:rPr>
  </w:style>
  <w:style w:type="paragraph" w:styleId="TOC1">
    <w:name w:val="toc 1"/>
    <w:basedOn w:val="TOCBase"/>
    <w:next w:val="Normal"/>
    <w:rsid w:val="00654C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4C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4C2A"/>
    <w:rPr>
      <w:rFonts w:ascii="Times New Roman" w:eastAsia="Times New Roman" w:hAnsi="Times New Roman" w:cs="Times New Roman"/>
      <w:sz w:val="16"/>
      <w:lang w:eastAsia="en-US"/>
    </w:rPr>
  </w:style>
  <w:style w:type="paragraph" w:styleId="Title">
    <w:name w:val="Title"/>
    <w:basedOn w:val="HeadingBase"/>
    <w:link w:val="TitleChar"/>
    <w:qFormat/>
    <w:rsid w:val="00654C2A"/>
    <w:pPr>
      <w:spacing w:before="5040"/>
      <w:jc w:val="center"/>
    </w:pPr>
    <w:rPr>
      <w:sz w:val="48"/>
      <w:szCs w:val="72"/>
      <w:lang w:val="en-US"/>
    </w:rPr>
  </w:style>
  <w:style w:type="character" w:customStyle="1" w:styleId="TitleChar">
    <w:name w:val="Title Char"/>
    <w:basedOn w:val="DefaultParagraphFont"/>
    <w:link w:val="Title"/>
    <w:rsid w:val="00654C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4C2A"/>
    <w:pPr>
      <w:tabs>
        <w:tab w:val="left" w:pos="3600"/>
        <w:tab w:val="left" w:pos="3958"/>
      </w:tabs>
    </w:pPr>
  </w:style>
  <w:style w:type="paragraph" w:styleId="List">
    <w:name w:val="List"/>
    <w:basedOn w:val="BodyText"/>
    <w:next w:val="BodyText"/>
    <w:rsid w:val="00654C2A"/>
    <w:pPr>
      <w:tabs>
        <w:tab w:val="left" w:pos="340"/>
      </w:tabs>
      <w:spacing w:before="60" w:after="60"/>
      <w:ind w:left="340" w:hanging="340"/>
    </w:pPr>
  </w:style>
  <w:style w:type="paragraph" w:styleId="ListBullet">
    <w:name w:val="List Bullet"/>
    <w:basedOn w:val="List"/>
    <w:rsid w:val="00654C2A"/>
    <w:pPr>
      <w:numPr>
        <w:numId w:val="10"/>
      </w:numPr>
      <w:tabs>
        <w:tab w:val="clear" w:pos="340"/>
      </w:tabs>
      <w:spacing w:before="40" w:after="40"/>
    </w:pPr>
  </w:style>
  <w:style w:type="paragraph" w:customStyle="1" w:styleId="Note">
    <w:name w:val="Note"/>
    <w:basedOn w:val="BodyText"/>
    <w:rsid w:val="00654C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4C2A"/>
    <w:pPr>
      <w:framePr w:wrap="auto" w:hAnchor="text" w:y="6049"/>
    </w:pPr>
    <w:rPr>
      <w:color w:val="000000"/>
      <w:sz w:val="40"/>
    </w:rPr>
  </w:style>
  <w:style w:type="paragraph" w:customStyle="1" w:styleId="TOCTitle">
    <w:name w:val="TOCTitle"/>
    <w:basedOn w:val="Heading1"/>
    <w:rsid w:val="00654C2A"/>
    <w:pPr>
      <w:spacing w:after="240"/>
      <w:jc w:val="center"/>
      <w:outlineLvl w:val="9"/>
    </w:pPr>
    <w:rPr>
      <w:caps/>
    </w:rPr>
  </w:style>
  <w:style w:type="paragraph" w:customStyle="1" w:styleId="Version">
    <w:name w:val="Version"/>
    <w:rsid w:val="00654C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4C2A"/>
    <w:pPr>
      <w:numPr>
        <w:numId w:val="11"/>
      </w:numPr>
      <w:tabs>
        <w:tab w:val="clear" w:pos="680"/>
      </w:tabs>
    </w:pPr>
  </w:style>
  <w:style w:type="paragraph" w:styleId="Index1">
    <w:name w:val="index 1"/>
    <w:basedOn w:val="Normal"/>
    <w:next w:val="Normal"/>
    <w:semiHidden/>
    <w:rsid w:val="00654C2A"/>
    <w:pPr>
      <w:keepNext w:val="0"/>
      <w:tabs>
        <w:tab w:val="right" w:pos="4176"/>
      </w:tabs>
      <w:ind w:left="198" w:hanging="198"/>
    </w:pPr>
    <w:rPr>
      <w:rFonts w:ascii="Garamond" w:hAnsi="Garamond"/>
    </w:rPr>
  </w:style>
  <w:style w:type="paragraph" w:styleId="IndexHeading">
    <w:name w:val="index heading"/>
    <w:basedOn w:val="Normal"/>
    <w:next w:val="Index1"/>
    <w:semiHidden/>
    <w:rsid w:val="00654C2A"/>
    <w:pPr>
      <w:spacing w:before="120" w:after="120"/>
    </w:pPr>
    <w:rPr>
      <w:rFonts w:ascii="Arial" w:hAnsi="Arial"/>
      <w:b/>
      <w:color w:val="918585"/>
      <w:sz w:val="24"/>
    </w:rPr>
  </w:style>
  <w:style w:type="paragraph" w:styleId="Header">
    <w:name w:val="header"/>
    <w:basedOn w:val="Normal"/>
    <w:link w:val="HeaderChar"/>
    <w:rsid w:val="00654C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4C2A"/>
    <w:rPr>
      <w:rFonts w:ascii="Times New Roman" w:eastAsia="Times New Roman" w:hAnsi="Times New Roman" w:cs="Times New Roman"/>
      <w:sz w:val="16"/>
      <w:szCs w:val="20"/>
      <w:lang w:val="en-GB" w:eastAsia="en-US"/>
    </w:rPr>
  </w:style>
  <w:style w:type="paragraph" w:customStyle="1" w:styleId="Chapter">
    <w:name w:val="Chapter"/>
    <w:basedOn w:val="Normal"/>
    <w:rsid w:val="00654C2A"/>
    <w:pPr>
      <w:spacing w:before="240"/>
    </w:pPr>
    <w:rPr>
      <w:rFonts w:ascii="Times New Roman" w:hAnsi="Times New Roman"/>
      <w:smallCaps/>
      <w:spacing w:val="80"/>
      <w:sz w:val="28"/>
    </w:rPr>
  </w:style>
  <w:style w:type="paragraph" w:customStyle="1" w:styleId="InChapter">
    <w:name w:val="InChapter"/>
    <w:basedOn w:val="Heading3"/>
    <w:rsid w:val="00654C2A"/>
    <w:pPr>
      <w:spacing w:after="240"/>
      <w:outlineLvl w:val="9"/>
    </w:pPr>
    <w:rPr>
      <w:noProof/>
    </w:rPr>
  </w:style>
  <w:style w:type="paragraph" w:styleId="Index2">
    <w:name w:val="index 2"/>
    <w:basedOn w:val="Normal"/>
    <w:next w:val="Normal"/>
    <w:semiHidden/>
    <w:rsid w:val="00654C2A"/>
    <w:pPr>
      <w:tabs>
        <w:tab w:val="right" w:pos="4176"/>
      </w:tabs>
      <w:ind w:left="568" w:hanging="284"/>
    </w:pPr>
    <w:rPr>
      <w:rFonts w:ascii="Garamond" w:hAnsi="Garamond"/>
    </w:rPr>
  </w:style>
  <w:style w:type="paragraph" w:customStyle="1" w:styleId="Byline">
    <w:name w:val="Byline"/>
    <w:rsid w:val="00654C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4C2A"/>
    <w:pPr>
      <w:tabs>
        <w:tab w:val="clear" w:pos="3600"/>
        <w:tab w:val="clear" w:pos="3958"/>
      </w:tabs>
      <w:jc w:val="right"/>
    </w:pPr>
  </w:style>
  <w:style w:type="character" w:styleId="Emphasis">
    <w:name w:val="Emphasis"/>
    <w:basedOn w:val="DefaultParagraphFont"/>
    <w:qFormat/>
    <w:rsid w:val="00654C2A"/>
    <w:rPr>
      <w:i/>
    </w:rPr>
  </w:style>
  <w:style w:type="paragraph" w:styleId="Caption">
    <w:name w:val="caption"/>
    <w:basedOn w:val="BodyText"/>
    <w:next w:val="Normal"/>
    <w:qFormat/>
    <w:rsid w:val="00654C2A"/>
    <w:pPr>
      <w:framePr w:w="2268" w:hSpace="181" w:vSpace="181" w:wrap="around" w:vAnchor="text" w:hAnchor="page" w:x="1135" w:y="285" w:anchorLock="1"/>
    </w:pPr>
    <w:rPr>
      <w:i/>
    </w:rPr>
  </w:style>
  <w:style w:type="paragraph" w:customStyle="1" w:styleId="MiniTOCTitle">
    <w:name w:val="MiniTOCTitle"/>
    <w:basedOn w:val="Heading4"/>
    <w:rsid w:val="00654C2A"/>
    <w:pPr>
      <w:spacing w:before="240"/>
      <w:outlineLvl w:val="9"/>
    </w:pPr>
    <w:rPr>
      <w:noProof/>
      <w:sz w:val="24"/>
    </w:rPr>
  </w:style>
  <w:style w:type="paragraph" w:customStyle="1" w:styleId="MiniTOCItem">
    <w:name w:val="MiniTOCItem"/>
    <w:basedOn w:val="ListBullet"/>
    <w:rsid w:val="00654C2A"/>
    <w:pPr>
      <w:numPr>
        <w:numId w:val="0"/>
      </w:numPr>
      <w:tabs>
        <w:tab w:val="right" w:leader="dot" w:pos="6521"/>
      </w:tabs>
      <w:spacing w:before="0" w:after="0"/>
    </w:pPr>
  </w:style>
  <w:style w:type="paragraph" w:customStyle="1" w:styleId="TOFTitle">
    <w:name w:val="TOFTitle"/>
    <w:basedOn w:val="TOCTitle"/>
    <w:rsid w:val="00654C2A"/>
  </w:style>
  <w:style w:type="paragraph" w:styleId="TableofFigures">
    <w:name w:val="table of figures"/>
    <w:basedOn w:val="Normal"/>
    <w:next w:val="Normal"/>
    <w:semiHidden/>
    <w:rsid w:val="00654C2A"/>
    <w:pPr>
      <w:tabs>
        <w:tab w:val="right" w:leader="dot" w:pos="9072"/>
      </w:tabs>
      <w:ind w:left="970" w:hanging="403"/>
    </w:pPr>
    <w:rPr>
      <w:rFonts w:ascii="Times New Roman" w:hAnsi="Times New Roman"/>
      <w:b/>
    </w:rPr>
  </w:style>
  <w:style w:type="paragraph" w:styleId="ListNumber">
    <w:name w:val="List Number"/>
    <w:basedOn w:val="List"/>
    <w:rsid w:val="00654C2A"/>
    <w:pPr>
      <w:numPr>
        <w:numId w:val="13"/>
      </w:numPr>
      <w:tabs>
        <w:tab w:val="clear" w:pos="340"/>
      </w:tabs>
    </w:pPr>
  </w:style>
  <w:style w:type="character" w:customStyle="1" w:styleId="WingdingSymbols">
    <w:name w:val="Wingding Symbols"/>
    <w:rsid w:val="00654C2A"/>
    <w:rPr>
      <w:rFonts w:ascii="Wingdings" w:hAnsi="Wingdings"/>
    </w:rPr>
  </w:style>
  <w:style w:type="paragraph" w:customStyle="1" w:styleId="TableHeading">
    <w:name w:val="Table Heading"/>
    <w:basedOn w:val="HeadingBase"/>
    <w:rsid w:val="00654C2A"/>
    <w:pPr>
      <w:keepLines/>
      <w:pBdr>
        <w:bottom w:val="single" w:sz="6" w:space="1" w:color="918585"/>
      </w:pBdr>
      <w:spacing w:before="240"/>
    </w:pPr>
  </w:style>
  <w:style w:type="character" w:customStyle="1" w:styleId="HotSpot">
    <w:name w:val="HotSpot"/>
    <w:rsid w:val="00654C2A"/>
    <w:rPr>
      <w:color w:val="0033CC"/>
      <w:u w:val="none"/>
    </w:rPr>
  </w:style>
  <w:style w:type="paragraph" w:customStyle="1" w:styleId="BodyTextRight">
    <w:name w:val="Body Text Right"/>
    <w:basedOn w:val="BodyText"/>
    <w:rsid w:val="00654C2A"/>
    <w:pPr>
      <w:spacing w:before="0" w:after="0"/>
      <w:jc w:val="right"/>
    </w:pPr>
  </w:style>
  <w:style w:type="paragraph" w:styleId="Index3">
    <w:name w:val="index 3"/>
    <w:basedOn w:val="ListNumber2"/>
    <w:next w:val="Normal"/>
    <w:semiHidden/>
    <w:rsid w:val="00654C2A"/>
    <w:pPr>
      <w:numPr>
        <w:numId w:val="0"/>
      </w:numPr>
      <w:tabs>
        <w:tab w:val="right" w:leader="dot" w:pos="4176"/>
      </w:tabs>
    </w:pPr>
  </w:style>
  <w:style w:type="paragraph" w:styleId="ListNumber2">
    <w:name w:val="List Number 2"/>
    <w:basedOn w:val="List2"/>
    <w:rsid w:val="00654C2A"/>
    <w:pPr>
      <w:numPr>
        <w:numId w:val="8"/>
      </w:numPr>
      <w:tabs>
        <w:tab w:val="clear" w:pos="1060"/>
      </w:tabs>
    </w:pPr>
  </w:style>
  <w:style w:type="paragraph" w:customStyle="1" w:styleId="MarginNote">
    <w:name w:val="Margin Note"/>
    <w:basedOn w:val="BodyText"/>
    <w:rsid w:val="00654C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4C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4C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4C2A"/>
    <w:rPr>
      <w:sz w:val="32"/>
    </w:rPr>
  </w:style>
  <w:style w:type="paragraph" w:customStyle="1" w:styleId="HeadingProcedure">
    <w:name w:val="Heading Procedure"/>
    <w:basedOn w:val="HeadingBase"/>
    <w:next w:val="Normal"/>
    <w:rsid w:val="00654C2A"/>
    <w:pPr>
      <w:tabs>
        <w:tab w:val="left" w:pos="0"/>
      </w:tabs>
      <w:spacing w:before="120" w:after="60"/>
    </w:pPr>
    <w:rPr>
      <w:i/>
      <w:color w:val="918585"/>
      <w:sz w:val="22"/>
    </w:rPr>
  </w:style>
  <w:style w:type="paragraph" w:customStyle="1" w:styleId="TableBodyText">
    <w:name w:val="Table Body Text"/>
    <w:basedOn w:val="BodyText"/>
    <w:rsid w:val="00654C2A"/>
    <w:pPr>
      <w:spacing w:before="60" w:after="60"/>
    </w:pPr>
  </w:style>
  <w:style w:type="paragraph" w:styleId="ListContinue">
    <w:name w:val="List Continue"/>
    <w:basedOn w:val="List"/>
    <w:rsid w:val="00654C2A"/>
    <w:pPr>
      <w:ind w:firstLine="0"/>
    </w:pPr>
  </w:style>
  <w:style w:type="paragraph" w:customStyle="1" w:styleId="ListNote">
    <w:name w:val="List Note"/>
    <w:basedOn w:val="List"/>
    <w:rsid w:val="00654C2A"/>
    <w:pPr>
      <w:pBdr>
        <w:top w:val="single" w:sz="6" w:space="2" w:color="918585"/>
        <w:bottom w:val="single" w:sz="6" w:space="2" w:color="918585"/>
      </w:pBdr>
      <w:tabs>
        <w:tab w:val="left" w:pos="1021"/>
      </w:tabs>
      <w:ind w:firstLine="0"/>
    </w:pPr>
  </w:style>
  <w:style w:type="paragraph" w:customStyle="1" w:styleId="Warning">
    <w:name w:val="Warning"/>
    <w:basedOn w:val="BodyText"/>
    <w:rsid w:val="00654C2A"/>
    <w:pPr>
      <w:shd w:val="clear" w:color="auto" w:fill="D9D9D9"/>
      <w:tabs>
        <w:tab w:val="left" w:pos="992"/>
      </w:tabs>
      <w:ind w:left="119" w:right="119"/>
    </w:pPr>
    <w:rPr>
      <w:sz w:val="20"/>
    </w:rPr>
  </w:style>
  <w:style w:type="paragraph" w:customStyle="1" w:styleId="MarginIcons">
    <w:name w:val="Margin Icons"/>
    <w:basedOn w:val="BodyText"/>
    <w:rsid w:val="00654C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4C2A"/>
    <w:rPr>
      <w:rFonts w:ascii="Courier New" w:hAnsi="Courier New"/>
    </w:rPr>
  </w:style>
  <w:style w:type="paragraph" w:customStyle="1" w:styleId="NoteBullet">
    <w:name w:val="Note Bullet"/>
    <w:basedOn w:val="Note"/>
    <w:rsid w:val="00654C2A"/>
    <w:pPr>
      <w:tabs>
        <w:tab w:val="clear" w:pos="680"/>
      </w:tabs>
      <w:spacing w:before="60" w:after="60"/>
    </w:pPr>
  </w:style>
  <w:style w:type="paragraph" w:customStyle="1" w:styleId="SubHeading2">
    <w:name w:val="SubHeading2"/>
    <w:basedOn w:val="HeadingBase"/>
    <w:rsid w:val="00654C2A"/>
    <w:pPr>
      <w:spacing w:before="240" w:after="60"/>
    </w:pPr>
    <w:rPr>
      <w:sz w:val="20"/>
    </w:rPr>
  </w:style>
  <w:style w:type="paragraph" w:customStyle="1" w:styleId="SubHeading1">
    <w:name w:val="SubHeading1"/>
    <w:basedOn w:val="HeadingBase"/>
    <w:rsid w:val="00654C2A"/>
    <w:pPr>
      <w:spacing w:before="240" w:after="60"/>
    </w:pPr>
    <w:rPr>
      <w:color w:val="918585"/>
      <w:sz w:val="22"/>
    </w:rPr>
  </w:style>
  <w:style w:type="paragraph" w:customStyle="1" w:styleId="SideHeading">
    <w:name w:val="Side Heading"/>
    <w:basedOn w:val="HeadingBase"/>
    <w:rsid w:val="00654C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4C2A"/>
    <w:pPr>
      <w:numPr>
        <w:numId w:val="9"/>
      </w:numPr>
    </w:pPr>
  </w:style>
  <w:style w:type="paragraph" w:styleId="PlainText">
    <w:name w:val="Plain Text"/>
    <w:basedOn w:val="Normal"/>
    <w:link w:val="PlainTextChar"/>
    <w:rsid w:val="00654C2A"/>
    <w:rPr>
      <w:sz w:val="20"/>
    </w:rPr>
  </w:style>
  <w:style w:type="character" w:customStyle="1" w:styleId="PlainTextChar">
    <w:name w:val="Plain Text Char"/>
    <w:basedOn w:val="DefaultParagraphFont"/>
    <w:link w:val="PlainText"/>
    <w:rsid w:val="00654C2A"/>
    <w:rPr>
      <w:rFonts w:ascii="Courier New" w:eastAsia="Times New Roman" w:hAnsi="Courier New" w:cs="Times New Roman"/>
      <w:sz w:val="20"/>
      <w:szCs w:val="20"/>
      <w:lang w:eastAsia="en-US"/>
    </w:rPr>
  </w:style>
  <w:style w:type="character" w:customStyle="1" w:styleId="MenuOption">
    <w:name w:val="Menu Option"/>
    <w:basedOn w:val="DefaultParagraphFont"/>
    <w:rsid w:val="00654C2A"/>
    <w:rPr>
      <w:b/>
      <w:smallCaps/>
    </w:rPr>
  </w:style>
  <w:style w:type="paragraph" w:customStyle="1" w:styleId="TableListNumber">
    <w:name w:val="Table List Number"/>
    <w:basedOn w:val="ListNumber"/>
    <w:rsid w:val="00654C2A"/>
    <w:pPr>
      <w:numPr>
        <w:numId w:val="0"/>
      </w:numPr>
    </w:pPr>
  </w:style>
  <w:style w:type="paragraph" w:styleId="TOC4">
    <w:name w:val="toc 4"/>
    <w:basedOn w:val="TOCBase"/>
    <w:next w:val="Normal"/>
    <w:semiHidden/>
    <w:rsid w:val="00654C2A"/>
    <w:pPr>
      <w:tabs>
        <w:tab w:val="right" w:leader="dot" w:pos="9071"/>
      </w:tabs>
      <w:ind w:left="1701"/>
    </w:pPr>
  </w:style>
  <w:style w:type="paragraph" w:customStyle="1" w:styleId="ListAlpha">
    <w:name w:val="List Alpha"/>
    <w:basedOn w:val="List"/>
    <w:rsid w:val="00654C2A"/>
    <w:pPr>
      <w:numPr>
        <w:numId w:val="7"/>
      </w:numPr>
    </w:pPr>
  </w:style>
  <w:style w:type="paragraph" w:customStyle="1" w:styleId="ListAlpha2">
    <w:name w:val="List Alpha 2"/>
    <w:basedOn w:val="List2"/>
    <w:rsid w:val="00654C2A"/>
    <w:pPr>
      <w:numPr>
        <w:numId w:val="6"/>
      </w:numPr>
    </w:pPr>
  </w:style>
  <w:style w:type="paragraph" w:styleId="List2">
    <w:name w:val="List 2"/>
    <w:basedOn w:val="BodyText"/>
    <w:rsid w:val="00654C2A"/>
    <w:pPr>
      <w:tabs>
        <w:tab w:val="left" w:pos="680"/>
      </w:tabs>
      <w:spacing w:before="60" w:after="60"/>
      <w:ind w:left="680" w:hanging="340"/>
    </w:pPr>
  </w:style>
  <w:style w:type="paragraph" w:styleId="List3">
    <w:name w:val="List 3"/>
    <w:basedOn w:val="BodyText"/>
    <w:rsid w:val="00654C2A"/>
    <w:pPr>
      <w:tabs>
        <w:tab w:val="left" w:pos="1021"/>
      </w:tabs>
      <w:spacing w:before="60" w:after="60"/>
      <w:ind w:left="1020" w:hanging="340"/>
    </w:pPr>
  </w:style>
  <w:style w:type="paragraph" w:styleId="List4">
    <w:name w:val="List 4"/>
    <w:basedOn w:val="BodyText"/>
    <w:rsid w:val="00654C2A"/>
    <w:pPr>
      <w:tabs>
        <w:tab w:val="left" w:pos="1361"/>
      </w:tabs>
      <w:spacing w:before="60" w:after="60"/>
      <w:ind w:left="1361" w:hanging="340"/>
    </w:pPr>
  </w:style>
  <w:style w:type="paragraph" w:styleId="List5">
    <w:name w:val="List 5"/>
    <w:basedOn w:val="BodyText"/>
    <w:rsid w:val="00654C2A"/>
    <w:pPr>
      <w:tabs>
        <w:tab w:val="left" w:pos="1701"/>
      </w:tabs>
      <w:spacing w:before="60" w:after="60"/>
      <w:ind w:left="1701" w:hanging="340"/>
    </w:pPr>
  </w:style>
  <w:style w:type="paragraph" w:styleId="ListBullet3">
    <w:name w:val="List Bullet 3"/>
    <w:basedOn w:val="List3"/>
    <w:rsid w:val="00654C2A"/>
    <w:pPr>
      <w:numPr>
        <w:numId w:val="12"/>
      </w:numPr>
      <w:tabs>
        <w:tab w:val="clear" w:pos="1021"/>
      </w:tabs>
      <w:ind w:left="1037" w:hanging="357"/>
    </w:pPr>
  </w:style>
  <w:style w:type="paragraph" w:styleId="ListBullet4">
    <w:name w:val="List Bullet 4"/>
    <w:basedOn w:val="List4"/>
    <w:rsid w:val="00654C2A"/>
    <w:pPr>
      <w:numPr>
        <w:numId w:val="1"/>
      </w:numPr>
      <w:tabs>
        <w:tab w:val="clear" w:pos="1361"/>
      </w:tabs>
    </w:pPr>
  </w:style>
  <w:style w:type="paragraph" w:styleId="ListBullet5">
    <w:name w:val="List Bullet 5"/>
    <w:basedOn w:val="List5"/>
    <w:rsid w:val="00654C2A"/>
    <w:pPr>
      <w:numPr>
        <w:numId w:val="2"/>
      </w:numPr>
    </w:pPr>
  </w:style>
  <w:style w:type="paragraph" w:styleId="ListContinue2">
    <w:name w:val="List Continue 2"/>
    <w:basedOn w:val="List2"/>
    <w:rsid w:val="00654C2A"/>
    <w:pPr>
      <w:ind w:firstLine="0"/>
    </w:pPr>
  </w:style>
  <w:style w:type="paragraph" w:styleId="ListContinue3">
    <w:name w:val="List Continue 3"/>
    <w:basedOn w:val="List3"/>
    <w:rsid w:val="00654C2A"/>
    <w:pPr>
      <w:ind w:left="1021" w:firstLine="0"/>
    </w:pPr>
  </w:style>
  <w:style w:type="paragraph" w:styleId="ListContinue4">
    <w:name w:val="List Continue 4"/>
    <w:basedOn w:val="List4"/>
    <w:rsid w:val="00654C2A"/>
    <w:pPr>
      <w:ind w:firstLine="0"/>
    </w:pPr>
  </w:style>
  <w:style w:type="paragraph" w:styleId="ListContinue5">
    <w:name w:val="List Continue 5"/>
    <w:basedOn w:val="List5"/>
    <w:rsid w:val="00654C2A"/>
    <w:pPr>
      <w:ind w:firstLine="0"/>
    </w:pPr>
  </w:style>
  <w:style w:type="paragraph" w:styleId="ListNumber3">
    <w:name w:val="List Number 3"/>
    <w:basedOn w:val="List3"/>
    <w:rsid w:val="00654C2A"/>
    <w:pPr>
      <w:numPr>
        <w:numId w:val="3"/>
      </w:numPr>
    </w:pPr>
  </w:style>
  <w:style w:type="paragraph" w:styleId="ListNumber4">
    <w:name w:val="List Number 4"/>
    <w:basedOn w:val="List4"/>
    <w:rsid w:val="00654C2A"/>
    <w:pPr>
      <w:numPr>
        <w:numId w:val="4"/>
      </w:numPr>
    </w:pPr>
  </w:style>
  <w:style w:type="paragraph" w:styleId="ListNumber5">
    <w:name w:val="List Number 5"/>
    <w:basedOn w:val="List5"/>
    <w:rsid w:val="00654C2A"/>
    <w:pPr>
      <w:numPr>
        <w:numId w:val="5"/>
      </w:numPr>
    </w:pPr>
  </w:style>
  <w:style w:type="paragraph" w:styleId="BlockText">
    <w:name w:val="Block Text"/>
    <w:basedOn w:val="Normal"/>
    <w:rsid w:val="00654C2A"/>
    <w:pPr>
      <w:spacing w:after="120"/>
      <w:ind w:left="1440" w:right="1440"/>
    </w:pPr>
  </w:style>
  <w:style w:type="character" w:customStyle="1" w:styleId="Subscript">
    <w:name w:val="Subscript"/>
    <w:basedOn w:val="DefaultParagraphFont"/>
    <w:rsid w:val="00654C2A"/>
    <w:rPr>
      <w:sz w:val="16"/>
      <w:vertAlign w:val="subscript"/>
    </w:rPr>
  </w:style>
  <w:style w:type="character" w:customStyle="1" w:styleId="Superscript">
    <w:name w:val="Superscript"/>
    <w:basedOn w:val="DefaultParagraphFont"/>
    <w:rsid w:val="00654C2A"/>
    <w:rPr>
      <w:sz w:val="16"/>
      <w:vertAlign w:val="superscript"/>
    </w:rPr>
  </w:style>
  <w:style w:type="character" w:customStyle="1" w:styleId="Symbols">
    <w:name w:val="Symbols"/>
    <w:basedOn w:val="DefaultParagraphFont"/>
    <w:rsid w:val="00654C2A"/>
    <w:rPr>
      <w:rFonts w:ascii="Symbol" w:hAnsi="Symbol"/>
    </w:rPr>
  </w:style>
  <w:style w:type="character" w:customStyle="1" w:styleId="MenuOptions">
    <w:name w:val="Menu Options"/>
    <w:basedOn w:val="DefaultParagraphFont"/>
    <w:rsid w:val="00654C2A"/>
    <w:rPr>
      <w:rFonts w:ascii="Arial Narrow" w:hAnsi="Arial Narrow"/>
      <w:smallCaps/>
    </w:rPr>
  </w:style>
  <w:style w:type="character" w:customStyle="1" w:styleId="Buttons">
    <w:name w:val="Buttons"/>
    <w:basedOn w:val="DefaultParagraphFont"/>
    <w:rsid w:val="00654C2A"/>
    <w:rPr>
      <w:b/>
    </w:rPr>
  </w:style>
  <w:style w:type="character" w:customStyle="1" w:styleId="Underlined">
    <w:name w:val="Underlined"/>
    <w:basedOn w:val="DefaultParagraphFont"/>
    <w:rsid w:val="00654C2A"/>
    <w:rPr>
      <w:u w:val="single"/>
    </w:rPr>
  </w:style>
  <w:style w:type="paragraph" w:customStyle="1" w:styleId="TableBodyTextRight">
    <w:name w:val="Table Body Text Right"/>
    <w:basedOn w:val="TableBodyText"/>
    <w:rsid w:val="00654C2A"/>
    <w:pPr>
      <w:widowControl w:val="0"/>
      <w:autoSpaceDE w:val="0"/>
      <w:autoSpaceDN w:val="0"/>
      <w:adjustRightInd w:val="0"/>
      <w:jc w:val="right"/>
    </w:pPr>
    <w:rPr>
      <w:rFonts w:cs="Arial"/>
      <w:szCs w:val="18"/>
    </w:rPr>
  </w:style>
  <w:style w:type="paragraph" w:customStyle="1" w:styleId="CopyrightText">
    <w:name w:val="Copyright Text"/>
    <w:basedOn w:val="BodyText"/>
    <w:rsid w:val="00654C2A"/>
    <w:rPr>
      <w:sz w:val="18"/>
    </w:rPr>
  </w:style>
  <w:style w:type="paragraph" w:customStyle="1" w:styleId="BodySmallRight">
    <w:name w:val="Body Small Right"/>
    <w:basedOn w:val="BodyTextRight"/>
    <w:rsid w:val="00654C2A"/>
    <w:rPr>
      <w:sz w:val="18"/>
      <w:szCs w:val="18"/>
    </w:rPr>
  </w:style>
  <w:style w:type="paragraph" w:customStyle="1" w:styleId="MarginEdition">
    <w:name w:val="Margin Edition"/>
    <w:basedOn w:val="MarginNote"/>
    <w:rsid w:val="00654C2A"/>
    <w:pPr>
      <w:spacing w:before="0" w:after="0"/>
    </w:pPr>
    <w:rPr>
      <w:rFonts w:ascii="Times New Roman" w:hAnsi="Times New Roman"/>
      <w:color w:val="999999"/>
    </w:rPr>
  </w:style>
  <w:style w:type="paragraph" w:customStyle="1" w:styleId="Spacer">
    <w:name w:val="Spacer"/>
    <w:basedOn w:val="Normal"/>
    <w:rsid w:val="00654C2A"/>
    <w:rPr>
      <w:sz w:val="2"/>
      <w:szCs w:val="2"/>
    </w:rPr>
  </w:style>
  <w:style w:type="character" w:customStyle="1" w:styleId="Small">
    <w:name w:val="Small"/>
    <w:basedOn w:val="DefaultParagraphFont"/>
    <w:rsid w:val="00654C2A"/>
    <w:rPr>
      <w:sz w:val="16"/>
    </w:rPr>
  </w:style>
  <w:style w:type="paragraph" w:customStyle="1" w:styleId="WideTable">
    <w:name w:val="Wide Table"/>
    <w:basedOn w:val="Normal"/>
    <w:rsid w:val="00654C2A"/>
    <w:pPr>
      <w:ind w:left="-1418"/>
    </w:pPr>
    <w:rPr>
      <w:sz w:val="2"/>
      <w:szCs w:val="2"/>
    </w:rPr>
  </w:style>
  <w:style w:type="character" w:styleId="PageNumber">
    <w:name w:val="page number"/>
    <w:basedOn w:val="DefaultParagraphFont"/>
    <w:rsid w:val="00654C2A"/>
  </w:style>
  <w:style w:type="paragraph" w:styleId="Quote">
    <w:name w:val="Quote"/>
    <w:basedOn w:val="Heading1"/>
    <w:link w:val="QuoteChar"/>
    <w:qFormat/>
    <w:rsid w:val="00654C2A"/>
    <w:rPr>
      <w:b w:val="0"/>
      <w:sz w:val="72"/>
      <w:szCs w:val="72"/>
      <w:lang w:val="en-NZ"/>
    </w:rPr>
  </w:style>
  <w:style w:type="character" w:customStyle="1" w:styleId="QuoteChar">
    <w:name w:val="Quote Char"/>
    <w:basedOn w:val="DefaultParagraphFont"/>
    <w:link w:val="Quote"/>
    <w:rsid w:val="00654C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4C2A"/>
    <w:pPr>
      <w:pageBreakBefore/>
    </w:pPr>
  </w:style>
  <w:style w:type="paragraph" w:customStyle="1" w:styleId="Border">
    <w:name w:val="Border"/>
    <w:basedOn w:val="Normal"/>
    <w:qFormat/>
    <w:rsid w:val="00654C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4C2A"/>
    <w:rPr>
      <w:b/>
      <w:bCs/>
      <w:i/>
      <w:iCs/>
      <w:color w:val="auto"/>
    </w:rPr>
  </w:style>
  <w:style w:type="paragraph" w:styleId="IntenseQuote">
    <w:name w:val="Intense Quote"/>
    <w:basedOn w:val="Normal"/>
    <w:next w:val="Normal"/>
    <w:link w:val="IntenseQuoteChar"/>
    <w:uiPriority w:val="30"/>
    <w:qFormat/>
    <w:rsid w:val="00654C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4C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4C2A"/>
    <w:rPr>
      <w:smallCaps/>
      <w:color w:val="auto"/>
      <w:u w:val="single"/>
    </w:rPr>
  </w:style>
  <w:style w:type="character" w:styleId="IntenseReference">
    <w:name w:val="Intense Reference"/>
    <w:basedOn w:val="DefaultParagraphFont"/>
    <w:uiPriority w:val="32"/>
    <w:qFormat/>
    <w:rsid w:val="00654C2A"/>
    <w:rPr>
      <w:b/>
      <w:bCs/>
      <w:smallCaps/>
      <w:color w:val="auto"/>
      <w:spacing w:val="5"/>
      <w:u w:val="single"/>
    </w:rPr>
  </w:style>
  <w:style w:type="paragraph" w:customStyle="1" w:styleId="2ColumnHeading">
    <w:name w:val="2Column Heading"/>
    <w:basedOn w:val="BodyText"/>
    <w:qFormat/>
    <w:rsid w:val="00654C2A"/>
    <w:pPr>
      <w:spacing w:after="60"/>
      <w:ind w:left="-2268"/>
    </w:pPr>
    <w:rPr>
      <w:b/>
    </w:rPr>
  </w:style>
  <w:style w:type="paragraph" w:customStyle="1" w:styleId="Heading1TOC">
    <w:name w:val="Heading1 TOC"/>
    <w:basedOn w:val="Normal"/>
    <w:qFormat/>
    <w:rsid w:val="00654C2A"/>
    <w:pPr>
      <w:spacing w:before="240" w:after="120"/>
    </w:pPr>
    <w:rPr>
      <w:rFonts w:ascii="Times New Roman" w:hAnsi="Times New Roman"/>
      <w:b/>
      <w:sz w:val="32"/>
    </w:rPr>
  </w:style>
  <w:style w:type="paragraph" w:customStyle="1" w:styleId="Heading2TOC">
    <w:name w:val="Heading2 TOC"/>
    <w:basedOn w:val="Normal"/>
    <w:qFormat/>
    <w:rsid w:val="00654C2A"/>
    <w:pPr>
      <w:spacing w:before="240" w:after="60"/>
    </w:pPr>
    <w:rPr>
      <w:rFonts w:ascii="Times New Roman" w:hAnsi="Times New Roman"/>
      <w:b/>
      <w:sz w:val="28"/>
    </w:rPr>
  </w:style>
  <w:style w:type="character" w:customStyle="1" w:styleId="Underline">
    <w:name w:val="Underline"/>
    <w:basedOn w:val="DefaultParagraphFont"/>
    <w:qFormat/>
    <w:rsid w:val="00654C2A"/>
    <w:rPr>
      <w:u w:val="single"/>
    </w:rPr>
  </w:style>
  <w:style w:type="character" w:customStyle="1" w:styleId="BoldandItalics">
    <w:name w:val="Bold and Italics"/>
    <w:qFormat/>
    <w:rsid w:val="00654C2A"/>
    <w:rPr>
      <w:b/>
      <w:i/>
      <w:u w:val="none"/>
    </w:rPr>
  </w:style>
  <w:style w:type="paragraph" w:styleId="BalloonText">
    <w:name w:val="Balloon Text"/>
    <w:basedOn w:val="Normal"/>
    <w:link w:val="BalloonTextChar"/>
    <w:rsid w:val="00654C2A"/>
    <w:rPr>
      <w:rFonts w:ascii="Tahoma" w:hAnsi="Tahoma" w:cs="Tahoma"/>
      <w:sz w:val="16"/>
      <w:szCs w:val="16"/>
    </w:rPr>
  </w:style>
  <w:style w:type="character" w:customStyle="1" w:styleId="BalloonTextChar">
    <w:name w:val="Balloon Text Char"/>
    <w:basedOn w:val="DefaultParagraphFont"/>
    <w:link w:val="BalloonText"/>
    <w:rsid w:val="00654C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4C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4C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4C2A"/>
    <w:rPr>
      <w:b/>
      <w:color w:val="660033"/>
      <w:spacing w:val="0"/>
    </w:rPr>
  </w:style>
  <w:style w:type="paragraph" w:customStyle="1" w:styleId="Nameditemlist">
    <w:name w:val="Named item list"/>
    <w:basedOn w:val="BodyText"/>
    <w:qFormat/>
    <w:rsid w:val="00654C2A"/>
    <w:pPr>
      <w:tabs>
        <w:tab w:val="left" w:pos="2835"/>
      </w:tabs>
      <w:ind w:left="2835" w:hanging="2835"/>
    </w:pPr>
  </w:style>
  <w:style w:type="paragraph" w:customStyle="1" w:styleId="BodyTextnopadding">
    <w:name w:val="Body Text no padding"/>
    <w:basedOn w:val="BodyText"/>
    <w:qFormat/>
    <w:rsid w:val="00654C2A"/>
    <w:pPr>
      <w:spacing w:before="0" w:after="0"/>
    </w:pPr>
  </w:style>
  <w:style w:type="paragraph" w:customStyle="1" w:styleId="BodyTextBold">
    <w:name w:val="Body Text Bold"/>
    <w:basedOn w:val="BodyText"/>
    <w:qFormat/>
    <w:rsid w:val="00654C2A"/>
    <w:rPr>
      <w:b/>
    </w:rPr>
  </w:style>
  <w:style w:type="character" w:styleId="Hyperlink">
    <w:name w:val="Hyperlink"/>
    <w:basedOn w:val="DefaultParagraphFont"/>
    <w:uiPriority w:val="99"/>
    <w:unhideWhenUsed/>
    <w:rsid w:val="002454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533</Words>
  <Characters>3342</Characters>
  <Application>Microsoft Office Word</Application>
  <DocSecurity>0</DocSecurity>
  <Lines>128</Lines>
  <Paragraphs>65</Paragraphs>
  <ScaleCrop>false</ScaleCrop>
  <Company>Author-it Software Corporation Ltd.</Company>
  <LinksUpToDate>false</LinksUpToDate>
  <CharactersWithSpaces>3810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MEA158 Perform basic hand skills, standard trade practices and fundamentals in aviation maintenance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2023-02-03T06:46:00Z</dcterms:created>
  <dcterms:modified xsi:type="dcterms:W3CDTF">2023-02-03T06:46:00Z</dcterms:modified>
</cp:coreProperties>
</file>