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DC3" w:rsidP="00495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MEA141 Manage risk in aviation maintenance</w:t>
      </w:r>
      <w:r>
        <w:fldChar w:fldCharType="end"/>
      </w:r>
    </w:p>
    <w:p w:rsidR="00495DC3" w:rsidP="00495DC3">
      <w:pPr>
        <w:pStyle w:val="Version"/>
        <w:sectPr w:rsidSect="00C93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9368D" w:rsidP="00C9368D">
      <w:pPr>
        <w:pStyle w:val="SuperHeading"/>
      </w:pPr>
      <w:r w:rsidRPr="00C9368D">
        <w:t>Assessment Requirements for MEA141 Manage risk in aviation maintenance</w:t>
      </w:r>
    </w:p>
    <w:p w:rsidR="00000000" w:rsidRPr="00C9368D" w:rsidP="00C9368D">
      <w:pPr>
        <w:pStyle w:val="Heading1"/>
      </w:pPr>
      <w:bookmarkStart w:id="1" w:name="O_1056757"/>
      <w:bookmarkEnd w:id="1"/>
      <w:r w:rsidRPr="00C9368D">
        <w:t>Modification History</w:t>
      </w:r>
    </w:p>
    <w:p w:rsidR="00000000" w:rsidRPr="00C9368D" w:rsidP="00495DC3">
      <w:pPr>
        <w:pStyle w:val="BodyText"/>
      </w:pPr>
      <w:r w:rsidRPr="00C9368D">
        <w:t xml:space="preserve">Release 2.1 Equivalent to MEA141 Manage risk in aviation maintenance. </w:t>
      </w:r>
      <w:r w:rsidRPr="00C9368D">
        <w:t>Minor amendments to references to regulations to allow flexibility in their application.</w:t>
      </w:r>
    </w:p>
    <w:p w:rsidR="00000000" w:rsidRPr="00C9368D" w:rsidP="00495DC3">
      <w:pPr>
        <w:pStyle w:val="BodyText"/>
      </w:pPr>
      <w:r w:rsidRPr="00C9368D">
        <w:t>Release 2. Equivalent to MEA141 Manage risk in aviation maintenance. Updated to meet training package policy requirements.</w:t>
      </w:r>
    </w:p>
    <w:p w:rsidR="00000000" w:rsidRPr="00C9368D" w:rsidP="00C9368D">
      <w:pPr>
        <w:pStyle w:val="Heading1"/>
      </w:pPr>
      <w:bookmarkStart w:id="2" w:name="O_1056756"/>
      <w:bookmarkEnd w:id="2"/>
      <w:r w:rsidRPr="00C9368D">
        <w:t>Performance Evidence</w:t>
      </w:r>
    </w:p>
    <w:p w:rsidR="00000000" w:rsidRPr="00C9368D" w:rsidP="00495DC3">
      <w:pPr>
        <w:pStyle w:val="BodyText"/>
      </w:pPr>
      <w:r w:rsidRPr="00C9368D">
        <w:t>Ther</w:t>
      </w:r>
      <w:r w:rsidRPr="00C9368D">
        <w:t>e must be evidence the candidate has completed the tasks outlined in the elements and performance criteria of this unit, which must include the ability to:</w:t>
      </w:r>
    </w:p>
    <w:p w:rsidR="00000000" w:rsidRPr="00C9368D" w:rsidP="00C9368D">
      <w:pPr>
        <w:pStyle w:val="ListBullet"/>
      </w:pPr>
      <w:r w:rsidRPr="00C9368D">
        <w:t>develop and document a risk management plan for one scheduled or one unscheduled aviation maintenan</w:t>
      </w:r>
      <w:r w:rsidRPr="00C9368D">
        <w:t>ce program.</w:t>
      </w:r>
    </w:p>
    <w:p w:rsidR="00000000" w:rsidRPr="00C9368D" w:rsidP="00C9368D">
      <w:pPr>
        <w:pStyle w:val="BodyText"/>
      </w:pPr>
    </w:p>
    <w:p w:rsidR="00000000" w:rsidRPr="00C9368D" w:rsidP="00495DC3">
      <w:pPr>
        <w:pStyle w:val="BodyText"/>
      </w:pPr>
      <w:r w:rsidRPr="00C9368D">
        <w:t>In the course of the above work, the candidate must:</w:t>
      </w:r>
    </w:p>
    <w:p w:rsidR="00000000" w:rsidRPr="00C9368D" w:rsidP="00C9368D">
      <w:pPr>
        <w:pStyle w:val="ListBullet"/>
      </w:pPr>
      <w:r w:rsidRPr="00C9368D">
        <w:t>identify risks and determine criteria for managing them, including:</w:t>
      </w:r>
    </w:p>
    <w:p w:rsidR="00000000" w:rsidRPr="00C9368D" w:rsidP="00C9368D">
      <w:pPr>
        <w:pStyle w:val="ListBullet2"/>
      </w:pPr>
      <w:r w:rsidRPr="00C9368D">
        <w:t>determining level and degree of acceptability of each identified risk</w:t>
      </w:r>
    </w:p>
    <w:p w:rsidR="00000000" w:rsidRPr="00C9368D" w:rsidP="00C9368D">
      <w:pPr>
        <w:pStyle w:val="ListBullet2"/>
      </w:pPr>
      <w:r w:rsidRPr="00C9368D">
        <w:t>legal aspects, such as regulatory violations and c</w:t>
      </w:r>
      <w:r w:rsidRPr="00C9368D">
        <w:t>ontractual commitments</w:t>
      </w:r>
    </w:p>
    <w:p w:rsidR="00000000" w:rsidRPr="00C9368D" w:rsidP="00C9368D">
      <w:pPr>
        <w:pStyle w:val="ListBullet2"/>
      </w:pPr>
      <w:r w:rsidRPr="00C9368D">
        <w:t>cost of managing specific risks versus cost to the organisation if the risk eventuated</w:t>
      </w:r>
    </w:p>
    <w:p w:rsidR="00000000" w:rsidRPr="00C9368D" w:rsidP="00C9368D">
      <w:pPr>
        <w:pStyle w:val="ListBullet2"/>
      </w:pPr>
      <w:r w:rsidRPr="00C9368D">
        <w:t>stakeholder perceptions and expectations</w:t>
      </w:r>
    </w:p>
    <w:p w:rsidR="00000000" w:rsidRPr="00C9368D" w:rsidP="00C9368D">
      <w:pPr>
        <w:pStyle w:val="ListBullet"/>
      </w:pPr>
      <w:r w:rsidRPr="00C9368D">
        <w:t>apply standards and procedures for assessing and evaluating risks</w:t>
      </w:r>
    </w:p>
    <w:p w:rsidR="00000000" w:rsidRPr="00C9368D" w:rsidP="00C9368D">
      <w:pPr>
        <w:pStyle w:val="ListBullet"/>
      </w:pPr>
      <w:r w:rsidRPr="00C9368D">
        <w:t>develop risk treatment processes</w:t>
      </w:r>
    </w:p>
    <w:p w:rsidR="00000000" w:rsidRPr="00C9368D" w:rsidP="00C9368D">
      <w:pPr>
        <w:pStyle w:val="ListBullet"/>
      </w:pPr>
      <w:r w:rsidRPr="00C9368D">
        <w:t>assess legal impact of risk occurrence</w:t>
      </w:r>
    </w:p>
    <w:p w:rsidR="00000000" w:rsidRPr="00C9368D" w:rsidP="00C9368D">
      <w:pPr>
        <w:pStyle w:val="ListBullet"/>
      </w:pPr>
      <w:r w:rsidRPr="00C9368D">
        <w:t>evaluate risk management plan operation</w:t>
      </w:r>
    </w:p>
    <w:p w:rsidR="00000000" w:rsidRPr="00C9368D" w:rsidP="00C9368D">
      <w:pPr>
        <w:pStyle w:val="ListBullet"/>
      </w:pPr>
      <w:r w:rsidRPr="00C9368D">
        <w:t>demonstrate oral and written communication skills to the required level.</w:t>
      </w:r>
    </w:p>
    <w:p w:rsidR="00000000" w:rsidRPr="00C9368D" w:rsidP="00C9368D">
      <w:pPr>
        <w:pStyle w:val="BodyText"/>
      </w:pPr>
    </w:p>
    <w:p w:rsidR="00000000" w:rsidRPr="00C9368D" w:rsidP="00495DC3">
      <w:pPr>
        <w:pStyle w:val="BodyText"/>
      </w:pPr>
      <w:r w:rsidRPr="00C9368D">
        <w:t>The above risk management plan must include:</w:t>
      </w:r>
    </w:p>
    <w:p w:rsidR="00000000" w:rsidRPr="00C9368D" w:rsidP="00C9368D">
      <w:pPr>
        <w:pStyle w:val="ListBullet"/>
      </w:pPr>
      <w:r w:rsidRPr="00C9368D">
        <w:t>real and potential risks, their probability of occurrence</w:t>
      </w:r>
      <w:r w:rsidRPr="00C9368D">
        <w:t>, and degree of severity</w:t>
      </w:r>
    </w:p>
    <w:p w:rsidR="00000000" w:rsidRPr="00C9368D" w:rsidP="00C9368D">
      <w:pPr>
        <w:pStyle w:val="ListBullet"/>
      </w:pPr>
      <w:r w:rsidRPr="00C9368D">
        <w:t>treatment options in each case</w:t>
      </w:r>
    </w:p>
    <w:p w:rsidR="00000000" w:rsidRPr="00C9368D" w:rsidP="00C9368D">
      <w:pPr>
        <w:pStyle w:val="ListBullet"/>
      </w:pPr>
      <w:r w:rsidRPr="00C9368D">
        <w:t>responsibility for implementing treatment options and required response times</w:t>
      </w:r>
    </w:p>
    <w:p w:rsidR="00000000" w:rsidRPr="00C9368D" w:rsidP="00C9368D">
      <w:pPr>
        <w:pStyle w:val="ListBullet"/>
      </w:pPr>
      <w:r w:rsidRPr="00C9368D">
        <w:t>resources required for risk management</w:t>
      </w:r>
    </w:p>
    <w:p w:rsidR="00000000" w:rsidRPr="00C9368D" w:rsidP="00C9368D">
      <w:pPr>
        <w:pStyle w:val="ListBullet"/>
      </w:pPr>
      <w:r w:rsidRPr="00C9368D">
        <w:t>plan implementation timeframe</w:t>
      </w:r>
    </w:p>
    <w:p w:rsidR="00000000" w:rsidRPr="00C9368D" w:rsidP="00C9368D">
      <w:pPr>
        <w:pStyle w:val="ListBullet"/>
      </w:pPr>
      <w:r w:rsidRPr="00C9368D">
        <w:t>periodic review timetable</w:t>
      </w:r>
    </w:p>
    <w:p w:rsidR="00000000" w:rsidRPr="00C9368D" w:rsidP="00C9368D">
      <w:pPr>
        <w:pStyle w:val="ListBullet"/>
      </w:pPr>
      <w:r w:rsidRPr="00C9368D">
        <w:t>internal reporting system</w:t>
      </w:r>
    </w:p>
    <w:p w:rsidR="00000000" w:rsidRPr="00C9368D" w:rsidP="00C9368D">
      <w:pPr>
        <w:pStyle w:val="ListBullet"/>
      </w:pPr>
      <w:r w:rsidRPr="00C9368D">
        <w:t>review methodology.</w:t>
      </w:r>
    </w:p>
    <w:p w:rsidR="00000000" w:rsidRPr="00C9368D" w:rsidP="00C9368D">
      <w:pPr>
        <w:pStyle w:val="AllowPageBreak"/>
      </w:pPr>
    </w:p>
    <w:p w:rsidR="00000000" w:rsidRPr="00C9368D" w:rsidP="00C9368D">
      <w:pPr>
        <w:pStyle w:val="Heading1"/>
      </w:pPr>
      <w:bookmarkStart w:id="3" w:name="O_1056755"/>
      <w:bookmarkEnd w:id="3"/>
      <w:r w:rsidRPr="00C9368D">
        <w:t>Knowledge Evidence</w:t>
      </w:r>
    </w:p>
    <w:p w:rsidR="00000000" w:rsidRPr="00C9368D" w:rsidP="00495DC3">
      <w:pPr>
        <w:pStyle w:val="BodyText"/>
      </w:pPr>
      <w:r w:rsidRPr="00C9368D">
        <w:t>There must be evidence the candidate has knowledge of:</w:t>
      </w:r>
    </w:p>
    <w:p w:rsidR="00000000" w:rsidRPr="00C9368D" w:rsidP="00C9368D">
      <w:pPr>
        <w:pStyle w:val="ListBullet"/>
      </w:pPr>
      <w:r w:rsidRPr="00C9368D">
        <w:t>standard risk management procedures, including:</w:t>
      </w:r>
    </w:p>
    <w:p w:rsidR="00000000" w:rsidRPr="00C9368D" w:rsidP="00C9368D">
      <w:pPr>
        <w:pStyle w:val="ListBullet2"/>
      </w:pPr>
      <w:r w:rsidRPr="00C9368D">
        <w:t>organisational policies and procedures for risk management</w:t>
      </w:r>
    </w:p>
    <w:p w:rsidR="00000000" w:rsidRPr="00C9368D" w:rsidP="00C9368D">
      <w:pPr>
        <w:pStyle w:val="ListBullet2"/>
      </w:pPr>
      <w:r w:rsidRPr="00C9368D">
        <w:t>websites dealing with risk managem</w:t>
      </w:r>
      <w:r w:rsidRPr="00C9368D">
        <w:t>ent</w:t>
      </w:r>
    </w:p>
    <w:p w:rsidR="00000000" w:rsidRPr="00C9368D" w:rsidP="00C9368D">
      <w:pPr>
        <w:pStyle w:val="ListBullet2"/>
      </w:pPr>
      <w:r w:rsidRPr="00C9368D">
        <w:t>relevant aviation safety regulations</w:t>
      </w:r>
    </w:p>
    <w:p w:rsidR="00000000" w:rsidRPr="00C9368D" w:rsidP="00C9368D">
      <w:pPr>
        <w:pStyle w:val="ListBullet2"/>
      </w:pPr>
      <w:r w:rsidRPr="00C9368D">
        <w:t>Australian and New Zealand Standard AS/NZS 4360 Risk management</w:t>
      </w:r>
    </w:p>
    <w:p w:rsidR="00000000" w:rsidRPr="00C9368D" w:rsidP="00C9368D">
      <w:pPr>
        <w:pStyle w:val="ListBullet2"/>
      </w:pPr>
      <w:r w:rsidRPr="00C9368D">
        <w:t>ISO 31000:2009 Risk management</w:t>
      </w:r>
    </w:p>
    <w:p w:rsidR="00000000" w:rsidRPr="00C9368D" w:rsidP="00C9368D">
      <w:pPr>
        <w:pStyle w:val="ListBullet"/>
      </w:pPr>
      <w:r w:rsidRPr="00C9368D">
        <w:t>indicators of real and potential risks associated with the aviation maintenance program described in the performance ev</w:t>
      </w:r>
      <w:r w:rsidRPr="00C9368D">
        <w:t>idence, including:</w:t>
      </w:r>
    </w:p>
    <w:p w:rsidR="00000000" w:rsidRPr="00C9368D" w:rsidP="00C9368D">
      <w:pPr>
        <w:pStyle w:val="ListBullet2"/>
      </w:pPr>
      <w:r w:rsidRPr="00C9368D">
        <w:t>human factors, such as fatigue, illness and maintenance errors</w:t>
      </w:r>
    </w:p>
    <w:p w:rsidR="00000000" w:rsidRPr="00C9368D" w:rsidP="00C9368D">
      <w:pPr>
        <w:pStyle w:val="ListBullet2"/>
      </w:pPr>
      <w:r w:rsidRPr="00C9368D">
        <w:t>work health and safety (WHS) issues resulting in injury or death</w:t>
      </w:r>
    </w:p>
    <w:p w:rsidR="00000000" w:rsidRPr="00C9368D" w:rsidP="00C9368D">
      <w:pPr>
        <w:pStyle w:val="ListBullet2"/>
      </w:pPr>
      <w:r w:rsidRPr="00C9368D">
        <w:t>regulatory and procedural violations, such as inappropriate use of minimum equipment lists and failure to observe type certification standards</w:t>
      </w:r>
    </w:p>
    <w:p w:rsidR="00000000" w:rsidRPr="00C9368D" w:rsidP="00C9368D">
      <w:pPr>
        <w:pStyle w:val="ListBullet2"/>
      </w:pPr>
      <w:r w:rsidRPr="00C9368D">
        <w:t>providing maintenance guidance to remotely-located aircrew or maintenance personnel</w:t>
      </w:r>
    </w:p>
    <w:p w:rsidR="00000000" w:rsidRPr="00C9368D" w:rsidP="00C9368D">
      <w:pPr>
        <w:pStyle w:val="ListBullet2"/>
      </w:pPr>
      <w:r w:rsidRPr="00C9368D">
        <w:t>maintenance difficulties, suc</w:t>
      </w:r>
      <w:r w:rsidRPr="00C9368D">
        <w:t>h as spares shortages and unexpected failures of systems or components</w:t>
      </w:r>
    </w:p>
    <w:p w:rsidR="00000000" w:rsidRPr="00C9368D" w:rsidP="00C9368D">
      <w:pPr>
        <w:pStyle w:val="ListBullet2"/>
      </w:pPr>
      <w:r w:rsidRPr="00C9368D">
        <w:t>support equipment failure</w:t>
      </w:r>
    </w:p>
    <w:p w:rsidR="00000000" w:rsidRPr="00C9368D" w:rsidP="00C9368D">
      <w:pPr>
        <w:pStyle w:val="ListBullet2"/>
      </w:pPr>
      <w:r w:rsidRPr="00C9368D">
        <w:t>environmental problems</w:t>
      </w:r>
    </w:p>
    <w:p w:rsidR="00000000" w:rsidRPr="00C9368D" w:rsidP="00C9368D">
      <w:pPr>
        <w:pStyle w:val="ListBullet2"/>
      </w:pPr>
      <w:r w:rsidRPr="00C9368D">
        <w:t>contractual issues</w:t>
      </w:r>
    </w:p>
    <w:p w:rsidR="00000000" w:rsidRPr="00C9368D" w:rsidP="00C9368D">
      <w:pPr>
        <w:pStyle w:val="ListBullet2"/>
      </w:pPr>
      <w:r w:rsidRPr="00C9368D">
        <w:t>skill and experience shortfalls</w:t>
      </w:r>
    </w:p>
    <w:p w:rsidR="00000000" w:rsidRPr="00C9368D" w:rsidP="00C9368D">
      <w:pPr>
        <w:pStyle w:val="ListBullet2"/>
      </w:pPr>
      <w:r w:rsidRPr="00C9368D">
        <w:t>maintenance cost escalation</w:t>
      </w:r>
    </w:p>
    <w:p w:rsidR="00000000" w:rsidRPr="00C9368D" w:rsidP="00C9368D">
      <w:pPr>
        <w:pStyle w:val="ListBullet2"/>
      </w:pPr>
      <w:r w:rsidRPr="00C9368D">
        <w:t>natural events</w:t>
      </w:r>
    </w:p>
    <w:p w:rsidR="00000000" w:rsidRPr="00C9368D" w:rsidP="00C9368D">
      <w:pPr>
        <w:pStyle w:val="ListBullet"/>
      </w:pPr>
      <w:r w:rsidRPr="00C9368D">
        <w:t>key features of maintenance error managem</w:t>
      </w:r>
      <w:r w:rsidRPr="00C9368D">
        <w:t>ent programs</w:t>
      </w:r>
    </w:p>
    <w:p w:rsidR="00000000" w:rsidRPr="00C9368D" w:rsidP="00C9368D">
      <w:pPr>
        <w:pStyle w:val="ListBullet"/>
      </w:pPr>
      <w:r w:rsidRPr="00C9368D">
        <w:t>regulatory impact of risks</w:t>
      </w:r>
    </w:p>
    <w:p w:rsidR="00000000" w:rsidRPr="00C9368D" w:rsidP="00C9368D">
      <w:pPr>
        <w:pStyle w:val="ListBullet"/>
      </w:pPr>
      <w:r w:rsidRPr="00C9368D">
        <w:t>contractual impact of risks</w:t>
      </w:r>
    </w:p>
    <w:p w:rsidR="00000000" w:rsidRPr="00C9368D" w:rsidP="00C9368D">
      <w:pPr>
        <w:pStyle w:val="ListBullet"/>
      </w:pPr>
      <w:r w:rsidRPr="00C9368D">
        <w:t>key features of cost-benefit analysis</w:t>
      </w:r>
    </w:p>
    <w:p w:rsidR="00000000" w:rsidRPr="00C9368D" w:rsidP="00C9368D">
      <w:pPr>
        <w:pStyle w:val="ListBullet"/>
      </w:pPr>
      <w:r w:rsidRPr="00C9368D">
        <w:t>federal and state or territory WHS and environment protection legislation</w:t>
      </w:r>
    </w:p>
    <w:p w:rsidR="00000000" w:rsidRPr="00C9368D" w:rsidP="00C9368D">
      <w:pPr>
        <w:pStyle w:val="ListBullet"/>
      </w:pPr>
      <w:r w:rsidRPr="00C9368D">
        <w:t>methodology for evaluating the operation of risk management plans, including</w:t>
      </w:r>
      <w:r w:rsidRPr="00C9368D">
        <w:t xml:space="preserve"> by:</w:t>
      </w:r>
    </w:p>
    <w:p w:rsidR="00000000" w:rsidRPr="00C9368D" w:rsidP="00C9368D">
      <w:pPr>
        <w:pStyle w:val="ListBullet2"/>
      </w:pPr>
      <w:r w:rsidRPr="00C9368D">
        <w:t>oversight of day-to-day operations</w:t>
      </w:r>
    </w:p>
    <w:p w:rsidR="00000000" w:rsidRPr="00C9368D" w:rsidP="00C9368D">
      <w:pPr>
        <w:pStyle w:val="ListBullet2"/>
      </w:pPr>
      <w:r w:rsidRPr="00C9368D">
        <w:t>interviews with personnel in the organisation</w:t>
      </w:r>
    </w:p>
    <w:p w:rsidR="00000000" w:rsidRPr="00C9368D" w:rsidP="00C9368D">
      <w:pPr>
        <w:pStyle w:val="ListBullet2"/>
      </w:pPr>
      <w:r w:rsidRPr="00C9368D">
        <w:t>physical inspections</w:t>
      </w:r>
    </w:p>
    <w:p w:rsidR="00000000" w:rsidRPr="00C9368D" w:rsidP="00C9368D">
      <w:pPr>
        <w:pStyle w:val="ListBullet2"/>
      </w:pPr>
      <w:r w:rsidRPr="00C9368D">
        <w:t>incident reports</w:t>
      </w:r>
    </w:p>
    <w:p w:rsidR="00000000" w:rsidRPr="00C9368D" w:rsidP="00C9368D">
      <w:pPr>
        <w:pStyle w:val="ListBullet2"/>
      </w:pPr>
      <w:r w:rsidRPr="00C9368D">
        <w:t>questionnaires</w:t>
      </w:r>
    </w:p>
    <w:p w:rsidR="00000000" w:rsidRPr="00C9368D" w:rsidP="00C9368D">
      <w:pPr>
        <w:pStyle w:val="ListBullet2"/>
      </w:pPr>
      <w:r w:rsidRPr="00C9368D">
        <w:t>periodic review of risk treatment procedures and outcomes</w:t>
      </w:r>
    </w:p>
    <w:p w:rsidR="00000000" w:rsidRPr="00C9368D" w:rsidP="00C9368D">
      <w:pPr>
        <w:pStyle w:val="ListBullet"/>
      </w:pPr>
      <w:r w:rsidRPr="00C9368D">
        <w:t>techniques for evaluating risks</w:t>
      </w:r>
    </w:p>
    <w:p w:rsidR="00000000" w:rsidRPr="00C9368D" w:rsidP="00C9368D">
      <w:pPr>
        <w:pStyle w:val="ListBullet"/>
      </w:pPr>
      <w:r w:rsidRPr="00C9368D">
        <w:t>equity, fraud and ethics requirements set out in organisational code of conduct specific to the work described in the performance evidence.</w:t>
      </w:r>
    </w:p>
    <w:p w:rsidR="00000000" w:rsidRPr="00C9368D" w:rsidP="00C9368D">
      <w:pPr>
        <w:pStyle w:val="AllowPageBreak"/>
      </w:pPr>
    </w:p>
    <w:p w:rsidR="00000000" w:rsidRPr="00C9368D" w:rsidP="00C9368D">
      <w:pPr>
        <w:pStyle w:val="Heading1"/>
      </w:pPr>
      <w:bookmarkStart w:id="4" w:name="O_1056754"/>
      <w:bookmarkEnd w:id="4"/>
      <w:r w:rsidRPr="00C9368D">
        <w:t>Assessment Conditions</w:t>
      </w:r>
    </w:p>
    <w:p w:rsidR="00000000" w:rsidRPr="00C9368D" w:rsidP="00495DC3">
      <w:pPr>
        <w:pStyle w:val="BodyText"/>
      </w:pPr>
      <w:r w:rsidRPr="00C9368D">
        <w:t>The following conditions of assessment represent the requirements of the re</w:t>
      </w:r>
      <w:r w:rsidRPr="00C9368D">
        <w:t>gulators (Australian Defence Force [ADF] and Civil Aviation Safety Authority [CASA]) and maintenance stakeholders, and must be rigorously observed.</w:t>
      </w:r>
    </w:p>
    <w:p w:rsidR="00000000" w:rsidRPr="00C9368D" w:rsidP="00495DC3">
      <w:pPr>
        <w:pStyle w:val="BodyText"/>
      </w:pPr>
      <w:r w:rsidRPr="00C9368D">
        <w:t>This unit may be assessed on the job, or a combination of on and off the job. Where assessment occurs off th</w:t>
      </w:r>
      <w:r w:rsidRPr="00C9368D">
        <w:t>e job, an appropriate simulation must be used where the range of conditions reflects realistic workplace situations encountered when managing risk in aviation maintenance.</w:t>
      </w:r>
    </w:p>
    <w:p w:rsidR="00000000" w:rsidRPr="00C9368D" w:rsidP="00495DC3">
      <w:pPr>
        <w:pStyle w:val="BodyText"/>
      </w:pPr>
      <w:r w:rsidRPr="00C9368D">
        <w:t>The candidate must be permitted to refer to relevant workplace procedures, product a</w:t>
      </w:r>
      <w:r w:rsidRPr="00C9368D">
        <w:t>nd manufacturing specifications, codes, standards, manuals, and reference materials.</w:t>
      </w:r>
    </w:p>
    <w:p w:rsidR="00000000" w:rsidRPr="00C9368D" w:rsidP="00495DC3">
      <w:pPr>
        <w:pStyle w:val="BodyText"/>
      </w:pPr>
      <w:r w:rsidRPr="00C9368D">
        <w:t>The candidate must have access to:</w:t>
      </w:r>
    </w:p>
    <w:p w:rsidR="00000000" w:rsidRPr="00C9368D" w:rsidP="00C9368D">
      <w:pPr>
        <w:pStyle w:val="ListBullet"/>
      </w:pPr>
      <w:r w:rsidRPr="00C9368D">
        <w:t>all tools, equipment, materials, and documentation required to demonstrate the performance evidence above.</w:t>
      </w:r>
    </w:p>
    <w:p w:rsidR="00000000" w:rsidRPr="00C9368D" w:rsidP="00C9368D">
      <w:pPr>
        <w:pStyle w:val="BodyText"/>
      </w:pPr>
    </w:p>
    <w:p w:rsidR="00000000" w:rsidRPr="00C9368D" w:rsidP="00495DC3">
      <w:pPr>
        <w:pStyle w:val="BodyText"/>
      </w:pPr>
      <w:r w:rsidRPr="00C9368D">
        <w:t xml:space="preserve">Candidate capability of providing the required performance and knowledge evidence must be established via the records in the Maintenance Management Competency Log. Where the individual does not have a Competency Log, evidence of capability can be gathered </w:t>
      </w:r>
      <w:r w:rsidRPr="00C9368D">
        <w:t>through direct observation, supervisor’s reports, project work, samples and questioning.</w:t>
      </w:r>
    </w:p>
    <w:p w:rsidR="00000000" w:rsidRPr="00C9368D" w:rsidP="00495DC3">
      <w:pPr>
        <w:pStyle w:val="BodyText"/>
      </w:pPr>
      <w:r w:rsidRPr="00C9368D">
        <w:t>Assessors of this unit must satisfy the assessor requirements in applicable vocational education and training legislation, frameworks and/or standards.</w:t>
      </w:r>
    </w:p>
    <w:p w:rsidR="00000000" w:rsidRPr="00C9368D" w:rsidP="00495DC3">
      <w:pPr>
        <w:pStyle w:val="BodyText"/>
      </w:pPr>
      <w:r w:rsidRPr="00C9368D">
        <w:t xml:space="preserve">Where the unit </w:t>
      </w:r>
      <w:r w:rsidRPr="00C9368D">
        <w:t>is to be used for CASA licensing purposes the assessor must also meet the criteria specified in the CASR Part 147 Manual of Standards.</w:t>
      </w:r>
    </w:p>
    <w:p w:rsidR="00000000" w:rsidRPr="00C9368D" w:rsidP="00C9368D">
      <w:pPr>
        <w:pStyle w:val="Heading1"/>
      </w:pPr>
      <w:bookmarkStart w:id="5" w:name="O_1056767"/>
      <w:bookmarkEnd w:id="5"/>
      <w:r w:rsidRPr="00C9368D">
        <w:t>Links</w:t>
      </w:r>
    </w:p>
    <w:p w:rsidR="00000000" w:rsidRPr="00C9368D" w:rsidP="00495DC3">
      <w:pPr>
        <w:pStyle w:val="BodyText"/>
      </w:pPr>
      <w:r w:rsidRPr="00C9368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027817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C9368D" w:rsidP="00C9368D"/>
    <w:sectPr w:rsidSect="00C936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D" w:rsidRPr="00495DC3" w:rsidP="00495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C3" w:rsidP="00C93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DC3" w:rsidP="00C93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5DC3" w:rsidP="00C93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68D" w:rsidRPr="00495DC3" w:rsidP="00495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C3" w:rsidRPr="002D2AF8" w:rsidP="00C93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MEA141 Manage risk in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495DC3" w:rsidP="00C93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2F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487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04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68D"/>
  </w:style>
  <w:style w:type="character" w:customStyle="1" w:styleId="Heading1Char">
    <w:name w:val="Heading 1 Char"/>
    <w:basedOn w:val="DefaultParagraphFont"/>
    <w:link w:val="Heading1"/>
    <w:rsid w:val="00C93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6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6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36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68D"/>
    <w:rPr>
      <w:b/>
      <w:spacing w:val="0"/>
    </w:rPr>
  </w:style>
  <w:style w:type="paragraph" w:customStyle="1" w:styleId="SuperTitle">
    <w:name w:val="SuperTitle"/>
    <w:basedOn w:val="Title"/>
    <w:rsid w:val="00C93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6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68D"/>
    <w:rPr>
      <w:i/>
    </w:rPr>
  </w:style>
  <w:style w:type="paragraph" w:styleId="Caption">
    <w:name w:val="caption"/>
    <w:basedOn w:val="BodyText"/>
    <w:next w:val="Normal"/>
    <w:qFormat/>
    <w:rsid w:val="00C93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68D"/>
  </w:style>
  <w:style w:type="paragraph" w:styleId="TableofFigures">
    <w:name w:val="table of figures"/>
    <w:basedOn w:val="Normal"/>
    <w:next w:val="Normal"/>
    <w:semiHidden/>
    <w:rsid w:val="00C93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6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68D"/>
    <w:rPr>
      <w:rFonts w:ascii="Wingdings" w:hAnsi="Wingdings"/>
    </w:rPr>
  </w:style>
  <w:style w:type="paragraph" w:customStyle="1" w:styleId="TableHeading">
    <w:name w:val="Table Heading"/>
    <w:basedOn w:val="HeadingBase"/>
    <w:rsid w:val="00C93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68D"/>
    <w:rPr>
      <w:color w:val="0033CC"/>
      <w:u w:val="none"/>
    </w:rPr>
  </w:style>
  <w:style w:type="paragraph" w:customStyle="1" w:styleId="BodyTextRight">
    <w:name w:val="Body Text Right"/>
    <w:basedOn w:val="BodyText"/>
    <w:rsid w:val="00C93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6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68D"/>
    <w:rPr>
      <w:sz w:val="32"/>
    </w:rPr>
  </w:style>
  <w:style w:type="paragraph" w:customStyle="1" w:styleId="HeadingProcedure">
    <w:name w:val="Heading Procedure"/>
    <w:basedOn w:val="HeadingBase"/>
    <w:next w:val="Normal"/>
    <w:rsid w:val="00C93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68D"/>
    <w:pPr>
      <w:spacing w:before="60" w:after="60"/>
    </w:pPr>
  </w:style>
  <w:style w:type="paragraph" w:styleId="ListContinue">
    <w:name w:val="List Continue"/>
    <w:basedOn w:val="List"/>
    <w:rsid w:val="00C9368D"/>
    <w:pPr>
      <w:ind w:firstLine="0"/>
    </w:pPr>
  </w:style>
  <w:style w:type="paragraph" w:customStyle="1" w:styleId="ListNote">
    <w:name w:val="List Note"/>
    <w:basedOn w:val="List"/>
    <w:rsid w:val="00C93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68D"/>
    <w:rPr>
      <w:rFonts w:ascii="Courier New" w:hAnsi="Courier New"/>
    </w:rPr>
  </w:style>
  <w:style w:type="paragraph" w:customStyle="1" w:styleId="NoteBullet">
    <w:name w:val="Note Bullet"/>
    <w:basedOn w:val="Note"/>
    <w:rsid w:val="00C93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6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68D"/>
    <w:rPr>
      <w:b/>
      <w:smallCaps/>
    </w:rPr>
  </w:style>
  <w:style w:type="paragraph" w:customStyle="1" w:styleId="TableListNumber">
    <w:name w:val="Table List Number"/>
    <w:basedOn w:val="ListNumber"/>
    <w:rsid w:val="00C93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68D"/>
    <w:pPr>
      <w:numPr>
        <w:numId w:val="9"/>
      </w:numPr>
    </w:pPr>
  </w:style>
  <w:style w:type="paragraph" w:customStyle="1" w:styleId="ListAlpha2">
    <w:name w:val="List Alpha 2"/>
    <w:basedOn w:val="List2"/>
    <w:rsid w:val="00C9368D"/>
    <w:pPr>
      <w:numPr>
        <w:numId w:val="8"/>
      </w:numPr>
    </w:pPr>
  </w:style>
  <w:style w:type="paragraph" w:styleId="List2">
    <w:name w:val="List 2"/>
    <w:basedOn w:val="BodyText"/>
    <w:rsid w:val="00C93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6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6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68D"/>
    <w:pPr>
      <w:numPr>
        <w:numId w:val="4"/>
      </w:numPr>
    </w:pPr>
  </w:style>
  <w:style w:type="paragraph" w:styleId="ListContinue2">
    <w:name w:val="List Continue 2"/>
    <w:basedOn w:val="List2"/>
    <w:rsid w:val="00C9368D"/>
    <w:pPr>
      <w:ind w:firstLine="0"/>
    </w:pPr>
  </w:style>
  <w:style w:type="paragraph" w:styleId="ListContinue3">
    <w:name w:val="List Continue 3"/>
    <w:basedOn w:val="List3"/>
    <w:rsid w:val="00C9368D"/>
    <w:pPr>
      <w:ind w:left="1021" w:firstLine="0"/>
    </w:pPr>
  </w:style>
  <w:style w:type="paragraph" w:styleId="ListContinue4">
    <w:name w:val="List Continue 4"/>
    <w:basedOn w:val="List4"/>
    <w:rsid w:val="00C9368D"/>
    <w:pPr>
      <w:ind w:firstLine="0"/>
    </w:pPr>
  </w:style>
  <w:style w:type="paragraph" w:styleId="ListContinue5">
    <w:name w:val="List Continue 5"/>
    <w:basedOn w:val="List5"/>
    <w:rsid w:val="00C9368D"/>
    <w:pPr>
      <w:ind w:firstLine="0"/>
    </w:pPr>
  </w:style>
  <w:style w:type="paragraph" w:styleId="ListNumber3">
    <w:name w:val="List Number 3"/>
    <w:basedOn w:val="List3"/>
    <w:rsid w:val="00C9368D"/>
    <w:pPr>
      <w:numPr>
        <w:numId w:val="5"/>
      </w:numPr>
    </w:pPr>
  </w:style>
  <w:style w:type="paragraph" w:styleId="ListNumber4">
    <w:name w:val="List Number 4"/>
    <w:basedOn w:val="List4"/>
    <w:rsid w:val="00C9368D"/>
    <w:pPr>
      <w:numPr>
        <w:numId w:val="6"/>
      </w:numPr>
    </w:pPr>
  </w:style>
  <w:style w:type="paragraph" w:styleId="ListNumber5">
    <w:name w:val="List Number 5"/>
    <w:basedOn w:val="List5"/>
    <w:rsid w:val="00C9368D"/>
    <w:pPr>
      <w:numPr>
        <w:numId w:val="7"/>
      </w:numPr>
    </w:pPr>
  </w:style>
  <w:style w:type="paragraph" w:styleId="BlockText">
    <w:name w:val="Block Text"/>
    <w:basedOn w:val="Normal"/>
    <w:rsid w:val="00C93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68D"/>
    <w:rPr>
      <w:sz w:val="16"/>
      <w:vertAlign w:val="superscript"/>
    </w:rPr>
  </w:style>
  <w:style w:type="character" w:customStyle="1" w:styleId="Symbols">
    <w:name w:val="Symbols"/>
    <w:basedOn w:val="DefaultParagraphFont"/>
    <w:rsid w:val="00C9368D"/>
    <w:rPr>
      <w:rFonts w:ascii="Symbol" w:hAnsi="Symbol"/>
    </w:rPr>
  </w:style>
  <w:style w:type="character" w:customStyle="1" w:styleId="MenuOptions">
    <w:name w:val="Menu Options"/>
    <w:basedOn w:val="DefaultParagraphFont"/>
    <w:rsid w:val="00C93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68D"/>
    <w:rPr>
      <w:b/>
    </w:rPr>
  </w:style>
  <w:style w:type="character" w:customStyle="1" w:styleId="Underlined">
    <w:name w:val="Underlined"/>
    <w:basedOn w:val="DefaultParagraphFont"/>
    <w:rsid w:val="00C9368D"/>
    <w:rPr>
      <w:u w:val="single"/>
    </w:rPr>
  </w:style>
  <w:style w:type="paragraph" w:customStyle="1" w:styleId="TableBodyTextRight">
    <w:name w:val="Table Body Text Right"/>
    <w:basedOn w:val="TableBodyText"/>
    <w:rsid w:val="00C93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68D"/>
    <w:rPr>
      <w:sz w:val="18"/>
    </w:rPr>
  </w:style>
  <w:style w:type="paragraph" w:customStyle="1" w:styleId="BodySmallRight">
    <w:name w:val="Body Small Right"/>
    <w:basedOn w:val="BodyTextRight"/>
    <w:rsid w:val="00C9368D"/>
    <w:rPr>
      <w:sz w:val="18"/>
      <w:szCs w:val="18"/>
    </w:rPr>
  </w:style>
  <w:style w:type="paragraph" w:customStyle="1" w:styleId="MarginEdition">
    <w:name w:val="Margin Edition"/>
    <w:basedOn w:val="MarginNote"/>
    <w:rsid w:val="00C93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68D"/>
    <w:rPr>
      <w:sz w:val="2"/>
      <w:szCs w:val="2"/>
    </w:rPr>
  </w:style>
  <w:style w:type="character" w:customStyle="1" w:styleId="Small">
    <w:name w:val="Small"/>
    <w:basedOn w:val="DefaultParagraphFont"/>
    <w:rsid w:val="00C9368D"/>
    <w:rPr>
      <w:sz w:val="16"/>
    </w:rPr>
  </w:style>
  <w:style w:type="paragraph" w:customStyle="1" w:styleId="WideTable">
    <w:name w:val="Wide Table"/>
    <w:basedOn w:val="Normal"/>
    <w:rsid w:val="00C93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68D"/>
  </w:style>
  <w:style w:type="paragraph" w:styleId="Quote">
    <w:name w:val="Quote"/>
    <w:basedOn w:val="Heading1"/>
    <w:link w:val="QuoteChar"/>
    <w:qFormat/>
    <w:rsid w:val="00C93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68D"/>
    <w:pPr>
      <w:pageBreakBefore/>
    </w:pPr>
  </w:style>
  <w:style w:type="paragraph" w:customStyle="1" w:styleId="Border">
    <w:name w:val="Border"/>
    <w:basedOn w:val="Normal"/>
    <w:qFormat/>
    <w:rsid w:val="00C93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68D"/>
    <w:rPr>
      <w:u w:val="single"/>
    </w:rPr>
  </w:style>
  <w:style w:type="character" w:customStyle="1" w:styleId="BoldandItalics">
    <w:name w:val="Bold and Italics"/>
    <w:qFormat/>
    <w:rsid w:val="00C9368D"/>
    <w:rPr>
      <w:b/>
      <w:i/>
      <w:u w:val="none"/>
    </w:rPr>
  </w:style>
  <w:style w:type="paragraph" w:styleId="BalloonText">
    <w:name w:val="Balloon Text"/>
    <w:basedOn w:val="Normal"/>
    <w:link w:val="BalloonTextChar"/>
    <w:rsid w:val="00C93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68D"/>
    <w:pPr>
      <w:spacing w:before="0" w:after="0"/>
    </w:pPr>
  </w:style>
  <w:style w:type="paragraph" w:customStyle="1" w:styleId="BodyTextBold">
    <w:name w:val="Body Text Bold"/>
    <w:basedOn w:val="BodyText"/>
    <w:qFormat/>
    <w:rsid w:val="00C9368D"/>
    <w:rPr>
      <w:b/>
    </w:rPr>
  </w:style>
  <w:style w:type="character" w:styleId="Hyperlink">
    <w:name w:val="Hyperlink"/>
    <w:basedOn w:val="DefaultParagraphFont"/>
    <w:uiPriority w:val="99"/>
    <w:unhideWhenUsed/>
    <w:rsid w:val="00495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4641</Characters>
  <Application>Microsoft Office Word</Application>
  <DocSecurity>0</DocSecurity>
  <Lines>110</Lines>
  <Paragraphs>86</Paragraphs>
  <ScaleCrop>false</ScaleCrop>
  <Company>Author-it Software Corporation Ltd.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MEA141 Manage risk in aviation maintenance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2019-09-30T08:50:00Z</dcterms:created>
  <dcterms:modified xsi:type="dcterms:W3CDTF">2019-09-30T08:50:00Z</dcterms:modified>
</cp:coreProperties>
</file>