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8210E" w:rsidP="00A8210E">
      <w:pPr>
        <w:pStyle w:val="Title"/>
      </w:pPr>
      <w:r>
        <w:fldChar w:fldCharType="begin"/>
      </w:r>
      <w:r>
        <w:instrText xml:space="preserve"> TITLE   \* MERGEFORMAT </w:instrText>
      </w:r>
      <w:r>
        <w:fldChar w:fldCharType="separate"/>
      </w:r>
      <w:r>
        <w:t>MEA137 Write aviation technical publications</w:t>
      </w:r>
      <w:r>
        <w:fldChar w:fldCharType="end"/>
      </w:r>
    </w:p>
    <w:p w:rsidR="00A8210E" w:rsidP="00A8210E">
      <w:pPr>
        <w:pStyle w:val="Version"/>
        <w:sectPr w:rsidSect="00DF37A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F37AC" w:rsidP="00DF37AC">
      <w:pPr>
        <w:pStyle w:val="SuperHeading"/>
      </w:pPr>
      <w:r w:rsidRPr="00DF37AC">
        <w:t>MEA137 Write aviation technical publications</w:t>
      </w:r>
    </w:p>
    <w:p w:rsidR="00000000" w:rsidRPr="00DF37AC" w:rsidP="00DF37AC">
      <w:pPr>
        <w:pStyle w:val="Heading1"/>
      </w:pPr>
      <w:bookmarkStart w:id="1" w:name="O_719384"/>
      <w:bookmarkEnd w:id="1"/>
      <w:r w:rsidRPr="00DF37AC">
        <w:t>Modification History</w:t>
      </w:r>
    </w:p>
    <w:p w:rsidR="00000000" w:rsidRPr="00DF37AC" w:rsidP="00A8210E">
      <w:pPr>
        <w:pStyle w:val="BodyText"/>
      </w:pPr>
      <w:r w:rsidRPr="00DF37AC">
        <w:t>Release 1 - New unit of competency</w:t>
      </w:r>
    </w:p>
    <w:p w:rsidR="00000000" w:rsidRPr="00DF37AC" w:rsidP="00DF37AC">
      <w:pPr>
        <w:pStyle w:val="Heading1"/>
      </w:pPr>
      <w:bookmarkStart w:id="2" w:name="O_719392"/>
      <w:bookmarkEnd w:id="2"/>
      <w:r w:rsidRPr="00DF37AC">
        <w:t>Application</w:t>
      </w:r>
    </w:p>
    <w:p w:rsidR="00000000" w:rsidRPr="00DF37AC" w:rsidP="00A8210E">
      <w:pPr>
        <w:pStyle w:val="BodyText"/>
      </w:pPr>
      <w:r w:rsidRPr="00DF37AC">
        <w:t xml:space="preserve">This unit of competency requires application of skills and knowledge relating to the researching of data, drafting and processing of technical publications and amendments </w:t>
      </w:r>
      <w:r w:rsidRPr="00DF37AC">
        <w:t>to technical publications, including maintenance manuals, operating instructions, parts catalogues, procedures manuals and related technical publications to support scheduled or unscheduled maintenance. Work may be performed individually or as part of a te</w:t>
      </w:r>
      <w:r w:rsidRPr="00DF37AC">
        <w:t>am.</w:t>
      </w:r>
    </w:p>
    <w:p w:rsidR="00000000" w:rsidRPr="00DF37AC" w:rsidP="00A8210E">
      <w:pPr>
        <w:pStyle w:val="BodyText"/>
      </w:pPr>
      <w:r w:rsidRPr="00DF37AC">
        <w:t>The unit is part of Diploma and Advanced Diploma training pathways. It is used in workplaces that operate under the airworthiness regulatory systems of the Australian Defence Force (ADF) and the Civil Aviation Safety Authority (CASA).</w:t>
      </w:r>
    </w:p>
    <w:p w:rsidR="00000000" w:rsidRPr="00DF37AC" w:rsidP="00DF37AC">
      <w:pPr>
        <w:pStyle w:val="Heading1"/>
      </w:pPr>
      <w:bookmarkStart w:id="3" w:name="O_719391"/>
      <w:bookmarkEnd w:id="3"/>
      <w:r w:rsidRPr="00DF37AC">
        <w:t>Pre-requisite Unit</w:t>
      </w:r>
    </w:p>
    <w:tbl>
      <w:tblPr>
        <w:tblW w:w="0" w:type="auto"/>
        <w:tblLayout w:type="fixed"/>
        <w:tblCellMar>
          <w:left w:w="62" w:type="dxa"/>
          <w:right w:w="62" w:type="dxa"/>
        </w:tblCellMar>
        <w:tblLook w:val="0000"/>
      </w:tblPr>
      <w:tblGrid>
        <w:gridCol w:w="1628"/>
        <w:gridCol w:w="6274"/>
      </w:tblGrid>
      <w:tr w:rsidTr="00DF37AC">
        <w:tblPrEx>
          <w:tblW w:w="0" w:type="auto"/>
          <w:tblLayout w:type="fixed"/>
          <w:tblCellMar>
            <w:left w:w="62" w:type="dxa"/>
            <w:right w:w="62" w:type="dxa"/>
          </w:tblCellMar>
          <w:tblLook w:val="0000"/>
        </w:tblPrEx>
        <w:tc>
          <w:tcPr>
            <w:tcW w:w="1628" w:type="dxa"/>
            <w:tcBorders>
              <w:top w:val="nil"/>
              <w:left w:val="nil"/>
              <w:bottom w:val="nil"/>
              <w:right w:val="nil"/>
            </w:tcBorders>
            <w:tcMar>
              <w:top w:w="0" w:type="dxa"/>
              <w:left w:w="62" w:type="dxa"/>
              <w:bottom w:w="0" w:type="dxa"/>
              <w:right w:w="62" w:type="dxa"/>
            </w:tcMar>
          </w:tcPr>
          <w:p w:rsidR="00000000" w:rsidP="00DF37AC">
            <w:pPr>
              <w:pStyle w:val="BodyText"/>
              <w:rPr>
                <w:lang w:val="en-NZ"/>
              </w:rPr>
            </w:pPr>
            <w:r w:rsidRPr="00DF37AC">
              <w:t>MEA135</w:t>
            </w:r>
          </w:p>
        </w:tc>
        <w:tc>
          <w:tcPr>
            <w:tcW w:w="6274" w:type="dxa"/>
            <w:tcBorders>
              <w:top w:val="nil"/>
              <w:left w:val="nil"/>
              <w:bottom w:val="nil"/>
              <w:right w:val="nil"/>
            </w:tcBorders>
            <w:tcMar>
              <w:top w:w="0" w:type="dxa"/>
              <w:left w:w="62" w:type="dxa"/>
              <w:bottom w:w="0" w:type="dxa"/>
              <w:right w:w="62" w:type="dxa"/>
            </w:tcMar>
          </w:tcPr>
          <w:p w:rsidR="00000000" w:rsidRPr="00DF37AC" w:rsidP="00DF37AC">
            <w:pPr>
              <w:pStyle w:val="BodyText"/>
            </w:pPr>
            <w:r w:rsidRPr="00DF37AC">
              <w:t>Use computers in aviation maintenance-related integrated logistic support activities</w:t>
            </w:r>
          </w:p>
        </w:tc>
      </w:tr>
    </w:tbl>
    <w:p w:rsidR="00000000" w:rsidRPr="00DF37AC" w:rsidP="00DF37AC">
      <w:pPr>
        <w:pStyle w:val="BodyText"/>
      </w:pPr>
    </w:p>
    <w:p w:rsidR="00000000" w:rsidRPr="00DF37AC" w:rsidP="00DF37AC">
      <w:pPr>
        <w:pStyle w:val="AllowPageBreak"/>
      </w:pPr>
    </w:p>
    <w:p w:rsidR="00000000" w:rsidRPr="00DF37AC" w:rsidP="00DF37AC">
      <w:pPr>
        <w:pStyle w:val="Heading1"/>
      </w:pPr>
      <w:bookmarkStart w:id="4" w:name="O_719390"/>
      <w:bookmarkEnd w:id="4"/>
      <w:r w:rsidRPr="00DF37AC">
        <w:t>Competency Field</w:t>
      </w:r>
    </w:p>
    <w:p w:rsidR="00000000" w:rsidRPr="00DF37AC" w:rsidP="00A8210E">
      <w:pPr>
        <w:pStyle w:val="BodyText"/>
      </w:pPr>
      <w:r w:rsidRPr="00DF37AC">
        <w:t>Integrated logistic support</w:t>
      </w:r>
    </w:p>
    <w:p w:rsidR="00000000" w:rsidRPr="00DF37AC" w:rsidP="00DF37AC">
      <w:pPr>
        <w:pStyle w:val="Heading1"/>
      </w:pPr>
      <w:bookmarkStart w:id="5" w:name="O_719389"/>
      <w:bookmarkEnd w:id="5"/>
      <w:r w:rsidRPr="00DF37AC">
        <w:t>Unit Sector</w:t>
      </w:r>
    </w:p>
    <w:p w:rsidR="00000000" w:rsidRPr="00DF37AC" w:rsidP="00DF37AC">
      <w:pPr>
        <w:pStyle w:val="Heading1"/>
      </w:pPr>
      <w:bookmarkStart w:id="6" w:name="O_719388"/>
      <w:bookmarkEnd w:id="6"/>
      <w:r w:rsidRPr="00DF37AC">
        <w:t>Elements and Performance Criteria</w:t>
      </w:r>
    </w:p>
    <w:tbl>
      <w:tblPr>
        <w:tblW w:w="0" w:type="auto"/>
        <w:tblLayout w:type="fixed"/>
        <w:tblCellMar>
          <w:left w:w="62" w:type="dxa"/>
          <w:right w:w="62" w:type="dxa"/>
        </w:tblCellMar>
        <w:tblLook w:val="0000"/>
      </w:tblPr>
      <w:tblGrid>
        <w:gridCol w:w="540"/>
        <w:gridCol w:w="2430"/>
        <w:gridCol w:w="540"/>
        <w:gridCol w:w="5670"/>
      </w:tblGrid>
      <w:tr w:rsidTr="00DF37AC">
        <w:tblPrEx>
          <w:tblW w:w="0" w:type="auto"/>
          <w:tblLayout w:type="fixed"/>
          <w:tblCellMar>
            <w:left w:w="62" w:type="dxa"/>
            <w:right w:w="62" w:type="dxa"/>
          </w:tblCellMar>
          <w:tblLook w:val="0000"/>
        </w:tblPrEx>
        <w:tc>
          <w:tcPr>
            <w:tcW w:w="2970" w:type="dxa"/>
            <w:gridSpan w:val="2"/>
            <w:tcBorders>
              <w:top w:val="nil"/>
              <w:left w:val="nil"/>
              <w:bottom w:val="nil"/>
              <w:right w:val="nil"/>
            </w:tcBorders>
            <w:tcMar>
              <w:top w:w="0" w:type="dxa"/>
              <w:left w:w="62" w:type="dxa"/>
              <w:bottom w:w="0" w:type="dxa"/>
              <w:right w:w="62" w:type="dxa"/>
            </w:tcMar>
          </w:tcPr>
          <w:p w:rsidR="00000000" w:rsidP="00DF37AC">
            <w:pPr>
              <w:pStyle w:val="BodyText"/>
              <w:rPr>
                <w:lang w:val="en-NZ"/>
              </w:rPr>
            </w:pPr>
            <w:r w:rsidRPr="00DF37AC">
              <w:t>E</w:t>
            </w:r>
            <w:r w:rsidRPr="00DF37AC">
              <w:t>lements describe the essential outcomes.</w:t>
            </w:r>
          </w:p>
        </w:tc>
        <w:tc>
          <w:tcPr>
            <w:tcW w:w="6210" w:type="dxa"/>
            <w:gridSpan w:val="2"/>
            <w:tcBorders>
              <w:top w:val="nil"/>
              <w:left w:val="nil"/>
              <w:bottom w:val="nil"/>
              <w:right w:val="nil"/>
            </w:tcBorders>
            <w:tcMar>
              <w:top w:w="0" w:type="dxa"/>
              <w:left w:w="62" w:type="dxa"/>
              <w:bottom w:w="0" w:type="dxa"/>
              <w:right w:w="62" w:type="dxa"/>
            </w:tcMar>
          </w:tcPr>
          <w:p w:rsidR="00000000" w:rsidP="00DF37AC">
            <w:pPr>
              <w:pStyle w:val="BodyText"/>
              <w:rPr>
                <w:lang w:val="en-NZ"/>
              </w:rPr>
            </w:pPr>
            <w:r w:rsidRPr="00DF37AC">
              <w:t xml:space="preserve">Performance criteria describe the performance needed to demonstrate achievement of the element. </w:t>
            </w:r>
          </w:p>
        </w:tc>
      </w:tr>
      <w:tr w:rsidTr="00DF37AC">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DF37AC">
            <w:pPr>
              <w:pStyle w:val="BodyText"/>
              <w:rPr>
                <w:lang w:val="en-NZ"/>
              </w:rPr>
            </w:pPr>
            <w:r w:rsidRPr="00DF37AC">
              <w:t>1.</w:t>
            </w:r>
          </w:p>
        </w:tc>
        <w:tc>
          <w:tcPr>
            <w:tcW w:w="2430" w:type="dxa"/>
            <w:tcBorders>
              <w:top w:val="nil"/>
              <w:left w:val="nil"/>
              <w:bottom w:val="nil"/>
              <w:right w:val="nil"/>
            </w:tcBorders>
            <w:tcMar>
              <w:top w:w="0" w:type="dxa"/>
              <w:left w:w="62" w:type="dxa"/>
              <w:bottom w:w="0" w:type="dxa"/>
              <w:right w:w="62" w:type="dxa"/>
            </w:tcMar>
          </w:tcPr>
          <w:p w:rsidR="00000000" w:rsidP="00DF37AC">
            <w:pPr>
              <w:pStyle w:val="BodyText"/>
              <w:rPr>
                <w:lang w:val="en-NZ"/>
              </w:rPr>
            </w:pPr>
            <w:r w:rsidRPr="00DF37AC">
              <w:t>Research data</w:t>
            </w:r>
          </w:p>
        </w:tc>
        <w:tc>
          <w:tcPr>
            <w:tcW w:w="540" w:type="dxa"/>
            <w:tcBorders>
              <w:top w:val="nil"/>
              <w:left w:val="nil"/>
              <w:bottom w:val="nil"/>
              <w:right w:val="nil"/>
            </w:tcBorders>
            <w:tcMar>
              <w:top w:w="0" w:type="dxa"/>
              <w:left w:w="62" w:type="dxa"/>
              <w:bottom w:w="0" w:type="dxa"/>
              <w:right w:w="62" w:type="dxa"/>
            </w:tcMar>
          </w:tcPr>
          <w:p w:rsidR="00000000" w:rsidP="00DF37AC">
            <w:pPr>
              <w:pStyle w:val="BodyText"/>
              <w:rPr>
                <w:lang w:val="en-NZ"/>
              </w:rPr>
            </w:pPr>
            <w:r w:rsidRPr="00DF37AC">
              <w:t>1.1</w:t>
            </w:r>
          </w:p>
        </w:tc>
        <w:tc>
          <w:tcPr>
            <w:tcW w:w="5670" w:type="dxa"/>
            <w:tcBorders>
              <w:top w:val="nil"/>
              <w:left w:val="nil"/>
              <w:bottom w:val="nil"/>
              <w:right w:val="nil"/>
            </w:tcBorders>
            <w:tcMar>
              <w:top w:w="0" w:type="dxa"/>
              <w:left w:w="62" w:type="dxa"/>
              <w:bottom w:w="0" w:type="dxa"/>
              <w:right w:w="62" w:type="dxa"/>
            </w:tcMar>
          </w:tcPr>
          <w:p w:rsidR="00000000" w:rsidP="00DF37AC">
            <w:pPr>
              <w:pStyle w:val="BodyText"/>
              <w:rPr>
                <w:lang w:val="en-NZ"/>
              </w:rPr>
            </w:pPr>
            <w:r w:rsidRPr="00DF37AC">
              <w:t>The required medium, style and layout are determined</w:t>
            </w:r>
          </w:p>
        </w:tc>
      </w:tr>
      <w:tr w:rsidTr="00DF37AC">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DF37AC">
            <w:pPr>
              <w:pStyle w:val="BodyText"/>
              <w:rPr>
                <w:lang w:val="en-NZ"/>
              </w:rPr>
            </w:pPr>
            <w:r w:rsidRPr="00DF37AC">
              <w:t>1.2</w:t>
            </w:r>
          </w:p>
        </w:tc>
        <w:tc>
          <w:tcPr>
            <w:tcW w:w="5670" w:type="dxa"/>
            <w:tcBorders>
              <w:top w:val="nil"/>
              <w:left w:val="nil"/>
              <w:bottom w:val="nil"/>
              <w:right w:val="nil"/>
            </w:tcBorders>
            <w:tcMar>
              <w:top w:w="0" w:type="dxa"/>
              <w:left w:w="62" w:type="dxa"/>
              <w:bottom w:w="0" w:type="dxa"/>
              <w:right w:w="62" w:type="dxa"/>
            </w:tcMar>
          </w:tcPr>
          <w:p w:rsidR="00000000" w:rsidP="00DF37AC">
            <w:pPr>
              <w:pStyle w:val="BodyText"/>
              <w:rPr>
                <w:lang w:val="en-NZ"/>
              </w:rPr>
            </w:pPr>
            <w:r w:rsidRPr="00DF37AC">
              <w:t>Relevant data is obtained or acces</w:t>
            </w:r>
            <w:r w:rsidRPr="00DF37AC">
              <w:t>sed</w:t>
            </w:r>
          </w:p>
        </w:tc>
      </w:tr>
      <w:tr w:rsidTr="00DF37AC">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DF37AC">
            <w:pPr>
              <w:pStyle w:val="BodyText"/>
              <w:rPr>
                <w:lang w:val="en-NZ"/>
              </w:rPr>
            </w:pPr>
            <w:r w:rsidRPr="00DF37AC">
              <w:t>1.3</w:t>
            </w:r>
          </w:p>
        </w:tc>
        <w:tc>
          <w:tcPr>
            <w:tcW w:w="5670" w:type="dxa"/>
            <w:tcBorders>
              <w:top w:val="nil"/>
              <w:left w:val="nil"/>
              <w:bottom w:val="nil"/>
              <w:right w:val="nil"/>
            </w:tcBorders>
            <w:tcMar>
              <w:top w:w="0" w:type="dxa"/>
              <w:left w:w="62" w:type="dxa"/>
              <w:bottom w:w="0" w:type="dxa"/>
              <w:right w:w="62" w:type="dxa"/>
            </w:tcMar>
          </w:tcPr>
          <w:p w:rsidR="00000000" w:rsidP="00DF37AC">
            <w:pPr>
              <w:pStyle w:val="BodyText"/>
              <w:rPr>
                <w:lang w:val="en-NZ"/>
              </w:rPr>
            </w:pPr>
            <w:r w:rsidRPr="00DF37AC">
              <w:t>Potential problems are identified and relevant experts are identified and consulted</w:t>
            </w:r>
          </w:p>
        </w:tc>
      </w:tr>
      <w:tr w:rsidTr="00DF37AC">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DF37AC">
            <w:pPr>
              <w:pStyle w:val="BodyText"/>
              <w:rPr>
                <w:lang w:val="en-NZ"/>
              </w:rPr>
            </w:pPr>
            <w:r w:rsidRPr="00DF37AC">
              <w:t>1.4</w:t>
            </w:r>
          </w:p>
        </w:tc>
        <w:tc>
          <w:tcPr>
            <w:tcW w:w="5670" w:type="dxa"/>
            <w:tcBorders>
              <w:top w:val="nil"/>
              <w:left w:val="nil"/>
              <w:bottom w:val="nil"/>
              <w:right w:val="nil"/>
            </w:tcBorders>
            <w:tcMar>
              <w:top w:w="0" w:type="dxa"/>
              <w:left w:w="62" w:type="dxa"/>
              <w:bottom w:w="0" w:type="dxa"/>
              <w:right w:w="62" w:type="dxa"/>
            </w:tcMar>
          </w:tcPr>
          <w:p w:rsidR="00000000" w:rsidP="00DF37AC">
            <w:pPr>
              <w:pStyle w:val="BodyText"/>
              <w:rPr>
                <w:lang w:val="en-NZ"/>
              </w:rPr>
            </w:pPr>
            <w:r w:rsidRPr="00DF37AC">
              <w:t>Problem resolution strategies are determined</w:t>
            </w:r>
          </w:p>
        </w:tc>
      </w:tr>
      <w:tr w:rsidTr="00DF37AC">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DF37AC">
            <w:pPr>
              <w:pStyle w:val="BodyText"/>
              <w:rPr>
                <w:lang w:val="en-NZ"/>
              </w:rPr>
            </w:pPr>
            <w:r w:rsidRPr="00DF37AC">
              <w:t>2.</w:t>
            </w:r>
          </w:p>
        </w:tc>
        <w:tc>
          <w:tcPr>
            <w:tcW w:w="2430" w:type="dxa"/>
            <w:tcBorders>
              <w:top w:val="nil"/>
              <w:left w:val="nil"/>
              <w:bottom w:val="nil"/>
              <w:right w:val="nil"/>
            </w:tcBorders>
            <w:tcMar>
              <w:top w:w="0" w:type="dxa"/>
              <w:left w:w="62" w:type="dxa"/>
              <w:bottom w:w="0" w:type="dxa"/>
              <w:right w:w="62" w:type="dxa"/>
            </w:tcMar>
          </w:tcPr>
          <w:p w:rsidR="00000000" w:rsidP="00DF37AC">
            <w:pPr>
              <w:pStyle w:val="BodyText"/>
              <w:rPr>
                <w:lang w:val="en-NZ"/>
              </w:rPr>
            </w:pPr>
            <w:r w:rsidRPr="00DF37AC">
              <w:t>Draft publication or publication amendment</w:t>
            </w:r>
          </w:p>
        </w:tc>
        <w:tc>
          <w:tcPr>
            <w:tcW w:w="540" w:type="dxa"/>
            <w:tcBorders>
              <w:top w:val="nil"/>
              <w:left w:val="nil"/>
              <w:bottom w:val="nil"/>
              <w:right w:val="nil"/>
            </w:tcBorders>
            <w:tcMar>
              <w:top w:w="0" w:type="dxa"/>
              <w:left w:w="62" w:type="dxa"/>
              <w:bottom w:w="0" w:type="dxa"/>
              <w:right w:w="62" w:type="dxa"/>
            </w:tcMar>
          </w:tcPr>
          <w:p w:rsidR="00000000" w:rsidP="00DF37AC">
            <w:pPr>
              <w:pStyle w:val="BodyText"/>
              <w:rPr>
                <w:lang w:val="en-NZ"/>
              </w:rPr>
            </w:pPr>
            <w:r w:rsidRPr="00DF37AC">
              <w:t>2.1</w:t>
            </w:r>
          </w:p>
        </w:tc>
        <w:tc>
          <w:tcPr>
            <w:tcW w:w="5670" w:type="dxa"/>
            <w:tcBorders>
              <w:top w:val="nil"/>
              <w:left w:val="nil"/>
              <w:bottom w:val="nil"/>
              <w:right w:val="nil"/>
            </w:tcBorders>
            <w:tcMar>
              <w:top w:w="0" w:type="dxa"/>
              <w:left w:w="62" w:type="dxa"/>
              <w:bottom w:w="0" w:type="dxa"/>
              <w:right w:w="62" w:type="dxa"/>
            </w:tcMar>
          </w:tcPr>
          <w:p w:rsidR="00000000" w:rsidP="00DF37AC">
            <w:pPr>
              <w:pStyle w:val="BodyText"/>
              <w:rPr>
                <w:lang w:val="en-NZ"/>
              </w:rPr>
            </w:pPr>
            <w:r w:rsidRPr="00DF37AC">
              <w:t>The publication or amendment is drafted using relevant guidelines and specified software package</w:t>
            </w:r>
          </w:p>
        </w:tc>
      </w:tr>
      <w:tr w:rsidTr="00DF37AC">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DF37AC">
            <w:pPr>
              <w:pStyle w:val="BodyText"/>
              <w:rPr>
                <w:lang w:val="en-NZ"/>
              </w:rPr>
            </w:pPr>
            <w:r w:rsidRPr="00DF37AC">
              <w:t>2.2</w:t>
            </w:r>
          </w:p>
        </w:tc>
        <w:tc>
          <w:tcPr>
            <w:tcW w:w="5670" w:type="dxa"/>
            <w:tcBorders>
              <w:top w:val="nil"/>
              <w:left w:val="nil"/>
              <w:bottom w:val="nil"/>
              <w:right w:val="nil"/>
            </w:tcBorders>
            <w:tcMar>
              <w:top w:w="0" w:type="dxa"/>
              <w:left w:w="62" w:type="dxa"/>
              <w:bottom w:w="0" w:type="dxa"/>
              <w:right w:w="62" w:type="dxa"/>
            </w:tcMar>
          </w:tcPr>
          <w:p w:rsidR="00000000" w:rsidP="00DF37AC">
            <w:pPr>
              <w:pStyle w:val="BodyText"/>
              <w:rPr>
                <w:lang w:val="en-NZ"/>
              </w:rPr>
            </w:pPr>
            <w:r w:rsidRPr="00DF37AC">
              <w:t>Required graphics are selected and illustrator briefs are raised</w:t>
            </w:r>
          </w:p>
        </w:tc>
      </w:tr>
      <w:tr w:rsidTr="00DF37AC">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DF37AC">
            <w:pPr>
              <w:pStyle w:val="BodyText"/>
              <w:rPr>
                <w:lang w:val="en-NZ"/>
              </w:rPr>
            </w:pPr>
            <w:r w:rsidRPr="00DF37AC">
              <w:t>2.3</w:t>
            </w:r>
          </w:p>
        </w:tc>
        <w:tc>
          <w:tcPr>
            <w:tcW w:w="5670" w:type="dxa"/>
            <w:tcBorders>
              <w:top w:val="nil"/>
              <w:left w:val="nil"/>
              <w:bottom w:val="nil"/>
              <w:right w:val="nil"/>
            </w:tcBorders>
            <w:tcMar>
              <w:top w:w="0" w:type="dxa"/>
              <w:left w:w="62" w:type="dxa"/>
              <w:bottom w:w="0" w:type="dxa"/>
              <w:right w:w="62" w:type="dxa"/>
            </w:tcMar>
          </w:tcPr>
          <w:p w:rsidR="00000000" w:rsidP="00DF37AC">
            <w:pPr>
              <w:pStyle w:val="BodyText"/>
              <w:rPr>
                <w:lang w:val="en-NZ"/>
              </w:rPr>
            </w:pPr>
            <w:r w:rsidRPr="00DF37AC">
              <w:t>Copyright legislation is observed</w:t>
            </w:r>
          </w:p>
        </w:tc>
      </w:tr>
      <w:tr w:rsidTr="00DF37AC">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DF37AC">
            <w:pPr>
              <w:pStyle w:val="BodyText"/>
              <w:rPr>
                <w:lang w:val="en-NZ"/>
              </w:rPr>
            </w:pPr>
            <w:r w:rsidRPr="00DF37AC">
              <w:t>2.4</w:t>
            </w:r>
          </w:p>
        </w:tc>
        <w:tc>
          <w:tcPr>
            <w:tcW w:w="5670" w:type="dxa"/>
            <w:tcBorders>
              <w:top w:val="nil"/>
              <w:left w:val="nil"/>
              <w:bottom w:val="nil"/>
              <w:right w:val="nil"/>
            </w:tcBorders>
            <w:tcMar>
              <w:top w:w="0" w:type="dxa"/>
              <w:left w:w="62" w:type="dxa"/>
              <w:bottom w:w="0" w:type="dxa"/>
              <w:right w:w="62" w:type="dxa"/>
            </w:tcMar>
          </w:tcPr>
          <w:p w:rsidR="00000000" w:rsidP="00DF37AC">
            <w:pPr>
              <w:pStyle w:val="BodyText"/>
              <w:rPr>
                <w:lang w:val="en-NZ"/>
              </w:rPr>
            </w:pPr>
            <w:r w:rsidRPr="00DF37AC">
              <w:t>Completed graphics are inserted into the draft and annotations/labels added</w:t>
            </w:r>
          </w:p>
        </w:tc>
      </w:tr>
      <w:tr w:rsidTr="00DF37AC">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DF37AC">
            <w:pPr>
              <w:pStyle w:val="BodyText"/>
              <w:rPr>
                <w:lang w:val="en-NZ"/>
              </w:rPr>
            </w:pPr>
            <w:r w:rsidRPr="00DF37AC">
              <w:t>2.5</w:t>
            </w:r>
          </w:p>
        </w:tc>
        <w:tc>
          <w:tcPr>
            <w:tcW w:w="5670" w:type="dxa"/>
            <w:tcBorders>
              <w:top w:val="nil"/>
              <w:left w:val="nil"/>
              <w:bottom w:val="nil"/>
              <w:right w:val="nil"/>
            </w:tcBorders>
            <w:tcMar>
              <w:top w:w="0" w:type="dxa"/>
              <w:left w:w="62" w:type="dxa"/>
              <w:bottom w:w="0" w:type="dxa"/>
              <w:right w:w="62" w:type="dxa"/>
            </w:tcMar>
          </w:tcPr>
          <w:p w:rsidR="00000000" w:rsidP="00DF37AC">
            <w:pPr>
              <w:pStyle w:val="BodyText"/>
              <w:rPr>
                <w:lang w:val="en-NZ"/>
              </w:rPr>
            </w:pPr>
            <w:r w:rsidRPr="00DF37AC">
              <w:t>The draft is prepared for publishing and is submitted for editorial review</w:t>
            </w:r>
          </w:p>
        </w:tc>
      </w:tr>
      <w:tr w:rsidTr="00DF37AC">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DF37AC">
            <w:pPr>
              <w:pStyle w:val="BodyText"/>
              <w:rPr>
                <w:lang w:val="en-NZ"/>
              </w:rPr>
            </w:pPr>
            <w:r w:rsidRPr="00DF37AC">
              <w:t>3.</w:t>
            </w:r>
          </w:p>
        </w:tc>
        <w:tc>
          <w:tcPr>
            <w:tcW w:w="2430" w:type="dxa"/>
            <w:tcBorders>
              <w:top w:val="nil"/>
              <w:left w:val="nil"/>
              <w:bottom w:val="nil"/>
              <w:right w:val="nil"/>
            </w:tcBorders>
            <w:tcMar>
              <w:top w:w="0" w:type="dxa"/>
              <w:left w:w="62" w:type="dxa"/>
              <w:bottom w:w="0" w:type="dxa"/>
              <w:right w:w="62" w:type="dxa"/>
            </w:tcMar>
          </w:tcPr>
          <w:p w:rsidR="00000000" w:rsidP="00DF37AC">
            <w:pPr>
              <w:pStyle w:val="BodyText"/>
              <w:rPr>
                <w:lang w:val="en-NZ"/>
              </w:rPr>
            </w:pPr>
            <w:r w:rsidRPr="00DF37AC">
              <w:t>Process draft publication or amendment</w:t>
            </w:r>
          </w:p>
        </w:tc>
        <w:tc>
          <w:tcPr>
            <w:tcW w:w="540" w:type="dxa"/>
            <w:tcBorders>
              <w:top w:val="nil"/>
              <w:left w:val="nil"/>
              <w:bottom w:val="nil"/>
              <w:right w:val="nil"/>
            </w:tcBorders>
            <w:tcMar>
              <w:top w:w="0" w:type="dxa"/>
              <w:left w:w="62" w:type="dxa"/>
              <w:bottom w:w="0" w:type="dxa"/>
              <w:right w:w="62" w:type="dxa"/>
            </w:tcMar>
          </w:tcPr>
          <w:p w:rsidR="00000000" w:rsidP="00DF37AC">
            <w:pPr>
              <w:pStyle w:val="BodyText"/>
              <w:rPr>
                <w:lang w:val="en-NZ"/>
              </w:rPr>
            </w:pPr>
            <w:r w:rsidRPr="00DF37AC">
              <w:t>3.1</w:t>
            </w:r>
          </w:p>
        </w:tc>
        <w:tc>
          <w:tcPr>
            <w:tcW w:w="5670" w:type="dxa"/>
            <w:tcBorders>
              <w:top w:val="nil"/>
              <w:left w:val="nil"/>
              <w:bottom w:val="nil"/>
              <w:right w:val="nil"/>
            </w:tcBorders>
            <w:tcMar>
              <w:top w:w="0" w:type="dxa"/>
              <w:left w:w="62" w:type="dxa"/>
              <w:bottom w:w="0" w:type="dxa"/>
              <w:right w:w="62" w:type="dxa"/>
            </w:tcMar>
          </w:tcPr>
          <w:p w:rsidR="00000000" w:rsidP="00DF37AC">
            <w:pPr>
              <w:pStyle w:val="BodyText"/>
              <w:rPr>
                <w:lang w:val="en-NZ"/>
              </w:rPr>
            </w:pPr>
            <w:r w:rsidRPr="00DF37AC">
              <w:t>Proof copy of the publication or amendment is submi</w:t>
            </w:r>
            <w:r w:rsidRPr="00DF37AC">
              <w:t>tted for client acceptance</w:t>
            </w:r>
          </w:p>
        </w:tc>
      </w:tr>
      <w:tr w:rsidTr="00DF37AC">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DF37AC">
            <w:pPr>
              <w:pStyle w:val="BodyText"/>
              <w:rPr>
                <w:lang w:val="en-NZ"/>
              </w:rPr>
            </w:pPr>
            <w:r w:rsidRPr="00DF37AC">
              <w:t>3.2</w:t>
            </w:r>
          </w:p>
        </w:tc>
        <w:tc>
          <w:tcPr>
            <w:tcW w:w="5670" w:type="dxa"/>
            <w:tcBorders>
              <w:top w:val="nil"/>
              <w:left w:val="nil"/>
              <w:bottom w:val="nil"/>
              <w:right w:val="nil"/>
            </w:tcBorders>
            <w:tcMar>
              <w:top w:w="0" w:type="dxa"/>
              <w:left w:w="62" w:type="dxa"/>
              <w:bottom w:w="0" w:type="dxa"/>
              <w:right w:w="62" w:type="dxa"/>
            </w:tcMar>
          </w:tcPr>
          <w:p w:rsidR="00000000" w:rsidP="00DF37AC">
            <w:pPr>
              <w:pStyle w:val="BodyText"/>
              <w:rPr>
                <w:lang w:val="en-NZ"/>
              </w:rPr>
            </w:pPr>
            <w:r w:rsidRPr="00DF37AC">
              <w:t>Publication or amendment is published</w:t>
            </w:r>
          </w:p>
        </w:tc>
      </w:tr>
      <w:tr w:rsidTr="00DF37AC">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DF37AC">
            <w:pPr>
              <w:pStyle w:val="BodyText"/>
              <w:rPr>
                <w:lang w:val="en-NZ"/>
              </w:rPr>
            </w:pPr>
            <w:r w:rsidRPr="00DF37AC">
              <w:t>3.3</w:t>
            </w:r>
          </w:p>
        </w:tc>
        <w:tc>
          <w:tcPr>
            <w:tcW w:w="5670" w:type="dxa"/>
            <w:tcBorders>
              <w:top w:val="nil"/>
              <w:left w:val="nil"/>
              <w:bottom w:val="nil"/>
              <w:right w:val="nil"/>
            </w:tcBorders>
            <w:tcMar>
              <w:top w:w="0" w:type="dxa"/>
              <w:left w:w="62" w:type="dxa"/>
              <w:bottom w:w="0" w:type="dxa"/>
              <w:right w:w="62" w:type="dxa"/>
            </w:tcMar>
          </w:tcPr>
          <w:p w:rsidR="00000000" w:rsidRPr="00DF37AC" w:rsidP="00DF37AC">
            <w:pPr>
              <w:pStyle w:val="BodyText"/>
            </w:pPr>
            <w:r w:rsidRPr="00DF37AC">
              <w:t>The publication management database is updated and the completed publication is delivered or distributed</w:t>
            </w:r>
          </w:p>
        </w:tc>
      </w:tr>
    </w:tbl>
    <w:p w:rsidR="00000000" w:rsidRPr="00DF37AC" w:rsidP="00DF37AC">
      <w:pPr>
        <w:pStyle w:val="BodyText"/>
      </w:pPr>
    </w:p>
    <w:p w:rsidR="00000000" w:rsidRPr="00DF37AC" w:rsidP="00DF37AC">
      <w:pPr>
        <w:pStyle w:val="AllowPageBreak"/>
      </w:pPr>
    </w:p>
    <w:p w:rsidR="00000000" w:rsidRPr="00DF37AC" w:rsidP="00DF37AC">
      <w:pPr>
        <w:pStyle w:val="Heading1"/>
      </w:pPr>
      <w:bookmarkStart w:id="7" w:name="O_719387"/>
      <w:bookmarkEnd w:id="7"/>
      <w:r w:rsidRPr="00DF37AC">
        <w:t>Foundation Skills</w:t>
      </w:r>
    </w:p>
    <w:p w:rsidR="00000000" w:rsidRPr="00DF37AC" w:rsidP="00A8210E">
      <w:pPr>
        <w:pStyle w:val="BodyText"/>
      </w:pPr>
      <w:r w:rsidRPr="00DF37AC">
        <w:t>Foundation skills essential to performance are explicit in the performance criteria of this unit of competency.</w:t>
      </w:r>
    </w:p>
    <w:p w:rsidR="00000000" w:rsidRPr="00DF37AC" w:rsidP="00DF37AC">
      <w:pPr>
        <w:pStyle w:val="Heading1"/>
      </w:pPr>
      <w:bookmarkStart w:id="8" w:name="O_719386"/>
      <w:bookmarkEnd w:id="8"/>
      <w:r w:rsidRPr="00DF37AC">
        <w:t>Range of Conditions</w:t>
      </w:r>
    </w:p>
    <w:tbl>
      <w:tblPr>
        <w:tblW w:w="0" w:type="auto"/>
        <w:tblLayout w:type="fixed"/>
        <w:tblCellMar>
          <w:left w:w="62" w:type="dxa"/>
          <w:right w:w="62" w:type="dxa"/>
        </w:tblCellMar>
        <w:tblLook w:val="0000"/>
      </w:tblPr>
      <w:tblGrid>
        <w:gridCol w:w="2970"/>
        <w:gridCol w:w="6102"/>
      </w:tblGrid>
      <w:tr w:rsidTr="00DF37A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F37AC">
            <w:pPr>
              <w:pStyle w:val="BodyText"/>
              <w:rPr>
                <w:lang w:val="en-NZ"/>
              </w:rPr>
            </w:pPr>
            <w:r w:rsidRPr="00DF37AC">
              <w:t>This field allows for different work environments and conditions that may affect performance. Essential ope</w:t>
            </w:r>
            <w:r w:rsidRPr="00DF37AC">
              <w:t>rating conditions that may be present (depending on the work situation, needs of the candidate, accessibility of the item, and local industry and regional contexts) are included.</w:t>
            </w:r>
          </w:p>
        </w:tc>
      </w:tr>
      <w:tr w:rsidTr="00DF37AC">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DF37AC">
            <w:pPr>
              <w:pStyle w:val="BodyText"/>
              <w:rPr>
                <w:lang w:val="en-NZ"/>
              </w:rPr>
            </w:pPr>
            <w:r w:rsidRPr="00DF37AC">
              <w:rPr>
                <w:rStyle w:val="SpecialBold"/>
              </w:rPr>
              <w:t>The required medium can be one or more of:</w:t>
            </w:r>
          </w:p>
        </w:tc>
        <w:tc>
          <w:tcPr>
            <w:tcW w:w="6102" w:type="dxa"/>
            <w:tcBorders>
              <w:top w:val="nil"/>
              <w:left w:val="nil"/>
              <w:bottom w:val="nil"/>
              <w:right w:val="nil"/>
            </w:tcBorders>
            <w:tcMar>
              <w:top w:w="0" w:type="dxa"/>
              <w:left w:w="62" w:type="dxa"/>
              <w:bottom w:w="0" w:type="dxa"/>
              <w:right w:w="62" w:type="dxa"/>
            </w:tcMar>
          </w:tcPr>
          <w:p w:rsidR="00000000" w:rsidRPr="00DF37AC" w:rsidP="00DF37AC">
            <w:pPr>
              <w:pStyle w:val="ListBullet"/>
            </w:pPr>
            <w:r w:rsidRPr="00DF37AC">
              <w:t>Print-based</w:t>
            </w:r>
          </w:p>
          <w:p w:rsidR="00000000" w:rsidRPr="00DF37AC" w:rsidP="00DF37AC">
            <w:pPr>
              <w:pStyle w:val="ListBullet"/>
            </w:pPr>
            <w:r w:rsidRPr="00DF37AC">
              <w:t>Electronic</w:t>
            </w:r>
          </w:p>
          <w:p w:rsidR="00000000" w:rsidP="00DF37AC">
            <w:pPr>
              <w:pStyle w:val="ListBullet"/>
              <w:rPr>
                <w:lang w:val="en-NZ"/>
              </w:rPr>
            </w:pPr>
            <w:r w:rsidRPr="00DF37AC">
              <w:t>Microfiche</w:t>
            </w:r>
          </w:p>
        </w:tc>
      </w:tr>
      <w:tr w:rsidTr="00DF37AC">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DF37AC">
            <w:pPr>
              <w:pStyle w:val="BodyText"/>
              <w:rPr>
                <w:lang w:val="en-NZ"/>
              </w:rPr>
            </w:pPr>
            <w:r w:rsidRPr="00DF37AC">
              <w:rPr>
                <w:rStyle w:val="SpecialBold"/>
              </w:rPr>
              <w:t>Style and layout can be determined from one or more of:</w:t>
            </w:r>
          </w:p>
        </w:tc>
        <w:tc>
          <w:tcPr>
            <w:tcW w:w="6102" w:type="dxa"/>
            <w:tcBorders>
              <w:top w:val="nil"/>
              <w:left w:val="nil"/>
              <w:bottom w:val="nil"/>
              <w:right w:val="nil"/>
            </w:tcBorders>
            <w:tcMar>
              <w:top w:w="0" w:type="dxa"/>
              <w:left w:w="62" w:type="dxa"/>
              <w:bottom w:w="0" w:type="dxa"/>
              <w:right w:w="62" w:type="dxa"/>
            </w:tcMar>
          </w:tcPr>
          <w:p w:rsidR="00000000" w:rsidRPr="00DF37AC" w:rsidP="00DF37AC">
            <w:pPr>
              <w:pStyle w:val="ListBullet"/>
            </w:pPr>
            <w:r w:rsidRPr="00DF37AC">
              <w:t>An applicable style guide</w:t>
            </w:r>
          </w:p>
          <w:p w:rsidR="00000000" w:rsidRPr="00DF37AC" w:rsidP="00DF37AC">
            <w:pPr>
              <w:pStyle w:val="ListBullet"/>
            </w:pPr>
            <w:r w:rsidRPr="00DF37AC">
              <w:t>Contract requirements</w:t>
            </w:r>
          </w:p>
          <w:p w:rsidR="00000000" w:rsidP="00DF37AC">
            <w:pPr>
              <w:pStyle w:val="ListBullet"/>
              <w:rPr>
                <w:lang w:val="en-NZ"/>
              </w:rPr>
            </w:pPr>
            <w:r w:rsidRPr="00DF37AC">
              <w:t>Industry standards and specifications</w:t>
            </w:r>
          </w:p>
        </w:tc>
      </w:tr>
      <w:tr w:rsidTr="00DF37AC">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DF37AC">
            <w:pPr>
              <w:pStyle w:val="BodyText"/>
              <w:rPr>
                <w:lang w:val="en-NZ"/>
              </w:rPr>
            </w:pPr>
            <w:r w:rsidRPr="00DF37AC">
              <w:rPr>
                <w:rStyle w:val="SpecialBold"/>
              </w:rPr>
              <w:t xml:space="preserve">Relevant data sources </w:t>
            </w:r>
            <w:r w:rsidRPr="00DF37AC">
              <w:rPr>
                <w:rStyle w:val="SpecialBold"/>
              </w:rPr>
              <w:t>include:</w:t>
            </w:r>
          </w:p>
        </w:tc>
        <w:tc>
          <w:tcPr>
            <w:tcW w:w="6102" w:type="dxa"/>
            <w:tcBorders>
              <w:top w:val="nil"/>
              <w:left w:val="nil"/>
              <w:bottom w:val="nil"/>
              <w:right w:val="nil"/>
            </w:tcBorders>
            <w:tcMar>
              <w:top w:w="0" w:type="dxa"/>
              <w:left w:w="62" w:type="dxa"/>
              <w:bottom w:w="0" w:type="dxa"/>
              <w:right w:w="62" w:type="dxa"/>
            </w:tcMar>
          </w:tcPr>
          <w:p w:rsidR="00000000" w:rsidRPr="00DF37AC" w:rsidP="00DF37AC">
            <w:pPr>
              <w:pStyle w:val="ListBullet"/>
            </w:pPr>
            <w:r w:rsidRPr="00DF37AC">
              <w:t>Design and production data and drawings</w:t>
            </w:r>
          </w:p>
          <w:p w:rsidR="00000000" w:rsidRPr="00DF37AC" w:rsidP="00DF37AC">
            <w:pPr>
              <w:pStyle w:val="ListBullet"/>
            </w:pPr>
            <w:r w:rsidRPr="00DF37AC">
              <w:t>Parts and materials listings</w:t>
            </w:r>
          </w:p>
          <w:p w:rsidR="00000000" w:rsidRPr="00DF37AC" w:rsidP="00DF37AC">
            <w:pPr>
              <w:pStyle w:val="ListBullet"/>
            </w:pPr>
            <w:r w:rsidRPr="00DF37AC">
              <w:t>Operating procedure documentation</w:t>
            </w:r>
          </w:p>
          <w:p w:rsidR="00000000" w:rsidRPr="00DF37AC" w:rsidP="00DF37AC">
            <w:pPr>
              <w:pStyle w:val="ListBullet"/>
            </w:pPr>
            <w:r w:rsidRPr="00DF37AC">
              <w:t>Maintenance schedules</w:t>
            </w:r>
          </w:p>
          <w:p w:rsidR="00000000" w:rsidRPr="00DF37AC" w:rsidP="00DF37AC">
            <w:pPr>
              <w:pStyle w:val="ListBullet"/>
            </w:pPr>
            <w:r w:rsidRPr="00DF37AC">
              <w:t>Modification instructions and service bulletins</w:t>
            </w:r>
          </w:p>
          <w:p w:rsidR="00000000" w:rsidRPr="00DF37AC" w:rsidP="00DF37AC">
            <w:pPr>
              <w:pStyle w:val="ListBullet"/>
            </w:pPr>
            <w:r w:rsidRPr="00DF37AC">
              <w:t>Manufacturer’s and trade catalogues</w:t>
            </w:r>
          </w:p>
          <w:p w:rsidR="00000000" w:rsidP="00DF37AC">
            <w:pPr>
              <w:pStyle w:val="ListBullet"/>
              <w:rPr>
                <w:lang w:val="en-NZ"/>
              </w:rPr>
            </w:pPr>
            <w:r w:rsidRPr="00DF37AC">
              <w:t>Relevant legislation and regulations</w:t>
            </w:r>
          </w:p>
        </w:tc>
      </w:tr>
      <w:tr w:rsidTr="00DF37AC">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DF37AC">
            <w:pPr>
              <w:pStyle w:val="BodyText"/>
              <w:rPr>
                <w:lang w:val="en-NZ"/>
              </w:rPr>
            </w:pPr>
            <w:r w:rsidRPr="00DF37AC">
              <w:rPr>
                <w:rStyle w:val="SpecialBold"/>
              </w:rPr>
              <w:t>Relevant experts include:</w:t>
            </w:r>
          </w:p>
        </w:tc>
        <w:tc>
          <w:tcPr>
            <w:tcW w:w="6102" w:type="dxa"/>
            <w:tcBorders>
              <w:top w:val="nil"/>
              <w:left w:val="nil"/>
              <w:bottom w:val="nil"/>
              <w:right w:val="nil"/>
            </w:tcBorders>
            <w:tcMar>
              <w:top w:w="0" w:type="dxa"/>
              <w:left w:w="62" w:type="dxa"/>
              <w:bottom w:w="0" w:type="dxa"/>
              <w:right w:w="62" w:type="dxa"/>
            </w:tcMar>
          </w:tcPr>
          <w:p w:rsidR="00000000" w:rsidRPr="00DF37AC" w:rsidP="00DF37AC">
            <w:pPr>
              <w:pStyle w:val="ListBullet"/>
            </w:pPr>
            <w:r w:rsidRPr="00DF37AC">
              <w:t>The client</w:t>
            </w:r>
          </w:p>
          <w:p w:rsidR="00000000" w:rsidRPr="00DF37AC" w:rsidP="00DF37AC">
            <w:pPr>
              <w:pStyle w:val="ListBullet"/>
            </w:pPr>
            <w:r w:rsidRPr="00DF37AC">
              <w:t>Design engineers and staff</w:t>
            </w:r>
          </w:p>
          <w:p w:rsidR="00000000" w:rsidRPr="00DF37AC" w:rsidP="00DF37AC">
            <w:pPr>
              <w:pStyle w:val="ListBullet"/>
            </w:pPr>
            <w:r w:rsidRPr="00DF37AC">
              <w:t>Productio</w:t>
            </w:r>
            <w:r w:rsidRPr="00DF37AC">
              <w:t>n staff</w:t>
            </w:r>
          </w:p>
          <w:p w:rsidR="00000000" w:rsidRPr="00DF37AC" w:rsidP="00DF37AC">
            <w:pPr>
              <w:pStyle w:val="ListBullet"/>
            </w:pPr>
            <w:r w:rsidRPr="00DF37AC">
              <w:t>Component and material suppliers</w:t>
            </w:r>
          </w:p>
          <w:p w:rsidR="00000000" w:rsidRPr="00DF37AC" w:rsidP="00DF37AC">
            <w:pPr>
              <w:pStyle w:val="ListBullet"/>
            </w:pPr>
            <w:r w:rsidRPr="00DF37AC">
              <w:t>Regulator representatives</w:t>
            </w:r>
          </w:p>
        </w:tc>
      </w:tr>
    </w:tbl>
    <w:p w:rsidR="00000000" w:rsidRPr="00DF37AC" w:rsidP="00DF37AC">
      <w:pPr>
        <w:pStyle w:val="BodyText"/>
      </w:pPr>
    </w:p>
    <w:p w:rsidR="00000000" w:rsidRPr="00DF37AC" w:rsidP="00DF37AC">
      <w:pPr>
        <w:pStyle w:val="AllowPageBreak"/>
      </w:pPr>
    </w:p>
    <w:p w:rsidR="00000000" w:rsidRPr="00DF37AC" w:rsidP="00DF37AC">
      <w:pPr>
        <w:pStyle w:val="Heading1"/>
      </w:pPr>
      <w:bookmarkStart w:id="9" w:name="O_719385"/>
      <w:bookmarkEnd w:id="9"/>
      <w:r w:rsidRPr="00DF37AC">
        <w:t>Unit Mapping Information</w:t>
      </w:r>
    </w:p>
    <w:p w:rsidR="00000000" w:rsidRPr="00DF37AC" w:rsidP="00A8210E">
      <w:pPr>
        <w:pStyle w:val="BodyText"/>
      </w:pPr>
      <w:r w:rsidRPr="00DF37AC">
        <w:t>Release 1 – equivalent to MEA137A Write aviation technical publications</w:t>
      </w:r>
    </w:p>
    <w:p w:rsidR="00000000" w:rsidRPr="00DF37AC" w:rsidP="00DF37AC">
      <w:pPr>
        <w:pStyle w:val="Heading1"/>
      </w:pPr>
      <w:bookmarkStart w:id="10" w:name="O_719378"/>
      <w:bookmarkEnd w:id="10"/>
      <w:r w:rsidRPr="00DF37AC">
        <w:t>Links</w:t>
      </w:r>
    </w:p>
    <w:p w:rsidR="00000000" w:rsidRPr="00DF37AC" w:rsidP="00A8210E">
      <w:pPr>
        <w:pStyle w:val="BodyText"/>
      </w:pPr>
      <w:r w:rsidRPr="00DF37AC">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9A6428">
        <w:rPr>
          <w:rStyle w:val="Hyperlink"/>
        </w:rPr>
        <w:t>https://vetnet.gov.au/Pages/TrainingDocs.aspx?q=ce216c9c-04d5-4b3b-9bcf-4e81d0950371</w:t>
      </w:r>
      <w:r>
        <w:fldChar w:fldCharType="end"/>
      </w:r>
    </w:p>
    <w:p w:rsidR="00000000" w:rsidRPr="00DF37AC" w:rsidP="00A8210E">
      <w:pPr>
        <w:pStyle w:val="BodyText"/>
        <w:sectPr w:rsidSect="00DF37AC">
          <w:headerReference w:type="default" r:id="rId10"/>
          <w:footerReference w:type="default" r:id="rId11"/>
          <w:pgSz w:w="11908" w:h="16833"/>
          <w:pgMar w:top="1702" w:right="1418" w:bottom="1702" w:left="1418" w:header="992" w:footer="992" w:gutter="0"/>
          <w:cols w:space="720"/>
          <w:noEndnote/>
          <w:docGrid w:linePitch="299"/>
        </w:sectPr>
      </w:pPr>
    </w:p>
    <w:p w:rsidR="00000000" w:rsidRPr="00DF37AC" w:rsidP="00DF37AC">
      <w:pPr>
        <w:pStyle w:val="SuperHeading"/>
      </w:pPr>
      <w:r w:rsidRPr="00DF37AC">
        <w:t>Assessment Requirements for MEA137 Write aviation technical pub</w:t>
      </w:r>
      <w:r w:rsidRPr="00DF37AC">
        <w:t>lications</w:t>
      </w:r>
    </w:p>
    <w:p w:rsidR="00000000" w:rsidRPr="00DF37AC" w:rsidP="00DF37AC">
      <w:pPr>
        <w:pStyle w:val="Heading1"/>
      </w:pPr>
      <w:bookmarkStart w:id="11" w:name="O_719380"/>
      <w:bookmarkEnd w:id="11"/>
      <w:r w:rsidRPr="00DF37AC">
        <w:t>Modification History</w:t>
      </w:r>
    </w:p>
    <w:p w:rsidR="00000000" w:rsidRPr="00DF37AC" w:rsidP="00A8210E">
      <w:pPr>
        <w:pStyle w:val="BodyText"/>
      </w:pPr>
      <w:r w:rsidRPr="00DF37AC">
        <w:t>Release 1 - New unit of competency</w:t>
      </w:r>
    </w:p>
    <w:p w:rsidR="00000000" w:rsidRPr="00DF37AC" w:rsidP="00DF37AC">
      <w:pPr>
        <w:pStyle w:val="Heading1"/>
      </w:pPr>
      <w:bookmarkStart w:id="12" w:name="O_719383"/>
      <w:bookmarkEnd w:id="12"/>
      <w:r w:rsidRPr="00DF37AC">
        <w:t>Performance Evidence</w:t>
      </w:r>
    </w:p>
    <w:p w:rsidR="00000000" w:rsidRPr="00DF37AC" w:rsidP="00A8210E">
      <w:pPr>
        <w:pStyle w:val="BodyText"/>
      </w:pPr>
      <w:r w:rsidRPr="00DF37AC">
        <w:t>Evidence required to demonstrate competency in this unit must be relevant to and satisfy all of the requirements of the elements and per</w:t>
      </w:r>
      <w:r w:rsidRPr="00DF37AC">
        <w:t>formance criteria at least once under the specified conditions of assessment.</w:t>
      </w:r>
    </w:p>
    <w:p w:rsidR="00000000" w:rsidRPr="00DF37AC" w:rsidP="00A8210E">
      <w:pPr>
        <w:pStyle w:val="BodyText"/>
      </w:pPr>
      <w:r w:rsidRPr="00DF37AC">
        <w:t>Evidence must be provided that the candidate can:</w:t>
      </w:r>
    </w:p>
    <w:p w:rsidR="00000000" w:rsidRPr="00DF37AC" w:rsidP="00DF37AC">
      <w:pPr>
        <w:pStyle w:val="ListBullet"/>
      </w:pPr>
      <w:r w:rsidRPr="00DF37AC">
        <w:t>undertake research</w:t>
      </w:r>
    </w:p>
    <w:p w:rsidR="00000000" w:rsidRPr="00DF37AC" w:rsidP="00DF37AC">
      <w:pPr>
        <w:pStyle w:val="ListBullet"/>
      </w:pPr>
      <w:r w:rsidRPr="00DF37AC">
        <w:t>utilise applicable documentation standards and style manuals</w:t>
      </w:r>
    </w:p>
    <w:p w:rsidR="00000000" w:rsidRPr="00DF37AC" w:rsidP="00DF37AC">
      <w:pPr>
        <w:pStyle w:val="ListBullet"/>
      </w:pPr>
      <w:r w:rsidRPr="00DF37AC">
        <w:t>communicate orally</w:t>
      </w:r>
    </w:p>
    <w:p w:rsidR="00000000" w:rsidRPr="00DF37AC" w:rsidP="00DF37AC">
      <w:pPr>
        <w:pStyle w:val="ListBullet"/>
      </w:pPr>
      <w:r w:rsidRPr="00DF37AC">
        <w:t>produce written communicatio</w:t>
      </w:r>
      <w:r w:rsidRPr="00DF37AC">
        <w:t>ns to the required level</w:t>
      </w:r>
    </w:p>
    <w:p w:rsidR="00000000" w:rsidRPr="00DF37AC" w:rsidP="00DF37AC">
      <w:pPr>
        <w:pStyle w:val="ListBullet"/>
      </w:pPr>
      <w:r w:rsidRPr="00DF37AC">
        <w:t>undertake problem solving</w:t>
      </w:r>
    </w:p>
    <w:p w:rsidR="00A8210E" w:rsidP="00DF37AC">
      <w:pPr>
        <w:pStyle w:val="ListBullet"/>
      </w:pPr>
      <w:r w:rsidRPr="00DF37AC">
        <w:t>use word processing software and graphics packages to produce draft technical publications.</w:t>
      </w:r>
    </w:p>
    <w:p w:rsidR="00A8210E" w:rsidP="00DF37AC">
      <w:pPr>
        <w:pStyle w:val="ListBullet"/>
      </w:pPr>
    </w:p>
    <w:p w:rsidR="00000000" w:rsidRPr="00DF37AC" w:rsidP="00DF37AC">
      <w:pPr>
        <w:pStyle w:val="Heading1"/>
      </w:pPr>
      <w:bookmarkStart w:id="13" w:name="O_719382"/>
      <w:bookmarkEnd w:id="13"/>
      <w:r w:rsidRPr="00DF37AC">
        <w:t>Knowledge Evidence</w:t>
      </w:r>
    </w:p>
    <w:p w:rsidR="00000000" w:rsidRPr="00DF37AC" w:rsidP="00A8210E">
      <w:pPr>
        <w:pStyle w:val="BodyText"/>
      </w:pPr>
      <w:r w:rsidRPr="00DF37AC">
        <w:t>Evidence required to demonstrate competency in this unit must be relevant to and satisfy all of the requirements of the elements and performance criteria and include knowledge of:</w:t>
      </w:r>
    </w:p>
    <w:p w:rsidR="00000000" w:rsidRPr="00DF37AC" w:rsidP="00DF37AC">
      <w:pPr>
        <w:pStyle w:val="ListBullet"/>
      </w:pPr>
      <w:r w:rsidRPr="00DF37AC">
        <w:t>word processing and graphics packages used for technical publication and pu</w:t>
      </w:r>
      <w:r w:rsidRPr="00DF37AC">
        <w:t>blication amendment drafting</w:t>
      </w:r>
    </w:p>
    <w:p w:rsidR="00000000" w:rsidRPr="00DF37AC" w:rsidP="00DF37AC">
      <w:pPr>
        <w:pStyle w:val="ListBullet"/>
      </w:pPr>
      <w:r w:rsidRPr="00DF37AC">
        <w:t>publication writing conventions, standards and specifications</w:t>
      </w:r>
    </w:p>
    <w:p w:rsidR="00000000" w:rsidRPr="00DF37AC" w:rsidP="00DF37AC">
      <w:pPr>
        <w:pStyle w:val="ListBullet"/>
      </w:pPr>
      <w:r w:rsidRPr="00DF37AC">
        <w:t>the use of style guides</w:t>
      </w:r>
    </w:p>
    <w:p w:rsidR="00000000" w:rsidRPr="00DF37AC" w:rsidP="00DF37AC">
      <w:pPr>
        <w:pStyle w:val="ListBullet"/>
      </w:pPr>
      <w:r w:rsidRPr="00DF37AC">
        <w:t>illustration techniques</w:t>
      </w:r>
    </w:p>
    <w:p w:rsidR="00000000" w:rsidRPr="00DF37AC" w:rsidP="00DF37AC">
      <w:pPr>
        <w:pStyle w:val="ListBullet"/>
      </w:pPr>
      <w:r w:rsidRPr="00DF37AC">
        <w:t>reading of engineering drawings, including:</w:t>
      </w:r>
    </w:p>
    <w:p w:rsidR="00000000" w:rsidRPr="00DF37AC" w:rsidP="00DF37AC">
      <w:pPr>
        <w:pStyle w:val="ListBullet2"/>
      </w:pPr>
      <w:r w:rsidRPr="00DF37AC">
        <w:t>standard drawing sheets and drawing layouts</w:t>
      </w:r>
    </w:p>
    <w:p w:rsidR="00000000" w:rsidRPr="00DF37AC" w:rsidP="00DF37AC">
      <w:pPr>
        <w:pStyle w:val="ListBullet2"/>
      </w:pPr>
      <w:r w:rsidRPr="00DF37AC">
        <w:t>types of drawing</w:t>
      </w:r>
    </w:p>
    <w:p w:rsidR="00000000" w:rsidRPr="00DF37AC" w:rsidP="00DF37AC">
      <w:pPr>
        <w:pStyle w:val="ListBullet2"/>
      </w:pPr>
      <w:r w:rsidRPr="00DF37AC">
        <w:t>engineering standards and specifications</w:t>
      </w:r>
    </w:p>
    <w:p w:rsidR="00000000" w:rsidRPr="00DF37AC" w:rsidP="00DF37AC">
      <w:pPr>
        <w:pStyle w:val="ListBullet2"/>
      </w:pPr>
      <w:r w:rsidRPr="00DF37AC">
        <w:t>technical terms and abbreviations</w:t>
      </w:r>
    </w:p>
    <w:p w:rsidR="00000000" w:rsidRPr="00DF37AC" w:rsidP="00DF37AC">
      <w:pPr>
        <w:pStyle w:val="ListBullet2"/>
      </w:pPr>
      <w:r w:rsidRPr="00DF37AC">
        <w:t>sectioned views</w:t>
      </w:r>
    </w:p>
    <w:p w:rsidR="00000000" w:rsidRPr="00DF37AC" w:rsidP="00DF37AC">
      <w:pPr>
        <w:pStyle w:val="ListBullet2"/>
      </w:pPr>
      <w:r w:rsidRPr="00DF37AC">
        <w:t>dimensioning</w:t>
      </w:r>
    </w:p>
    <w:p w:rsidR="00000000" w:rsidRPr="00DF37AC" w:rsidP="00DF37AC">
      <w:pPr>
        <w:pStyle w:val="ListBullet2"/>
      </w:pPr>
      <w:r w:rsidRPr="00DF37AC">
        <w:t>tolerancing of dimensions</w:t>
      </w:r>
    </w:p>
    <w:p w:rsidR="00000000" w:rsidRPr="00DF37AC" w:rsidP="00DF37AC">
      <w:pPr>
        <w:pStyle w:val="ListBullet2"/>
      </w:pPr>
      <w:r w:rsidRPr="00DF37AC">
        <w:t>types of fit</w:t>
      </w:r>
    </w:p>
    <w:p w:rsidR="00000000" w:rsidRPr="00DF37AC" w:rsidP="00DF37AC">
      <w:pPr>
        <w:pStyle w:val="ListBullet2"/>
      </w:pPr>
      <w:r w:rsidRPr="00DF37AC">
        <w:t>aircraft standard hardware</w:t>
      </w:r>
    </w:p>
    <w:p w:rsidR="00000000" w:rsidRPr="00DF37AC" w:rsidP="00DF37AC">
      <w:pPr>
        <w:pStyle w:val="ListBullet2"/>
      </w:pPr>
      <w:r w:rsidRPr="00DF37AC">
        <w:t>screw threads</w:t>
      </w:r>
    </w:p>
    <w:p w:rsidR="00000000" w:rsidRPr="00DF37AC" w:rsidP="00DF37AC">
      <w:pPr>
        <w:pStyle w:val="ListBullet2"/>
      </w:pPr>
      <w:r w:rsidRPr="00DF37AC">
        <w:t>threaded components and washers</w:t>
      </w:r>
    </w:p>
    <w:p w:rsidR="00000000" w:rsidRPr="00DF37AC" w:rsidP="00DF37AC">
      <w:pPr>
        <w:pStyle w:val="ListBullet2"/>
      </w:pPr>
      <w:r w:rsidRPr="00DF37AC">
        <w:t>locking devices</w:t>
      </w:r>
    </w:p>
    <w:p w:rsidR="00000000" w:rsidRPr="00DF37AC" w:rsidP="00DF37AC">
      <w:pPr>
        <w:pStyle w:val="ListBullet2"/>
      </w:pPr>
      <w:r w:rsidRPr="00DF37AC">
        <w:t>rivets</w:t>
      </w:r>
    </w:p>
    <w:p w:rsidR="00000000" w:rsidRPr="00DF37AC" w:rsidP="00DF37AC">
      <w:pPr>
        <w:pStyle w:val="ListBullet2"/>
      </w:pPr>
      <w:r w:rsidRPr="00DF37AC">
        <w:t>special structura</w:t>
      </w:r>
      <w:r w:rsidRPr="00DF37AC">
        <w:t>l fasteners</w:t>
      </w:r>
    </w:p>
    <w:p w:rsidR="00000000" w:rsidRPr="00DF37AC" w:rsidP="00DF37AC">
      <w:pPr>
        <w:pStyle w:val="ListBullet2"/>
      </w:pPr>
      <w:r w:rsidRPr="00DF37AC">
        <w:t>spur gears</w:t>
      </w:r>
    </w:p>
    <w:p w:rsidR="00000000" w:rsidRPr="00DF37AC" w:rsidP="00DF37AC">
      <w:pPr>
        <w:pStyle w:val="ListBullet2"/>
      </w:pPr>
      <w:r w:rsidRPr="00DF37AC">
        <w:t>welding symbols and geometry tolerancing</w:t>
      </w:r>
    </w:p>
    <w:p w:rsidR="00000000" w:rsidRPr="00DF37AC" w:rsidP="00DF37AC">
      <w:pPr>
        <w:pStyle w:val="ListBullet2"/>
      </w:pPr>
      <w:r w:rsidRPr="00DF37AC">
        <w:t>surface texture</w:t>
      </w:r>
    </w:p>
    <w:p w:rsidR="00000000" w:rsidRPr="00DF37AC" w:rsidP="00DF37AC">
      <w:pPr>
        <w:pStyle w:val="ListBullet2"/>
      </w:pPr>
      <w:r w:rsidRPr="00DF37AC">
        <w:t>material specifications and metal surface treatment</w:t>
      </w:r>
    </w:p>
    <w:p w:rsidR="00000000" w:rsidRPr="00DF37AC" w:rsidP="00DF37AC">
      <w:pPr>
        <w:pStyle w:val="ListBullet"/>
      </w:pPr>
      <w:r w:rsidRPr="00DF37AC">
        <w:t>reading of electrical and electronic circuits and wiring diagrams</w:t>
      </w:r>
    </w:p>
    <w:p w:rsidR="00000000" w:rsidRPr="00DF37AC" w:rsidP="00DF37AC">
      <w:pPr>
        <w:pStyle w:val="ListBullet"/>
      </w:pPr>
      <w:r w:rsidRPr="00DF37AC">
        <w:t>development of system schematics</w:t>
      </w:r>
    </w:p>
    <w:p w:rsidR="00000000" w:rsidRPr="00DF37AC" w:rsidP="00DF37AC">
      <w:pPr>
        <w:pStyle w:val="ListBullet"/>
      </w:pPr>
      <w:r w:rsidRPr="00DF37AC">
        <w:t>development of block diagrams</w:t>
      </w:r>
    </w:p>
    <w:p w:rsidR="00000000" w:rsidRPr="00DF37AC" w:rsidP="00DF37AC">
      <w:pPr>
        <w:pStyle w:val="ListBullet"/>
      </w:pPr>
      <w:r w:rsidRPr="00DF37AC">
        <w:t>sketching</w:t>
      </w:r>
    </w:p>
    <w:p w:rsidR="00000000" w:rsidRPr="00DF37AC" w:rsidP="00DF37AC">
      <w:pPr>
        <w:pStyle w:val="ListBullet"/>
      </w:pPr>
      <w:r w:rsidRPr="00DF37AC">
        <w:t>use and development of logic charts</w:t>
      </w:r>
    </w:p>
    <w:p w:rsidR="00000000" w:rsidRPr="00DF37AC" w:rsidP="00DF37AC">
      <w:pPr>
        <w:pStyle w:val="ListBullet"/>
      </w:pPr>
      <w:r w:rsidRPr="00DF37AC">
        <w:t>development of fault diagnosis guides</w:t>
      </w:r>
    </w:p>
    <w:p w:rsidR="00000000" w:rsidRPr="00DF37AC" w:rsidP="00DF37AC">
      <w:pPr>
        <w:pStyle w:val="ListBullet"/>
      </w:pPr>
      <w:r w:rsidRPr="00DF37AC">
        <w:t>the preparation of illustrators’ briefs</w:t>
      </w:r>
    </w:p>
    <w:p w:rsidR="00000000" w:rsidRPr="00DF37AC" w:rsidP="00DF37AC">
      <w:pPr>
        <w:pStyle w:val="ListBullet"/>
      </w:pPr>
      <w:r w:rsidRPr="00DF37AC">
        <w:t>the preparation of indexes to publication contents</w:t>
      </w:r>
    </w:p>
    <w:p w:rsidR="00000000" w:rsidRPr="00DF37AC" w:rsidP="00DF37AC">
      <w:pPr>
        <w:pStyle w:val="ListBullet"/>
      </w:pPr>
      <w:r w:rsidRPr="00DF37AC">
        <w:t>problem solving methodology</w:t>
      </w:r>
    </w:p>
    <w:p w:rsidR="00000000" w:rsidRPr="00DF37AC" w:rsidP="00DF37AC">
      <w:pPr>
        <w:pStyle w:val="ListBullet"/>
      </w:pPr>
      <w:r w:rsidRPr="00DF37AC">
        <w:t>regulations relating to</w:t>
      </w:r>
      <w:r w:rsidRPr="00DF37AC">
        <w:t xml:space="preserve"> technical publications</w:t>
      </w:r>
    </w:p>
    <w:p w:rsidR="00000000" w:rsidRPr="00DF37AC" w:rsidP="00DF37AC">
      <w:pPr>
        <w:pStyle w:val="ListBullet"/>
      </w:pPr>
      <w:r w:rsidRPr="00DF37AC">
        <w:t>work health and safety (WHS) legislation</w:t>
      </w:r>
    </w:p>
    <w:p w:rsidR="00000000" w:rsidRPr="00DF37AC" w:rsidP="00DF37AC">
      <w:pPr>
        <w:pStyle w:val="ListBullet"/>
      </w:pPr>
      <w:r w:rsidRPr="00DF37AC">
        <w:t>for print-based publications, procedures for processing drafts through desktop publishing to printing, binding and distribution</w:t>
      </w:r>
    </w:p>
    <w:p w:rsidR="00000000" w:rsidRPr="00DF37AC" w:rsidP="00DF37AC">
      <w:pPr>
        <w:pStyle w:val="ListBullet"/>
      </w:pPr>
      <w:r w:rsidRPr="00DF37AC">
        <w:t>for electronic format publications, the principles for publicat</w:t>
      </w:r>
      <w:r w:rsidRPr="00DF37AC">
        <w:t>ion database systems and the development of input data</w:t>
      </w:r>
    </w:p>
    <w:p w:rsidR="00000000" w:rsidRPr="00DF37AC" w:rsidP="00DF37AC">
      <w:pPr>
        <w:pStyle w:val="ListBullet"/>
      </w:pPr>
      <w:r w:rsidRPr="00DF37AC">
        <w:t>requirements for, and methods of, maintaining publication records.</w:t>
      </w:r>
    </w:p>
    <w:p w:rsidR="00000000" w:rsidRPr="00DF37AC" w:rsidP="00DF37AC">
      <w:pPr>
        <w:pStyle w:val="AllowPageBreak"/>
      </w:pPr>
    </w:p>
    <w:p w:rsidR="00000000" w:rsidRPr="00DF37AC" w:rsidP="00DF37AC">
      <w:pPr>
        <w:pStyle w:val="Heading1"/>
      </w:pPr>
      <w:bookmarkStart w:id="14" w:name="O_719381"/>
      <w:bookmarkEnd w:id="14"/>
      <w:r w:rsidRPr="00DF37AC">
        <w:t>Assessment Conditions</w:t>
      </w:r>
    </w:p>
    <w:p w:rsidR="00000000" w:rsidRPr="00DF37AC" w:rsidP="00DF37AC">
      <w:pPr>
        <w:pStyle w:val="ListBullet"/>
      </w:pPr>
      <w:r w:rsidRPr="00DF37AC">
        <w:t xml:space="preserve">This unit may be assessed on the job, off the job or a combination of both on and off the job. Where assessment occurs off the job, that is, the candidate is not in productive work, an appropriate simulation must be used where the elements and performance </w:t>
      </w:r>
      <w:r w:rsidRPr="00DF37AC">
        <w:t xml:space="preserve">criteria are fully covered across the range of conditions in the simulation scenarios. </w:t>
      </w:r>
    </w:p>
    <w:p w:rsidR="00000000" w:rsidRPr="00DF37AC" w:rsidP="00DF37AC">
      <w:pPr>
        <w:pStyle w:val="ListBullet"/>
      </w:pPr>
      <w:r w:rsidRPr="00DF37AC">
        <w:t>The candidate must have access to all tools, equipment, materials and documentation required and must be permitted to refer to any relevant workplace procedures, produc</w:t>
      </w:r>
      <w:r w:rsidRPr="00DF37AC">
        <w:t>t and manufacturing specifications, codes, standards, manuals and reference materials. The assessment environment should not disadvantage the candidate.</w:t>
      </w:r>
    </w:p>
    <w:p w:rsidR="00000000" w:rsidRPr="00DF37AC" w:rsidP="00DF37AC">
      <w:pPr>
        <w:pStyle w:val="ListBullet"/>
      </w:pPr>
      <w:r w:rsidRPr="00DF37AC">
        <w:t>Assessors must be satisfied that the candidate can competently and consistently perform all elements of</w:t>
      </w:r>
      <w:r w:rsidRPr="00DF37AC">
        <w:t xml:space="preserve"> the unit as specified by the criteria, including required knowledge, and be capable of applying the competency in new and different situations and contexts.</w:t>
      </w:r>
    </w:p>
    <w:p w:rsidR="00000000" w:rsidRPr="00DF37AC" w:rsidP="00DF37AC">
      <w:pPr>
        <w:pStyle w:val="ListBullet"/>
      </w:pPr>
      <w:r w:rsidRPr="00DF37AC">
        <w:t>Assessors should gather a range of evidence that is valid, sufficient, current and authentic. Evid</w:t>
      </w:r>
      <w:r w:rsidRPr="00DF37AC">
        <w:t>ence can be gathered through a variety of ways, including direct observation, supervisor’s reports, project work, samples and questioning. Questioning techniques should not require language, literacy and numeracy skills beyond those required in this unit o</w:t>
      </w:r>
      <w:r w:rsidRPr="00DF37AC">
        <w:t>f competency.</w:t>
      </w:r>
    </w:p>
    <w:p w:rsidR="00000000" w:rsidRPr="00DF37AC" w:rsidP="00DF37AC">
      <w:pPr>
        <w:pStyle w:val="ListBullet"/>
      </w:pPr>
      <w:r w:rsidRPr="00DF37AC">
        <w:t>Assessors should gather a range of evidence that is valid, sufficient, current and authentic. The preferred method is the records in the Maintenance Management Competency Log. Where the individual does not have a Competency Log evidence can b</w:t>
      </w:r>
      <w:r w:rsidRPr="00DF37AC">
        <w:t>e gathered through a variety of ways, including direct observation, supervisor’s reports, project work, samples and questioning. Questioning techniques should not require language, literacy and numeracy skills beyond those required in this unit of competen</w:t>
      </w:r>
      <w:r w:rsidRPr="00DF37AC">
        <w:t>cy.</w:t>
      </w:r>
    </w:p>
    <w:p w:rsidR="00000000" w:rsidRPr="00DF37AC" w:rsidP="00DF37AC">
      <w:pPr>
        <w:pStyle w:val="ListBullet"/>
      </w:pPr>
      <w:r w:rsidRPr="00DF37AC">
        <w:t>Assessors must satisfy the requirements of the National Vocational Education and Training Regulator (Australian Skills Quality Authority, or its successors).</w:t>
      </w:r>
    </w:p>
    <w:p w:rsidR="00000000" w:rsidRPr="00DF37AC" w:rsidP="00DF37AC">
      <w:pPr>
        <w:pStyle w:val="AllowPageBreak"/>
      </w:pPr>
    </w:p>
    <w:p w:rsidR="00000000" w:rsidRPr="00DF37AC" w:rsidP="00DF37AC">
      <w:pPr>
        <w:pStyle w:val="Heading1"/>
      </w:pPr>
      <w:bookmarkStart w:id="15" w:name="O_719379"/>
      <w:bookmarkEnd w:id="15"/>
      <w:r w:rsidRPr="00DF37AC">
        <w:t>Links</w:t>
      </w:r>
    </w:p>
    <w:p w:rsidR="00000000" w:rsidRPr="00DF37AC" w:rsidP="00A8210E">
      <w:pPr>
        <w:pStyle w:val="BodyText"/>
      </w:pPr>
      <w:r w:rsidRPr="00DF37AC">
        <w:t>Companion Volume implementation guides are found in VETNe</w:t>
      </w:r>
      <w:r w:rsidRPr="00DF37AC">
        <w:t xml:space="preserve">t - </w:t>
      </w:r>
      <w:r>
        <w:fldChar w:fldCharType="begin"/>
      </w:r>
      <w:r>
        <w:instrText xml:space="preserve"> HYPERLINK "https://vetnet.gov.au/Pages/TrainingDocs.aspx?q=ce216c9c-04d5-4b3b-9bcf-4e81d0950371" </w:instrText>
      </w:r>
      <w:r>
        <w:fldChar w:fldCharType="separate"/>
      </w:r>
      <w:r w:rsidRPr="009A6428">
        <w:rPr>
          <w:rStyle w:val="Hyperlink"/>
        </w:rPr>
        <w:t>https://vetnet.gov.au/Pages/TrainingDocs.aspx?q=ce216c9c-04d5-4b3b-9bcf-4e81d0950371</w:t>
      </w:r>
      <w:r>
        <w:fldChar w:fldCharType="end"/>
      </w:r>
    </w:p>
    <w:p w:rsidR="00000000" w:rsidRPr="00DF37AC" w:rsidP="00DF37AC"/>
    <w:sectPr w:rsidSect="00DF37A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37A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37AC" w:rsidRPr="00A8210E" w:rsidP="00A8210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37A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210E" w:rsidP="00DF37A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8210E" w:rsidP="00DF37A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A8210E" w:rsidP="00DF37A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37AC" w:rsidP="00DF37AC">
    <w:pPr>
      <w:pStyle w:val="Footer"/>
      <w:framePr w:wrap="around"/>
    </w:pPr>
    <w:r>
      <w:fldChar w:fldCharType="begin"/>
    </w:r>
    <w:r>
      <w:instrText xml:space="preserve"> DOCPROPERTY  Subject  \* MERGEFORMAT </w:instrText>
    </w:r>
    <w:r>
      <w:fldChar w:fldCharType="separate"/>
    </w:r>
    <w:r w:rsidR="00A8210E">
      <w:t>Approved</w:t>
    </w:r>
    <w:r w:rsidR="00A8210E">
      <w:fldChar w:fldCharType="end"/>
    </w:r>
    <w:r>
      <w:tab/>
      <w:t xml:space="preserve">Page </w:t>
    </w:r>
    <w:r>
      <w:fldChar w:fldCharType="begin"/>
    </w:r>
    <w:r>
      <w:instrText xml:space="preserve"> PAGE  \* Arabic  \* MERGEFORMAT </w:instrText>
    </w:r>
    <w:r>
      <w:fldChar w:fldCharType="separate"/>
    </w:r>
    <w:r w:rsidR="00A8210E">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8210E">
      <w:rPr>
        <w:noProof/>
      </w:rPr>
      <w:t>4</w:t>
    </w:r>
    <w:r>
      <w:rPr>
        <w:noProof/>
      </w:rPr>
      <w:fldChar w:fldCharType="end"/>
    </w:r>
  </w:p>
  <w:p w:rsidR="00DF37AC" w:rsidP="00DF37AC">
    <w:pPr>
      <w:pStyle w:val="Footer"/>
      <w:framePr w:wrap="around"/>
    </w:pPr>
    <w:r>
      <w:t xml:space="preserve">© Commonwealth of Australia, </w:t>
    </w:r>
    <w:r>
      <w:fldChar w:fldCharType="begin"/>
    </w:r>
    <w:r>
      <w:instrText xml:space="preserve"> DATE  \@ "yyyy"  \* MERGEFORMAT </w:instrText>
    </w:r>
    <w:r>
      <w:fldChar w:fldCharType="separate"/>
    </w:r>
    <w:r w:rsidR="00A8210E">
      <w:rPr>
        <w:noProof/>
      </w:rPr>
      <w:t>2025</w:t>
    </w:r>
    <w:r>
      <w:fldChar w:fldCharType="end"/>
    </w:r>
    <w:r>
      <w:tab/>
    </w:r>
    <w:r>
      <w:fldChar w:fldCharType="begin"/>
    </w:r>
    <w:r>
      <w:instrText xml:space="preserve"> DOCPROPERTY  Author  \* MERGEFORMAT </w:instrText>
    </w:r>
    <w:r>
      <w:fldChar w:fldCharType="separate"/>
    </w:r>
    <w:r w:rsidR="00A8210E">
      <w:t>Manufacturing Industry Skills Alliance</w:t>
    </w:r>
    <w:r w:rsidR="00A8210E">
      <w:fldChar w:fldCharType="end"/>
    </w:r>
  </w:p>
  <w:p w:rsidR="00DF37AC" w:rsidP="00DF37A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37A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210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F37AC" w:rsidRPr="00A8210E" w:rsidP="00A8210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37A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210E" w:rsidRPr="002D2AF8" w:rsidP="00DF37AC">
    <w:pPr>
      <w:pStyle w:val="Header"/>
      <w:framePr w:wrap="around"/>
    </w:pPr>
    <w:r>
      <w:fldChar w:fldCharType="begin"/>
    </w:r>
    <w:r>
      <w:instrText xml:space="preserve"> TITLE   \* MERGEFORMAT </w:instrText>
    </w:r>
    <w:r>
      <w:fldChar w:fldCharType="separate"/>
    </w:r>
    <w:r>
      <w:t>MEA137 Write aviation technical publications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8210E" w:rsidP="00DF37A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37AC" w:rsidRPr="002D2AF8" w:rsidP="00DF37AC">
    <w:pPr>
      <w:pStyle w:val="Header"/>
      <w:framePr w:wrap="around"/>
    </w:pPr>
    <w:r>
      <w:fldChar w:fldCharType="begin"/>
    </w:r>
    <w:r>
      <w:instrText xml:space="preserve"> TITLE   \* MERGEFORMAT </w:instrText>
    </w:r>
    <w:r>
      <w:fldChar w:fldCharType="separate"/>
    </w:r>
    <w:r w:rsidR="00A8210E">
      <w:t>MEA137 Write aviation technical publications</w:t>
    </w:r>
    <w:r w:rsidR="00A8210E">
      <w:fldChar w:fldCharType="end"/>
    </w:r>
    <w:r>
      <w:tab/>
      <w:t xml:space="preserve">Date this document was generated: </w:t>
    </w:r>
    <w:r>
      <w:fldChar w:fldCharType="begin"/>
    </w:r>
    <w:r>
      <w:instrText xml:space="preserve"> CREATEDATE  \@ "d MMMM yyyy"  \* MERGEFORMAT </w:instrText>
    </w:r>
    <w:r>
      <w:fldChar w:fldCharType="separate"/>
    </w:r>
    <w:r w:rsidR="00A8210E">
      <w:rPr>
        <w:noProof/>
      </w:rPr>
      <w:t>2 March 2025</w:t>
    </w:r>
    <w:r>
      <w:fldChar w:fldCharType="end"/>
    </w:r>
  </w:p>
  <w:p w:rsidR="00DF37AC" w:rsidP="00DF37A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BA6C3D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BBAAF8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41E062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F37A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F37AC"/>
    <w:pPr>
      <w:spacing w:before="360" w:after="60"/>
      <w:outlineLvl w:val="0"/>
    </w:pPr>
    <w:rPr>
      <w:sz w:val="32"/>
    </w:rPr>
  </w:style>
  <w:style w:type="paragraph" w:styleId="Heading2">
    <w:name w:val="heading 2"/>
    <w:basedOn w:val="HeadingBase"/>
    <w:next w:val="BodyText"/>
    <w:link w:val="Heading2Char"/>
    <w:qFormat/>
    <w:rsid w:val="00DF37AC"/>
    <w:pPr>
      <w:keepLines/>
      <w:spacing w:before="240" w:after="120"/>
      <w:outlineLvl w:val="1"/>
    </w:pPr>
    <w:rPr>
      <w:sz w:val="28"/>
      <w:szCs w:val="40"/>
    </w:rPr>
  </w:style>
  <w:style w:type="paragraph" w:styleId="Heading3">
    <w:name w:val="heading 3"/>
    <w:basedOn w:val="HeadingBase"/>
    <w:next w:val="BodyText"/>
    <w:link w:val="Heading3Char"/>
    <w:qFormat/>
    <w:rsid w:val="00DF37AC"/>
    <w:pPr>
      <w:spacing w:before="180" w:after="120"/>
      <w:outlineLvl w:val="2"/>
    </w:pPr>
    <w:rPr>
      <w:spacing w:val="-10"/>
      <w:kern w:val="32"/>
    </w:rPr>
  </w:style>
  <w:style w:type="paragraph" w:styleId="Heading4">
    <w:name w:val="heading 4"/>
    <w:basedOn w:val="HeadingBase"/>
    <w:next w:val="BodyText"/>
    <w:link w:val="Heading4Char"/>
    <w:qFormat/>
    <w:rsid w:val="00DF37AC"/>
    <w:pPr>
      <w:spacing w:before="160" w:after="120"/>
      <w:outlineLvl w:val="3"/>
    </w:pPr>
    <w:rPr>
      <w:sz w:val="22"/>
    </w:rPr>
  </w:style>
  <w:style w:type="paragraph" w:styleId="Heading5">
    <w:name w:val="heading 5"/>
    <w:basedOn w:val="HeadingBase"/>
    <w:next w:val="Normal"/>
    <w:link w:val="Heading5Char"/>
    <w:qFormat/>
    <w:rsid w:val="00DF37AC"/>
    <w:pPr>
      <w:spacing w:before="80"/>
      <w:outlineLvl w:val="4"/>
    </w:pPr>
    <w:rPr>
      <w:color w:val="918585"/>
      <w:sz w:val="20"/>
    </w:rPr>
  </w:style>
  <w:style w:type="paragraph" w:styleId="Heading6">
    <w:name w:val="heading 6"/>
    <w:basedOn w:val="HeadingBase"/>
    <w:next w:val="Normal"/>
    <w:link w:val="Heading6Char"/>
    <w:qFormat/>
    <w:rsid w:val="00DF37AC"/>
    <w:pPr>
      <w:spacing w:before="60"/>
      <w:outlineLvl w:val="5"/>
    </w:pPr>
    <w:rPr>
      <w:color w:val="918585"/>
      <w:sz w:val="20"/>
    </w:rPr>
  </w:style>
  <w:style w:type="paragraph" w:styleId="Heading7">
    <w:name w:val="heading 7"/>
    <w:basedOn w:val="Normal"/>
    <w:next w:val="Normal"/>
    <w:link w:val="Heading7Char"/>
    <w:qFormat/>
    <w:rsid w:val="00DF37AC"/>
    <w:pPr>
      <w:ind w:left="720"/>
      <w:outlineLvl w:val="6"/>
    </w:pPr>
    <w:rPr>
      <w:i/>
    </w:rPr>
  </w:style>
  <w:style w:type="paragraph" w:styleId="Heading8">
    <w:name w:val="heading 8"/>
    <w:basedOn w:val="Normal"/>
    <w:next w:val="Normal"/>
    <w:link w:val="Heading8Char"/>
    <w:qFormat/>
    <w:rsid w:val="00DF37AC"/>
    <w:pPr>
      <w:ind w:left="720"/>
      <w:outlineLvl w:val="7"/>
    </w:pPr>
    <w:rPr>
      <w:i/>
    </w:rPr>
  </w:style>
  <w:style w:type="paragraph" w:styleId="Heading9">
    <w:name w:val="heading 9"/>
    <w:basedOn w:val="Normal"/>
    <w:next w:val="Normal"/>
    <w:link w:val="Heading9Char"/>
    <w:qFormat/>
    <w:rsid w:val="00DF37AC"/>
    <w:pPr>
      <w:ind w:left="720"/>
      <w:outlineLvl w:val="8"/>
    </w:pPr>
    <w:rPr>
      <w:i/>
    </w:rPr>
  </w:style>
  <w:style w:type="character" w:default="1" w:styleId="DefaultParagraphFont">
    <w:name w:val="Default Paragraph Font"/>
    <w:uiPriority w:val="1"/>
    <w:unhideWhenUsed/>
    <w:rsid w:val="00DF37A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F37AC"/>
  </w:style>
  <w:style w:type="character" w:customStyle="1" w:styleId="Heading1Char">
    <w:name w:val="Heading 1 Char"/>
    <w:basedOn w:val="DefaultParagraphFont"/>
    <w:link w:val="Heading1"/>
    <w:rsid w:val="00DF37AC"/>
    <w:rPr>
      <w:rFonts w:ascii="Times New Roman" w:eastAsia="Times New Roman" w:hAnsi="Times New Roman" w:cs="Times New Roman"/>
      <w:b/>
      <w:sz w:val="32"/>
      <w:szCs w:val="20"/>
      <w:lang w:eastAsia="en-US"/>
    </w:rPr>
  </w:style>
  <w:style w:type="paragraph" w:styleId="BodyText">
    <w:name w:val="Body Text"/>
    <w:basedOn w:val="Normal"/>
    <w:link w:val="BodyTextChar"/>
    <w:rsid w:val="00DF37A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F37AC"/>
    <w:rPr>
      <w:rFonts w:ascii="Times New Roman" w:eastAsia="Times New Roman" w:hAnsi="Times New Roman" w:cs="Times New Roman"/>
      <w:sz w:val="24"/>
      <w:lang w:eastAsia="en-US"/>
    </w:rPr>
  </w:style>
  <w:style w:type="paragraph" w:styleId="ListBullet">
    <w:name w:val="List Bullet"/>
    <w:basedOn w:val="List"/>
    <w:rsid w:val="00DF37AC"/>
    <w:pPr>
      <w:numPr>
        <w:numId w:val="12"/>
      </w:numPr>
      <w:tabs>
        <w:tab w:val="clear" w:pos="340"/>
      </w:tabs>
      <w:spacing w:before="40" w:after="40"/>
    </w:pPr>
  </w:style>
  <w:style w:type="character" w:customStyle="1" w:styleId="SpecialBold">
    <w:name w:val="Special Bold"/>
    <w:basedOn w:val="DefaultParagraphFont"/>
    <w:rsid w:val="00DF37AC"/>
    <w:rPr>
      <w:b/>
      <w:spacing w:val="0"/>
    </w:rPr>
  </w:style>
  <w:style w:type="paragraph" w:styleId="ListBullet2">
    <w:name w:val="List Bullet 2"/>
    <w:basedOn w:val="List2"/>
    <w:rsid w:val="00DF37AC"/>
    <w:pPr>
      <w:numPr>
        <w:numId w:val="13"/>
      </w:numPr>
      <w:tabs>
        <w:tab w:val="clear" w:pos="680"/>
      </w:tabs>
    </w:pPr>
  </w:style>
  <w:style w:type="paragraph" w:customStyle="1" w:styleId="SuperHeading">
    <w:name w:val="SuperHeading"/>
    <w:basedOn w:val="Normal"/>
    <w:rsid w:val="00DF37AC"/>
    <w:pPr>
      <w:spacing w:before="240" w:after="120"/>
      <w:outlineLvl w:val="0"/>
    </w:pPr>
    <w:rPr>
      <w:rFonts w:ascii="Times New Roman" w:hAnsi="Times New Roman"/>
      <w:b/>
      <w:sz w:val="32"/>
    </w:rPr>
  </w:style>
  <w:style w:type="paragraph" w:customStyle="1" w:styleId="AllowPageBreak">
    <w:name w:val="AllowPageBreak"/>
    <w:rsid w:val="00DF37A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F37A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F37A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F37A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F37A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F37A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F37A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F37A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F37AC"/>
    <w:rPr>
      <w:rFonts w:ascii="Courier New" w:eastAsia="Times New Roman" w:hAnsi="Courier New" w:cs="Times New Roman"/>
      <w:i/>
      <w:szCs w:val="20"/>
      <w:lang w:eastAsia="en-US"/>
    </w:rPr>
  </w:style>
  <w:style w:type="paragraph" w:customStyle="1" w:styleId="HeadingBase">
    <w:name w:val="Heading Base"/>
    <w:rsid w:val="00DF37A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F37AC"/>
    <w:pPr>
      <w:tabs>
        <w:tab w:val="right" w:leader="dot" w:pos="9072"/>
      </w:tabs>
      <w:ind w:left="567"/>
    </w:pPr>
    <w:rPr>
      <w:szCs w:val="22"/>
    </w:rPr>
  </w:style>
  <w:style w:type="paragraph" w:customStyle="1" w:styleId="TOCBase">
    <w:name w:val="TOC Base"/>
    <w:rsid w:val="00DF37A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F37AC"/>
    <w:pPr>
      <w:tabs>
        <w:tab w:val="right" w:leader="dot" w:pos="9072"/>
      </w:tabs>
      <w:spacing w:before="40" w:after="40"/>
      <w:ind w:left="284"/>
    </w:pPr>
    <w:rPr>
      <w:rFonts w:ascii="Times New Roman" w:hAnsi="Times New Roman"/>
    </w:rPr>
  </w:style>
  <w:style w:type="paragraph" w:styleId="TOC1">
    <w:name w:val="toc 1"/>
    <w:basedOn w:val="TOCBase"/>
    <w:next w:val="Normal"/>
    <w:rsid w:val="00DF37A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F37A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F37AC"/>
    <w:rPr>
      <w:rFonts w:ascii="Times New Roman" w:eastAsia="Times New Roman" w:hAnsi="Times New Roman" w:cs="Times New Roman"/>
      <w:sz w:val="16"/>
      <w:lang w:eastAsia="en-US"/>
    </w:rPr>
  </w:style>
  <w:style w:type="paragraph" w:styleId="Title">
    <w:name w:val="Title"/>
    <w:basedOn w:val="HeadingBase"/>
    <w:link w:val="TitleChar"/>
    <w:qFormat/>
    <w:rsid w:val="00DF37AC"/>
    <w:pPr>
      <w:spacing w:before="5040"/>
      <w:jc w:val="center"/>
    </w:pPr>
    <w:rPr>
      <w:sz w:val="48"/>
      <w:szCs w:val="72"/>
      <w:lang w:val="en-US"/>
    </w:rPr>
  </w:style>
  <w:style w:type="character" w:customStyle="1" w:styleId="TitleChar">
    <w:name w:val="Title Char"/>
    <w:basedOn w:val="DefaultParagraphFont"/>
    <w:link w:val="Title"/>
    <w:rsid w:val="00DF37A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F37AC"/>
    <w:pPr>
      <w:tabs>
        <w:tab w:val="left" w:pos="3600"/>
        <w:tab w:val="left" w:pos="3958"/>
      </w:tabs>
    </w:pPr>
  </w:style>
  <w:style w:type="paragraph" w:styleId="List">
    <w:name w:val="List"/>
    <w:basedOn w:val="BodyText"/>
    <w:next w:val="BodyText"/>
    <w:rsid w:val="00DF37AC"/>
    <w:pPr>
      <w:tabs>
        <w:tab w:val="left" w:pos="340"/>
      </w:tabs>
      <w:spacing w:before="60" w:after="60"/>
      <w:ind w:left="340" w:hanging="340"/>
    </w:pPr>
  </w:style>
  <w:style w:type="paragraph" w:customStyle="1" w:styleId="Note">
    <w:name w:val="Note"/>
    <w:basedOn w:val="BodyText"/>
    <w:rsid w:val="00DF37A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F37AC"/>
    <w:pPr>
      <w:framePr w:wrap="auto" w:hAnchor="text" w:y="6049"/>
    </w:pPr>
    <w:rPr>
      <w:color w:val="000000"/>
      <w:sz w:val="40"/>
    </w:rPr>
  </w:style>
  <w:style w:type="paragraph" w:customStyle="1" w:styleId="TOCTitle">
    <w:name w:val="TOCTitle"/>
    <w:basedOn w:val="Heading1"/>
    <w:rsid w:val="00DF37AC"/>
    <w:pPr>
      <w:spacing w:after="240"/>
      <w:jc w:val="center"/>
      <w:outlineLvl w:val="9"/>
    </w:pPr>
    <w:rPr>
      <w:caps/>
    </w:rPr>
  </w:style>
  <w:style w:type="paragraph" w:customStyle="1" w:styleId="Version">
    <w:name w:val="Version"/>
    <w:rsid w:val="00DF37A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F37AC"/>
    <w:pPr>
      <w:keepNext w:val="0"/>
      <w:tabs>
        <w:tab w:val="right" w:pos="4176"/>
      </w:tabs>
      <w:ind w:left="198" w:hanging="198"/>
    </w:pPr>
    <w:rPr>
      <w:rFonts w:ascii="Garamond" w:hAnsi="Garamond"/>
    </w:rPr>
  </w:style>
  <w:style w:type="paragraph" w:styleId="IndexHeading">
    <w:name w:val="index heading"/>
    <w:basedOn w:val="Normal"/>
    <w:next w:val="Index1"/>
    <w:semiHidden/>
    <w:rsid w:val="00DF37AC"/>
    <w:pPr>
      <w:spacing w:before="120" w:after="120"/>
    </w:pPr>
    <w:rPr>
      <w:rFonts w:ascii="Arial" w:hAnsi="Arial"/>
      <w:b/>
      <w:color w:val="918585"/>
      <w:sz w:val="24"/>
    </w:rPr>
  </w:style>
  <w:style w:type="paragraph" w:styleId="Header">
    <w:name w:val="header"/>
    <w:basedOn w:val="Normal"/>
    <w:link w:val="HeaderChar"/>
    <w:rsid w:val="00DF37A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F37AC"/>
    <w:rPr>
      <w:rFonts w:ascii="Times New Roman" w:eastAsia="Times New Roman" w:hAnsi="Times New Roman" w:cs="Times New Roman"/>
      <w:sz w:val="16"/>
      <w:szCs w:val="20"/>
      <w:lang w:val="en-GB" w:eastAsia="en-US"/>
    </w:rPr>
  </w:style>
  <w:style w:type="paragraph" w:customStyle="1" w:styleId="Chapter">
    <w:name w:val="Chapter"/>
    <w:basedOn w:val="Normal"/>
    <w:rsid w:val="00DF37AC"/>
    <w:pPr>
      <w:spacing w:before="240"/>
    </w:pPr>
    <w:rPr>
      <w:rFonts w:ascii="Times New Roman" w:hAnsi="Times New Roman"/>
      <w:smallCaps/>
      <w:spacing w:val="80"/>
      <w:sz w:val="28"/>
    </w:rPr>
  </w:style>
  <w:style w:type="paragraph" w:customStyle="1" w:styleId="InChapter">
    <w:name w:val="InChapter"/>
    <w:basedOn w:val="Heading3"/>
    <w:rsid w:val="00DF37AC"/>
    <w:pPr>
      <w:spacing w:after="240"/>
      <w:outlineLvl w:val="9"/>
    </w:pPr>
    <w:rPr>
      <w:noProof/>
    </w:rPr>
  </w:style>
  <w:style w:type="paragraph" w:styleId="Index2">
    <w:name w:val="index 2"/>
    <w:basedOn w:val="Normal"/>
    <w:next w:val="Normal"/>
    <w:semiHidden/>
    <w:rsid w:val="00DF37AC"/>
    <w:pPr>
      <w:tabs>
        <w:tab w:val="right" w:pos="4176"/>
      </w:tabs>
      <w:ind w:left="568" w:hanging="284"/>
    </w:pPr>
    <w:rPr>
      <w:rFonts w:ascii="Garamond" w:hAnsi="Garamond"/>
    </w:rPr>
  </w:style>
  <w:style w:type="paragraph" w:customStyle="1" w:styleId="Byline">
    <w:name w:val="Byline"/>
    <w:rsid w:val="00DF37A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F37AC"/>
    <w:pPr>
      <w:tabs>
        <w:tab w:val="clear" w:pos="3600"/>
        <w:tab w:val="clear" w:pos="3958"/>
      </w:tabs>
      <w:jc w:val="right"/>
    </w:pPr>
  </w:style>
  <w:style w:type="character" w:styleId="Emphasis">
    <w:name w:val="Emphasis"/>
    <w:basedOn w:val="DefaultParagraphFont"/>
    <w:qFormat/>
    <w:rsid w:val="00DF37AC"/>
    <w:rPr>
      <w:i/>
    </w:rPr>
  </w:style>
  <w:style w:type="paragraph" w:styleId="Caption">
    <w:name w:val="caption"/>
    <w:basedOn w:val="BodyText"/>
    <w:next w:val="Normal"/>
    <w:qFormat/>
    <w:rsid w:val="00DF37AC"/>
    <w:pPr>
      <w:framePr w:w="2268" w:hSpace="181" w:vSpace="181" w:wrap="around" w:vAnchor="text" w:hAnchor="page" w:x="1135" w:y="285" w:anchorLock="1"/>
    </w:pPr>
    <w:rPr>
      <w:i/>
    </w:rPr>
  </w:style>
  <w:style w:type="paragraph" w:customStyle="1" w:styleId="MiniTOCTitle">
    <w:name w:val="MiniTOCTitle"/>
    <w:basedOn w:val="Heading4"/>
    <w:rsid w:val="00DF37AC"/>
    <w:pPr>
      <w:spacing w:before="240"/>
      <w:outlineLvl w:val="9"/>
    </w:pPr>
    <w:rPr>
      <w:noProof/>
      <w:sz w:val="24"/>
    </w:rPr>
  </w:style>
  <w:style w:type="paragraph" w:customStyle="1" w:styleId="MiniTOCItem">
    <w:name w:val="MiniTOCItem"/>
    <w:basedOn w:val="ListBullet"/>
    <w:rsid w:val="00DF37AC"/>
    <w:pPr>
      <w:numPr>
        <w:numId w:val="0"/>
      </w:numPr>
      <w:tabs>
        <w:tab w:val="right" w:leader="dot" w:pos="6521"/>
      </w:tabs>
      <w:spacing w:before="0" w:after="0"/>
    </w:pPr>
  </w:style>
  <w:style w:type="paragraph" w:customStyle="1" w:styleId="TOFTitle">
    <w:name w:val="TOFTitle"/>
    <w:basedOn w:val="TOCTitle"/>
    <w:rsid w:val="00DF37AC"/>
  </w:style>
  <w:style w:type="paragraph" w:styleId="TableofFigures">
    <w:name w:val="table of figures"/>
    <w:basedOn w:val="Normal"/>
    <w:next w:val="Normal"/>
    <w:semiHidden/>
    <w:rsid w:val="00DF37AC"/>
    <w:pPr>
      <w:tabs>
        <w:tab w:val="right" w:leader="dot" w:pos="9072"/>
      </w:tabs>
      <w:ind w:left="970" w:hanging="403"/>
    </w:pPr>
    <w:rPr>
      <w:rFonts w:ascii="Times New Roman" w:hAnsi="Times New Roman"/>
      <w:b/>
    </w:rPr>
  </w:style>
  <w:style w:type="paragraph" w:styleId="ListNumber">
    <w:name w:val="List Number"/>
    <w:basedOn w:val="List"/>
    <w:rsid w:val="00DF37AC"/>
    <w:pPr>
      <w:numPr>
        <w:numId w:val="15"/>
      </w:numPr>
      <w:tabs>
        <w:tab w:val="clear" w:pos="340"/>
      </w:tabs>
    </w:pPr>
  </w:style>
  <w:style w:type="character" w:customStyle="1" w:styleId="WingdingSymbols">
    <w:name w:val="Wingding Symbols"/>
    <w:rsid w:val="00DF37AC"/>
    <w:rPr>
      <w:rFonts w:ascii="Wingdings" w:hAnsi="Wingdings"/>
    </w:rPr>
  </w:style>
  <w:style w:type="paragraph" w:customStyle="1" w:styleId="TableHeading">
    <w:name w:val="Table Heading"/>
    <w:basedOn w:val="HeadingBase"/>
    <w:rsid w:val="00DF37AC"/>
    <w:pPr>
      <w:keepLines/>
      <w:pBdr>
        <w:bottom w:val="single" w:sz="6" w:space="1" w:color="918585"/>
      </w:pBdr>
      <w:spacing w:before="240"/>
    </w:pPr>
  </w:style>
  <w:style w:type="character" w:customStyle="1" w:styleId="HotSpot">
    <w:name w:val="HotSpot"/>
    <w:rsid w:val="00DF37AC"/>
    <w:rPr>
      <w:color w:val="0033CC"/>
      <w:u w:val="none"/>
    </w:rPr>
  </w:style>
  <w:style w:type="paragraph" w:customStyle="1" w:styleId="BodyTextRight">
    <w:name w:val="Body Text Right"/>
    <w:basedOn w:val="BodyText"/>
    <w:rsid w:val="00DF37AC"/>
    <w:pPr>
      <w:spacing w:before="0" w:after="0"/>
      <w:jc w:val="right"/>
    </w:pPr>
  </w:style>
  <w:style w:type="paragraph" w:styleId="Index3">
    <w:name w:val="index 3"/>
    <w:basedOn w:val="ListNumber2"/>
    <w:next w:val="Normal"/>
    <w:semiHidden/>
    <w:rsid w:val="00DF37AC"/>
    <w:pPr>
      <w:numPr>
        <w:numId w:val="0"/>
      </w:numPr>
      <w:tabs>
        <w:tab w:val="right" w:leader="dot" w:pos="4176"/>
      </w:tabs>
    </w:pPr>
  </w:style>
  <w:style w:type="paragraph" w:styleId="ListNumber2">
    <w:name w:val="List Number 2"/>
    <w:basedOn w:val="List2"/>
    <w:rsid w:val="00DF37AC"/>
    <w:pPr>
      <w:numPr>
        <w:numId w:val="10"/>
      </w:numPr>
      <w:tabs>
        <w:tab w:val="clear" w:pos="1060"/>
      </w:tabs>
    </w:pPr>
  </w:style>
  <w:style w:type="paragraph" w:customStyle="1" w:styleId="MarginNote">
    <w:name w:val="Margin Note"/>
    <w:basedOn w:val="BodyText"/>
    <w:rsid w:val="00DF37A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F37A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F37A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F37AC"/>
    <w:rPr>
      <w:sz w:val="32"/>
    </w:rPr>
  </w:style>
  <w:style w:type="paragraph" w:customStyle="1" w:styleId="HeadingProcedure">
    <w:name w:val="Heading Procedure"/>
    <w:basedOn w:val="HeadingBase"/>
    <w:next w:val="Normal"/>
    <w:rsid w:val="00DF37AC"/>
    <w:pPr>
      <w:tabs>
        <w:tab w:val="left" w:pos="0"/>
      </w:tabs>
      <w:spacing w:before="120" w:after="60"/>
    </w:pPr>
    <w:rPr>
      <w:i/>
      <w:color w:val="918585"/>
      <w:sz w:val="22"/>
    </w:rPr>
  </w:style>
  <w:style w:type="paragraph" w:customStyle="1" w:styleId="TableBodyText">
    <w:name w:val="Table Body Text"/>
    <w:basedOn w:val="BodyText"/>
    <w:rsid w:val="00DF37AC"/>
    <w:pPr>
      <w:spacing w:before="60" w:after="60"/>
    </w:pPr>
  </w:style>
  <w:style w:type="paragraph" w:styleId="ListContinue">
    <w:name w:val="List Continue"/>
    <w:basedOn w:val="List"/>
    <w:rsid w:val="00DF37AC"/>
    <w:pPr>
      <w:ind w:firstLine="0"/>
    </w:pPr>
  </w:style>
  <w:style w:type="paragraph" w:customStyle="1" w:styleId="ListNote">
    <w:name w:val="List Note"/>
    <w:basedOn w:val="List"/>
    <w:rsid w:val="00DF37AC"/>
    <w:pPr>
      <w:pBdr>
        <w:top w:val="single" w:sz="6" w:space="2" w:color="918585"/>
        <w:bottom w:val="single" w:sz="6" w:space="2" w:color="918585"/>
      </w:pBdr>
      <w:tabs>
        <w:tab w:val="left" w:pos="1021"/>
      </w:tabs>
      <w:ind w:firstLine="0"/>
    </w:pPr>
  </w:style>
  <w:style w:type="paragraph" w:customStyle="1" w:styleId="Warning">
    <w:name w:val="Warning"/>
    <w:basedOn w:val="BodyText"/>
    <w:rsid w:val="00DF37AC"/>
    <w:pPr>
      <w:shd w:val="clear" w:color="auto" w:fill="D9D9D9"/>
      <w:tabs>
        <w:tab w:val="left" w:pos="992"/>
      </w:tabs>
      <w:ind w:left="119" w:right="119"/>
    </w:pPr>
    <w:rPr>
      <w:sz w:val="20"/>
    </w:rPr>
  </w:style>
  <w:style w:type="paragraph" w:customStyle="1" w:styleId="MarginIcons">
    <w:name w:val="Margin Icons"/>
    <w:basedOn w:val="BodyText"/>
    <w:rsid w:val="00DF37A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F37AC"/>
    <w:rPr>
      <w:rFonts w:ascii="Courier New" w:hAnsi="Courier New"/>
    </w:rPr>
  </w:style>
  <w:style w:type="paragraph" w:customStyle="1" w:styleId="NoteBullet">
    <w:name w:val="Note Bullet"/>
    <w:basedOn w:val="Note"/>
    <w:rsid w:val="00DF37AC"/>
    <w:pPr>
      <w:tabs>
        <w:tab w:val="clear" w:pos="680"/>
      </w:tabs>
      <w:spacing w:before="60" w:after="60"/>
    </w:pPr>
  </w:style>
  <w:style w:type="paragraph" w:customStyle="1" w:styleId="SubHeading2">
    <w:name w:val="SubHeading2"/>
    <w:basedOn w:val="HeadingBase"/>
    <w:rsid w:val="00DF37AC"/>
    <w:pPr>
      <w:spacing w:before="240" w:after="60"/>
    </w:pPr>
    <w:rPr>
      <w:sz w:val="20"/>
    </w:rPr>
  </w:style>
  <w:style w:type="paragraph" w:customStyle="1" w:styleId="SubHeading1">
    <w:name w:val="SubHeading1"/>
    <w:basedOn w:val="HeadingBase"/>
    <w:rsid w:val="00DF37AC"/>
    <w:pPr>
      <w:spacing w:before="240" w:after="60"/>
    </w:pPr>
    <w:rPr>
      <w:color w:val="918585"/>
      <w:sz w:val="22"/>
    </w:rPr>
  </w:style>
  <w:style w:type="paragraph" w:customStyle="1" w:styleId="SideHeading">
    <w:name w:val="Side Heading"/>
    <w:basedOn w:val="HeadingBase"/>
    <w:rsid w:val="00DF37A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F37AC"/>
    <w:pPr>
      <w:tabs>
        <w:tab w:val="num" w:pos="360"/>
      </w:tabs>
    </w:pPr>
  </w:style>
  <w:style w:type="paragraph" w:styleId="PlainText">
    <w:name w:val="Plain Text"/>
    <w:basedOn w:val="Normal"/>
    <w:link w:val="PlainTextChar"/>
    <w:rsid w:val="00DF37AC"/>
    <w:rPr>
      <w:sz w:val="20"/>
    </w:rPr>
  </w:style>
  <w:style w:type="character" w:customStyle="1" w:styleId="PlainTextChar">
    <w:name w:val="Plain Text Char"/>
    <w:basedOn w:val="DefaultParagraphFont"/>
    <w:link w:val="PlainText"/>
    <w:rsid w:val="00DF37AC"/>
    <w:rPr>
      <w:rFonts w:ascii="Courier New" w:eastAsia="Times New Roman" w:hAnsi="Courier New" w:cs="Times New Roman"/>
      <w:sz w:val="20"/>
      <w:szCs w:val="20"/>
      <w:lang w:eastAsia="en-US"/>
    </w:rPr>
  </w:style>
  <w:style w:type="character" w:customStyle="1" w:styleId="MenuOption">
    <w:name w:val="Menu Option"/>
    <w:basedOn w:val="DefaultParagraphFont"/>
    <w:rsid w:val="00DF37AC"/>
    <w:rPr>
      <w:b/>
      <w:smallCaps/>
    </w:rPr>
  </w:style>
  <w:style w:type="paragraph" w:customStyle="1" w:styleId="TableListNumber">
    <w:name w:val="Table List Number"/>
    <w:basedOn w:val="ListNumber"/>
    <w:rsid w:val="00DF37AC"/>
    <w:pPr>
      <w:numPr>
        <w:numId w:val="0"/>
      </w:numPr>
    </w:pPr>
  </w:style>
  <w:style w:type="paragraph" w:styleId="TOC4">
    <w:name w:val="toc 4"/>
    <w:basedOn w:val="TOCBase"/>
    <w:next w:val="Normal"/>
    <w:semiHidden/>
    <w:rsid w:val="00DF37AC"/>
    <w:pPr>
      <w:tabs>
        <w:tab w:val="right" w:leader="dot" w:pos="9071"/>
      </w:tabs>
      <w:ind w:left="1701"/>
    </w:pPr>
  </w:style>
  <w:style w:type="paragraph" w:customStyle="1" w:styleId="ListAlpha">
    <w:name w:val="List Alpha"/>
    <w:basedOn w:val="List"/>
    <w:rsid w:val="00DF37AC"/>
    <w:pPr>
      <w:numPr>
        <w:numId w:val="9"/>
      </w:numPr>
    </w:pPr>
  </w:style>
  <w:style w:type="paragraph" w:customStyle="1" w:styleId="ListAlpha2">
    <w:name w:val="List Alpha 2"/>
    <w:basedOn w:val="List2"/>
    <w:rsid w:val="00DF37AC"/>
    <w:pPr>
      <w:numPr>
        <w:numId w:val="8"/>
      </w:numPr>
    </w:pPr>
  </w:style>
  <w:style w:type="paragraph" w:styleId="List2">
    <w:name w:val="List 2"/>
    <w:basedOn w:val="BodyText"/>
    <w:rsid w:val="00DF37AC"/>
    <w:pPr>
      <w:tabs>
        <w:tab w:val="left" w:pos="680"/>
      </w:tabs>
      <w:spacing w:before="60" w:after="60"/>
      <w:ind w:left="680" w:hanging="340"/>
    </w:pPr>
  </w:style>
  <w:style w:type="paragraph" w:styleId="List3">
    <w:name w:val="List 3"/>
    <w:basedOn w:val="BodyText"/>
    <w:rsid w:val="00DF37AC"/>
    <w:pPr>
      <w:tabs>
        <w:tab w:val="left" w:pos="1021"/>
      </w:tabs>
      <w:spacing w:before="60" w:after="60"/>
      <w:ind w:left="1020" w:hanging="340"/>
    </w:pPr>
  </w:style>
  <w:style w:type="paragraph" w:styleId="List4">
    <w:name w:val="List 4"/>
    <w:basedOn w:val="BodyText"/>
    <w:rsid w:val="00DF37AC"/>
    <w:pPr>
      <w:tabs>
        <w:tab w:val="left" w:pos="1361"/>
      </w:tabs>
      <w:spacing w:before="60" w:after="60"/>
      <w:ind w:left="1361" w:hanging="340"/>
    </w:pPr>
  </w:style>
  <w:style w:type="paragraph" w:styleId="List5">
    <w:name w:val="List 5"/>
    <w:basedOn w:val="BodyText"/>
    <w:rsid w:val="00DF37AC"/>
    <w:pPr>
      <w:tabs>
        <w:tab w:val="left" w:pos="1701"/>
      </w:tabs>
      <w:spacing w:before="60" w:after="60"/>
      <w:ind w:left="1701" w:hanging="340"/>
    </w:pPr>
  </w:style>
  <w:style w:type="paragraph" w:styleId="ListBullet3">
    <w:name w:val="List Bullet 3"/>
    <w:basedOn w:val="List3"/>
    <w:rsid w:val="00DF37AC"/>
    <w:pPr>
      <w:numPr>
        <w:numId w:val="14"/>
      </w:numPr>
      <w:tabs>
        <w:tab w:val="clear" w:pos="1021"/>
      </w:tabs>
      <w:ind w:left="1037" w:hanging="357"/>
    </w:pPr>
  </w:style>
  <w:style w:type="paragraph" w:styleId="ListBullet4">
    <w:name w:val="List Bullet 4"/>
    <w:basedOn w:val="List4"/>
    <w:rsid w:val="00DF37AC"/>
    <w:pPr>
      <w:numPr>
        <w:numId w:val="3"/>
      </w:numPr>
      <w:tabs>
        <w:tab w:val="clear" w:pos="1361"/>
      </w:tabs>
    </w:pPr>
  </w:style>
  <w:style w:type="paragraph" w:styleId="ListBullet5">
    <w:name w:val="List Bullet 5"/>
    <w:basedOn w:val="List5"/>
    <w:rsid w:val="00DF37AC"/>
    <w:pPr>
      <w:numPr>
        <w:numId w:val="4"/>
      </w:numPr>
    </w:pPr>
  </w:style>
  <w:style w:type="paragraph" w:styleId="ListContinue2">
    <w:name w:val="List Continue 2"/>
    <w:basedOn w:val="List2"/>
    <w:rsid w:val="00DF37AC"/>
    <w:pPr>
      <w:ind w:firstLine="0"/>
    </w:pPr>
  </w:style>
  <w:style w:type="paragraph" w:styleId="ListContinue3">
    <w:name w:val="List Continue 3"/>
    <w:basedOn w:val="List3"/>
    <w:rsid w:val="00DF37AC"/>
    <w:pPr>
      <w:ind w:left="1021" w:firstLine="0"/>
    </w:pPr>
  </w:style>
  <w:style w:type="paragraph" w:styleId="ListContinue4">
    <w:name w:val="List Continue 4"/>
    <w:basedOn w:val="List4"/>
    <w:rsid w:val="00DF37AC"/>
    <w:pPr>
      <w:ind w:firstLine="0"/>
    </w:pPr>
  </w:style>
  <w:style w:type="paragraph" w:styleId="ListContinue5">
    <w:name w:val="List Continue 5"/>
    <w:basedOn w:val="List5"/>
    <w:rsid w:val="00DF37AC"/>
    <w:pPr>
      <w:ind w:firstLine="0"/>
    </w:pPr>
  </w:style>
  <w:style w:type="paragraph" w:styleId="ListNumber3">
    <w:name w:val="List Number 3"/>
    <w:basedOn w:val="List3"/>
    <w:rsid w:val="00DF37AC"/>
    <w:pPr>
      <w:numPr>
        <w:numId w:val="5"/>
      </w:numPr>
    </w:pPr>
  </w:style>
  <w:style w:type="paragraph" w:styleId="ListNumber4">
    <w:name w:val="List Number 4"/>
    <w:basedOn w:val="List4"/>
    <w:rsid w:val="00DF37AC"/>
    <w:pPr>
      <w:numPr>
        <w:numId w:val="6"/>
      </w:numPr>
    </w:pPr>
  </w:style>
  <w:style w:type="paragraph" w:styleId="ListNumber5">
    <w:name w:val="List Number 5"/>
    <w:basedOn w:val="List5"/>
    <w:rsid w:val="00DF37AC"/>
    <w:pPr>
      <w:numPr>
        <w:numId w:val="7"/>
      </w:numPr>
    </w:pPr>
  </w:style>
  <w:style w:type="paragraph" w:styleId="BlockText">
    <w:name w:val="Block Text"/>
    <w:basedOn w:val="Normal"/>
    <w:rsid w:val="00DF37AC"/>
    <w:pPr>
      <w:spacing w:after="120"/>
      <w:ind w:left="1440" w:right="1440"/>
    </w:pPr>
  </w:style>
  <w:style w:type="character" w:customStyle="1" w:styleId="Subscript">
    <w:name w:val="Subscript"/>
    <w:basedOn w:val="DefaultParagraphFont"/>
    <w:rsid w:val="00DF37AC"/>
    <w:rPr>
      <w:sz w:val="16"/>
      <w:vertAlign w:val="subscript"/>
    </w:rPr>
  </w:style>
  <w:style w:type="character" w:customStyle="1" w:styleId="Superscript">
    <w:name w:val="Superscript"/>
    <w:basedOn w:val="DefaultParagraphFont"/>
    <w:rsid w:val="00DF37AC"/>
    <w:rPr>
      <w:sz w:val="16"/>
      <w:vertAlign w:val="superscript"/>
    </w:rPr>
  </w:style>
  <w:style w:type="character" w:customStyle="1" w:styleId="Symbols">
    <w:name w:val="Symbols"/>
    <w:basedOn w:val="DefaultParagraphFont"/>
    <w:rsid w:val="00DF37AC"/>
    <w:rPr>
      <w:rFonts w:ascii="Symbol" w:hAnsi="Symbol"/>
    </w:rPr>
  </w:style>
  <w:style w:type="character" w:customStyle="1" w:styleId="MenuOptions">
    <w:name w:val="Menu Options"/>
    <w:basedOn w:val="DefaultParagraphFont"/>
    <w:rsid w:val="00DF37AC"/>
    <w:rPr>
      <w:rFonts w:ascii="Arial Narrow" w:hAnsi="Arial Narrow"/>
      <w:smallCaps/>
    </w:rPr>
  </w:style>
  <w:style w:type="character" w:customStyle="1" w:styleId="Buttons">
    <w:name w:val="Buttons"/>
    <w:basedOn w:val="DefaultParagraphFont"/>
    <w:rsid w:val="00DF37AC"/>
    <w:rPr>
      <w:b/>
    </w:rPr>
  </w:style>
  <w:style w:type="character" w:customStyle="1" w:styleId="Underlined">
    <w:name w:val="Underlined"/>
    <w:basedOn w:val="DefaultParagraphFont"/>
    <w:rsid w:val="00DF37AC"/>
    <w:rPr>
      <w:u w:val="single"/>
    </w:rPr>
  </w:style>
  <w:style w:type="paragraph" w:customStyle="1" w:styleId="TableBodyTextRight">
    <w:name w:val="Table Body Text Right"/>
    <w:basedOn w:val="TableBodyText"/>
    <w:rsid w:val="00DF37AC"/>
    <w:pPr>
      <w:widowControl w:val="0"/>
      <w:autoSpaceDE w:val="0"/>
      <w:autoSpaceDN w:val="0"/>
      <w:adjustRightInd w:val="0"/>
      <w:jc w:val="right"/>
    </w:pPr>
    <w:rPr>
      <w:rFonts w:cs="Arial"/>
      <w:szCs w:val="18"/>
    </w:rPr>
  </w:style>
  <w:style w:type="paragraph" w:customStyle="1" w:styleId="CopyrightText">
    <w:name w:val="Copyright Text"/>
    <w:basedOn w:val="BodyText"/>
    <w:rsid w:val="00DF37AC"/>
    <w:rPr>
      <w:sz w:val="18"/>
    </w:rPr>
  </w:style>
  <w:style w:type="paragraph" w:customStyle="1" w:styleId="BodySmallRight">
    <w:name w:val="Body Small Right"/>
    <w:basedOn w:val="BodyTextRight"/>
    <w:rsid w:val="00DF37AC"/>
    <w:rPr>
      <w:sz w:val="18"/>
      <w:szCs w:val="18"/>
    </w:rPr>
  </w:style>
  <w:style w:type="paragraph" w:customStyle="1" w:styleId="MarginEdition">
    <w:name w:val="Margin Edition"/>
    <w:basedOn w:val="MarginNote"/>
    <w:rsid w:val="00DF37AC"/>
    <w:pPr>
      <w:spacing w:before="0" w:after="0"/>
    </w:pPr>
    <w:rPr>
      <w:rFonts w:ascii="Times New Roman" w:hAnsi="Times New Roman"/>
      <w:color w:val="999999"/>
    </w:rPr>
  </w:style>
  <w:style w:type="paragraph" w:customStyle="1" w:styleId="Spacer">
    <w:name w:val="Spacer"/>
    <w:basedOn w:val="Normal"/>
    <w:rsid w:val="00DF37AC"/>
    <w:rPr>
      <w:sz w:val="2"/>
      <w:szCs w:val="2"/>
    </w:rPr>
  </w:style>
  <w:style w:type="character" w:customStyle="1" w:styleId="Small">
    <w:name w:val="Small"/>
    <w:basedOn w:val="DefaultParagraphFont"/>
    <w:rsid w:val="00DF37AC"/>
    <w:rPr>
      <w:sz w:val="16"/>
    </w:rPr>
  </w:style>
  <w:style w:type="paragraph" w:customStyle="1" w:styleId="WideTable">
    <w:name w:val="Wide Table"/>
    <w:basedOn w:val="Normal"/>
    <w:rsid w:val="00DF37AC"/>
    <w:pPr>
      <w:ind w:left="-1418"/>
    </w:pPr>
    <w:rPr>
      <w:sz w:val="2"/>
      <w:szCs w:val="2"/>
    </w:rPr>
  </w:style>
  <w:style w:type="character" w:styleId="PageNumber">
    <w:name w:val="page number"/>
    <w:basedOn w:val="DefaultParagraphFont"/>
    <w:rsid w:val="00DF37AC"/>
  </w:style>
  <w:style w:type="paragraph" w:styleId="Quote">
    <w:name w:val="Quote"/>
    <w:basedOn w:val="Heading1"/>
    <w:link w:val="QuoteChar"/>
    <w:qFormat/>
    <w:rsid w:val="00DF37AC"/>
    <w:rPr>
      <w:b w:val="0"/>
      <w:sz w:val="72"/>
      <w:szCs w:val="72"/>
      <w:lang w:val="en-NZ"/>
    </w:rPr>
  </w:style>
  <w:style w:type="character" w:customStyle="1" w:styleId="QuoteChar">
    <w:name w:val="Quote Char"/>
    <w:basedOn w:val="DefaultParagraphFont"/>
    <w:link w:val="Quote"/>
    <w:rsid w:val="00DF37A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F37AC"/>
    <w:pPr>
      <w:pageBreakBefore/>
    </w:pPr>
  </w:style>
  <w:style w:type="paragraph" w:customStyle="1" w:styleId="Border">
    <w:name w:val="Border"/>
    <w:basedOn w:val="Normal"/>
    <w:qFormat/>
    <w:rsid w:val="00DF37A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F37AC"/>
    <w:rPr>
      <w:b/>
      <w:bCs/>
      <w:i/>
      <w:iCs/>
      <w:color w:val="auto"/>
    </w:rPr>
  </w:style>
  <w:style w:type="paragraph" w:styleId="IntenseQuote">
    <w:name w:val="Intense Quote"/>
    <w:basedOn w:val="Normal"/>
    <w:next w:val="Normal"/>
    <w:link w:val="IntenseQuoteChar"/>
    <w:uiPriority w:val="30"/>
    <w:qFormat/>
    <w:rsid w:val="00DF37A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F37A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F37AC"/>
    <w:rPr>
      <w:smallCaps/>
      <w:color w:val="auto"/>
      <w:u w:val="single"/>
    </w:rPr>
  </w:style>
  <w:style w:type="character" w:styleId="IntenseReference">
    <w:name w:val="Intense Reference"/>
    <w:basedOn w:val="DefaultParagraphFont"/>
    <w:uiPriority w:val="32"/>
    <w:qFormat/>
    <w:rsid w:val="00DF37AC"/>
    <w:rPr>
      <w:b/>
      <w:bCs/>
      <w:smallCaps/>
      <w:color w:val="auto"/>
      <w:spacing w:val="5"/>
      <w:u w:val="single"/>
    </w:rPr>
  </w:style>
  <w:style w:type="paragraph" w:customStyle="1" w:styleId="2ColumnHeading">
    <w:name w:val="2Column Heading"/>
    <w:basedOn w:val="BodyText"/>
    <w:qFormat/>
    <w:rsid w:val="00DF37AC"/>
    <w:pPr>
      <w:spacing w:after="60"/>
      <w:ind w:left="-2268"/>
    </w:pPr>
    <w:rPr>
      <w:b/>
    </w:rPr>
  </w:style>
  <w:style w:type="paragraph" w:customStyle="1" w:styleId="Heading1TOC">
    <w:name w:val="Heading1 TOC"/>
    <w:basedOn w:val="Normal"/>
    <w:qFormat/>
    <w:rsid w:val="00DF37AC"/>
    <w:pPr>
      <w:spacing w:before="240" w:after="120"/>
    </w:pPr>
    <w:rPr>
      <w:rFonts w:ascii="Times New Roman" w:hAnsi="Times New Roman"/>
      <w:b/>
      <w:sz w:val="32"/>
    </w:rPr>
  </w:style>
  <w:style w:type="paragraph" w:customStyle="1" w:styleId="Heading2TOC">
    <w:name w:val="Heading2 TOC"/>
    <w:basedOn w:val="Normal"/>
    <w:qFormat/>
    <w:rsid w:val="00DF37AC"/>
    <w:pPr>
      <w:spacing w:before="240" w:after="60"/>
    </w:pPr>
    <w:rPr>
      <w:rFonts w:ascii="Times New Roman" w:hAnsi="Times New Roman"/>
      <w:b/>
      <w:sz w:val="28"/>
    </w:rPr>
  </w:style>
  <w:style w:type="character" w:customStyle="1" w:styleId="Underline">
    <w:name w:val="Underline"/>
    <w:basedOn w:val="DefaultParagraphFont"/>
    <w:qFormat/>
    <w:rsid w:val="00DF37AC"/>
    <w:rPr>
      <w:u w:val="single"/>
    </w:rPr>
  </w:style>
  <w:style w:type="character" w:customStyle="1" w:styleId="BoldandItalics">
    <w:name w:val="Bold and Italics"/>
    <w:qFormat/>
    <w:rsid w:val="00DF37AC"/>
    <w:rPr>
      <w:b/>
      <w:i/>
      <w:u w:val="none"/>
    </w:rPr>
  </w:style>
  <w:style w:type="paragraph" w:styleId="BalloonText">
    <w:name w:val="Balloon Text"/>
    <w:basedOn w:val="Normal"/>
    <w:link w:val="BalloonTextChar"/>
    <w:rsid w:val="00DF37AC"/>
    <w:rPr>
      <w:rFonts w:ascii="Tahoma" w:hAnsi="Tahoma" w:cs="Tahoma"/>
      <w:sz w:val="16"/>
      <w:szCs w:val="16"/>
    </w:rPr>
  </w:style>
  <w:style w:type="character" w:customStyle="1" w:styleId="BalloonTextChar">
    <w:name w:val="Balloon Text Char"/>
    <w:basedOn w:val="DefaultParagraphFont"/>
    <w:link w:val="BalloonText"/>
    <w:rsid w:val="00DF37A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F37A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F37A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F37AC"/>
    <w:rPr>
      <w:b/>
      <w:color w:val="660033"/>
      <w:spacing w:val="0"/>
    </w:rPr>
  </w:style>
  <w:style w:type="paragraph" w:customStyle="1" w:styleId="Nameditemlist">
    <w:name w:val="Named item list"/>
    <w:basedOn w:val="BodyText"/>
    <w:qFormat/>
    <w:rsid w:val="00DF37AC"/>
    <w:pPr>
      <w:tabs>
        <w:tab w:val="left" w:pos="2835"/>
      </w:tabs>
      <w:ind w:left="2835" w:hanging="2835"/>
    </w:pPr>
  </w:style>
  <w:style w:type="paragraph" w:customStyle="1" w:styleId="BodyTextnopadding">
    <w:name w:val="Body Text no padding"/>
    <w:basedOn w:val="BodyText"/>
    <w:qFormat/>
    <w:rsid w:val="00DF37AC"/>
    <w:pPr>
      <w:spacing w:before="0" w:after="0"/>
    </w:pPr>
  </w:style>
  <w:style w:type="paragraph" w:customStyle="1" w:styleId="BodyTextBold">
    <w:name w:val="Body Text Bold"/>
    <w:basedOn w:val="BodyText"/>
    <w:qFormat/>
    <w:rsid w:val="00DF37AC"/>
    <w:rPr>
      <w:b/>
    </w:rPr>
  </w:style>
  <w:style w:type="character" w:styleId="Hyperlink">
    <w:name w:val="Hyperlink"/>
    <w:basedOn w:val="DefaultParagraphFont"/>
    <w:uiPriority w:val="99"/>
    <w:unhideWhenUsed/>
    <w:rsid w:val="00A8210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1092</Words>
  <Characters>7116</Characters>
  <Application>Microsoft Office Word</Application>
  <DocSecurity>0</DocSecurity>
  <Lines>245</Lines>
  <Paragraphs>160</Paragraphs>
  <ScaleCrop>false</ScaleCrop>
  <Company>Author-it Software Corporation Ltd.</Company>
  <LinksUpToDate>false</LinksUpToDate>
  <CharactersWithSpaces>8048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MEA137 Write aviation technical publications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2025-03-02T02:58:00Z</dcterms:created>
  <dcterms:modified xsi:type="dcterms:W3CDTF">2025-03-02T02:58:00Z</dcterms:modified>
</cp:coreProperties>
</file>