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4E51" w:rsidP="00534E51">
      <w:pPr>
        <w:pStyle w:val="Title"/>
      </w:pPr>
      <w:r>
        <w:fldChar w:fldCharType="begin"/>
      </w:r>
      <w:r>
        <w:instrText xml:space="preserve"> TITLE   \* MERGEFORMAT </w:instrText>
      </w:r>
      <w:r>
        <w:fldChar w:fldCharType="separate"/>
      </w:r>
      <w:r>
        <w:t>MEA131 Manage the custody, transfer and disposal of aircraft, aeronautical product and support equipment</w:t>
      </w:r>
      <w:r>
        <w:fldChar w:fldCharType="end"/>
      </w:r>
    </w:p>
    <w:p w:rsidR="00534E51" w:rsidP="00534E51">
      <w:pPr>
        <w:pStyle w:val="Version"/>
        <w:sectPr w:rsidSect="001E7B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E7B59" w:rsidP="001E7B59">
      <w:pPr>
        <w:pStyle w:val="SuperHeading"/>
      </w:pPr>
      <w:r w:rsidRPr="001E7B59">
        <w:t>MEA131 Manage the custody, transfer and disposal of aircraft, aeronautical product and support equipment</w:t>
      </w:r>
    </w:p>
    <w:p w:rsidR="00000000" w:rsidRPr="001E7B59" w:rsidP="001E7B59">
      <w:pPr>
        <w:pStyle w:val="Heading1"/>
      </w:pPr>
      <w:bookmarkStart w:id="1" w:name="O_975141"/>
      <w:bookmarkEnd w:id="1"/>
      <w:r w:rsidRPr="001E7B59">
        <w:t>Modification History</w:t>
      </w:r>
    </w:p>
    <w:p w:rsidR="00000000" w:rsidRPr="001E7B59" w:rsidP="00534E51">
      <w:pPr>
        <w:pStyle w:val="BodyText"/>
      </w:pPr>
      <w:r w:rsidRPr="001E7B59">
        <w:t>Release 2. Equivalent to MEA131 Manage the custody, transfer and disposal of aircraft, aeronautical product and support equipment. Updated to meet training package policy requirements.</w:t>
      </w:r>
    </w:p>
    <w:p w:rsidR="00000000" w:rsidRPr="001E7B59" w:rsidP="001E7B59">
      <w:pPr>
        <w:pStyle w:val="Heading1"/>
      </w:pPr>
      <w:bookmarkStart w:id="2" w:name="O_975140"/>
      <w:bookmarkEnd w:id="2"/>
      <w:r w:rsidRPr="001E7B59">
        <w:t>Application</w:t>
      </w:r>
    </w:p>
    <w:p w:rsidR="00000000" w:rsidRPr="001E7B59" w:rsidP="00534E51">
      <w:pPr>
        <w:pStyle w:val="BodyText"/>
      </w:pPr>
      <w:r w:rsidRPr="001E7B59">
        <w:t>This unit of competency describes the skil</w:t>
      </w:r>
      <w:r w:rsidRPr="001E7B59">
        <w:t>ls and knowledge required to manage the custody, transfer and disposal of aircraft, aeronautical product and support equipment, including test equipment and ground support equipment, used in scheduled and unscheduled maintenance. It involves applying requi</w:t>
      </w:r>
      <w:r w:rsidRPr="001E7B59">
        <w:t>red regulatory and organisational procedures in the course of activities. Work may be performed individually or as part of a team.</w:t>
      </w:r>
    </w:p>
    <w:p w:rsidR="00000000" w:rsidRPr="001E7B59" w:rsidP="00534E51">
      <w:pPr>
        <w:pStyle w:val="BodyText"/>
      </w:pPr>
      <w:r w:rsidRPr="001E7B59">
        <w:t xml:space="preserve">The unit is used in workplaces that operate under the airworthiness regulatory systems of the Australian Defence Force (ADF) </w:t>
      </w:r>
      <w:r w:rsidRPr="001E7B59">
        <w:t>and the Civil Aviation Safety Authority (CASA).</w:t>
      </w:r>
    </w:p>
    <w:p w:rsidR="00000000" w:rsidRPr="001E7B59" w:rsidP="00534E51">
      <w:pPr>
        <w:pStyle w:val="BodyText"/>
      </w:pPr>
      <w:r w:rsidRPr="001E7B59">
        <w:t>This unit forms part of the Civil Aviation Safety Authority (CASA) requirement for maintenance certification licences under Civil Aviation Safety Regulation (CASR) Part 66. Where a CASA licensing outcome is s</w:t>
      </w:r>
      <w:r w:rsidRPr="001E7B59">
        <w:t>ought, users must refer to the licensing provisions in the MEA Aeroskills Companion Volume Implementation Guide.</w:t>
      </w:r>
    </w:p>
    <w:p w:rsidR="00000000" w:rsidRPr="001E7B59" w:rsidP="001E7B59">
      <w:pPr>
        <w:pStyle w:val="Heading1"/>
      </w:pPr>
      <w:bookmarkStart w:id="3" w:name="O_975139"/>
      <w:bookmarkEnd w:id="3"/>
      <w:r w:rsidRPr="001E7B59">
        <w:t>Pre-requisite Unit</w:t>
      </w:r>
    </w:p>
    <w:p w:rsidR="00000000" w:rsidRPr="001E7B59" w:rsidP="00534E51">
      <w:pPr>
        <w:pStyle w:val="BodyText"/>
      </w:pPr>
      <w:r w:rsidRPr="001E7B59">
        <w:t>Nil.</w:t>
      </w:r>
    </w:p>
    <w:p w:rsidR="00000000" w:rsidRPr="001E7B59" w:rsidP="001E7B59">
      <w:pPr>
        <w:pStyle w:val="Heading1"/>
      </w:pPr>
      <w:bookmarkStart w:id="4" w:name="O_975138"/>
      <w:bookmarkEnd w:id="4"/>
      <w:r w:rsidRPr="001E7B59">
        <w:t>Competency Field</w:t>
      </w:r>
    </w:p>
    <w:p w:rsidR="00000000" w:rsidRPr="001E7B59" w:rsidP="00534E51">
      <w:pPr>
        <w:pStyle w:val="BodyText"/>
      </w:pPr>
      <w:r w:rsidRPr="001E7B59">
        <w:t>Aviation maintenance management</w:t>
      </w:r>
    </w:p>
    <w:p w:rsidR="00000000" w:rsidRPr="001E7B59" w:rsidP="001E7B59">
      <w:pPr>
        <w:pStyle w:val="Heading1"/>
      </w:pPr>
      <w:bookmarkStart w:id="5" w:name="O_975136"/>
      <w:bookmarkEnd w:id="5"/>
      <w:r w:rsidRPr="001E7B59">
        <w:t>Elements and Perfor</w:t>
      </w:r>
      <w:r w:rsidRPr="001E7B59">
        <w:t>mance Criteria</w:t>
      </w:r>
    </w:p>
    <w:tbl>
      <w:tblPr>
        <w:tblW w:w="9301" w:type="dxa"/>
        <w:tblLayout w:type="fixed"/>
        <w:tblCellMar>
          <w:left w:w="62" w:type="dxa"/>
          <w:right w:w="62" w:type="dxa"/>
        </w:tblCellMar>
        <w:tblLook w:val="0000"/>
      </w:tblPr>
      <w:tblGrid>
        <w:gridCol w:w="378"/>
        <w:gridCol w:w="2589"/>
        <w:gridCol w:w="484"/>
        <w:gridCol w:w="5850"/>
      </w:tblGrid>
      <w:tr w:rsidTr="001E7B59">
        <w:tblPrEx>
          <w:tblW w:w="9301" w:type="dxa"/>
          <w:tblLayout w:type="fixed"/>
          <w:tblCellMar>
            <w:left w:w="62" w:type="dxa"/>
            <w:right w:w="62" w:type="dxa"/>
          </w:tblCellMar>
          <w:tblLook w:val="0000"/>
        </w:tblPrEx>
        <w:trPr>
          <w:tblHeader/>
        </w:trPr>
        <w:tc>
          <w:tcPr>
            <w:tcW w:w="2967" w:type="dxa"/>
            <w:gridSpan w:val="2"/>
            <w:tcBorders>
              <w:top w:val="nil"/>
              <w:left w:val="nil"/>
              <w:bottom w:val="nil"/>
              <w:right w:val="nil"/>
            </w:tcBorders>
            <w:tcMar>
              <w:top w:w="0" w:type="dxa"/>
              <w:left w:w="62" w:type="dxa"/>
              <w:bottom w:w="0" w:type="dxa"/>
              <w:right w:w="62" w:type="dxa"/>
            </w:tcMar>
          </w:tcPr>
          <w:p w:rsidR="00000000" w:rsidRPr="001E7B59" w:rsidP="001E7B59">
            <w:pPr>
              <w:pStyle w:val="BodyText"/>
            </w:pPr>
            <w:r w:rsidRPr="001E7B59">
              <w:rPr>
                <w:rStyle w:val="SpecialBold"/>
              </w:rPr>
              <w:t>ELEMENTS</w:t>
            </w:r>
          </w:p>
        </w:tc>
        <w:tc>
          <w:tcPr>
            <w:tcW w:w="6334" w:type="dxa"/>
            <w:gridSpan w:val="2"/>
            <w:tcBorders>
              <w:top w:val="nil"/>
              <w:left w:val="nil"/>
              <w:bottom w:val="nil"/>
              <w:right w:val="nil"/>
            </w:tcBorders>
            <w:tcMar>
              <w:top w:w="0" w:type="dxa"/>
              <w:left w:w="62" w:type="dxa"/>
              <w:bottom w:w="0" w:type="dxa"/>
              <w:right w:w="62" w:type="dxa"/>
            </w:tcMar>
          </w:tcPr>
          <w:p w:rsidR="00000000" w:rsidP="001E7B59">
            <w:pPr>
              <w:pStyle w:val="BodyText"/>
              <w:rPr>
                <w:lang w:val="en-NZ"/>
              </w:rPr>
            </w:pPr>
            <w:r w:rsidRPr="001E7B59">
              <w:rPr>
                <w:rStyle w:val="SpecialBold"/>
              </w:rPr>
              <w:t>PERFORMANCE CRITERIA</w:t>
            </w:r>
          </w:p>
        </w:tc>
      </w:tr>
      <w:tr w:rsidTr="001E7B59">
        <w:tblPrEx>
          <w:tblW w:w="9301" w:type="dxa"/>
          <w:tblLayout w:type="fixed"/>
          <w:tblCellMar>
            <w:left w:w="62" w:type="dxa"/>
            <w:right w:w="62" w:type="dxa"/>
          </w:tblCellMar>
          <w:tblLook w:val="0000"/>
        </w:tblPrEx>
        <w:tc>
          <w:tcPr>
            <w:tcW w:w="2967" w:type="dxa"/>
            <w:gridSpan w:val="2"/>
            <w:tcBorders>
              <w:top w:val="nil"/>
              <w:left w:val="nil"/>
              <w:bottom w:val="nil"/>
              <w:right w:val="nil"/>
            </w:tcBorders>
            <w:tcMar>
              <w:top w:w="0" w:type="dxa"/>
              <w:left w:w="62" w:type="dxa"/>
              <w:bottom w:w="0" w:type="dxa"/>
              <w:right w:w="62" w:type="dxa"/>
            </w:tcMar>
          </w:tcPr>
          <w:p w:rsidR="00000000" w:rsidP="001E7B59">
            <w:pPr>
              <w:pStyle w:val="BodyText"/>
              <w:rPr>
                <w:lang w:val="en-NZ"/>
              </w:rPr>
            </w:pPr>
            <w:r w:rsidRPr="001E7B59">
              <w:t>Elements describe the essential outcomes.</w:t>
            </w:r>
          </w:p>
        </w:tc>
        <w:tc>
          <w:tcPr>
            <w:tcW w:w="6334" w:type="dxa"/>
            <w:gridSpan w:val="2"/>
            <w:tcBorders>
              <w:top w:val="nil"/>
              <w:left w:val="nil"/>
              <w:bottom w:val="nil"/>
              <w:right w:val="nil"/>
            </w:tcBorders>
            <w:tcMar>
              <w:top w:w="0" w:type="dxa"/>
              <w:left w:w="62" w:type="dxa"/>
              <w:bottom w:w="0" w:type="dxa"/>
              <w:right w:w="62" w:type="dxa"/>
            </w:tcMar>
          </w:tcPr>
          <w:p w:rsidR="00000000" w:rsidP="001E7B59">
            <w:pPr>
              <w:pStyle w:val="BodyText"/>
              <w:rPr>
                <w:lang w:val="en-NZ"/>
              </w:rPr>
            </w:pPr>
            <w:r w:rsidRPr="001E7B59">
              <w:t>Performance criteria describe the performance needed to demonstrate achievement of the element.</w:t>
            </w:r>
          </w:p>
        </w:tc>
      </w:tr>
      <w:tr w:rsidTr="001E7B59">
        <w:tblPrEx>
          <w:tblW w:w="9301" w:type="dxa"/>
          <w:tblLayout w:type="fixed"/>
          <w:tblCellMar>
            <w:left w:w="62" w:type="dxa"/>
            <w:right w:w="62" w:type="dxa"/>
          </w:tblCellMar>
          <w:tblLook w:val="0000"/>
        </w:tblPrEx>
        <w:tc>
          <w:tcPr>
            <w:tcW w:w="378" w:type="dxa"/>
            <w:vMerge w:val="restart"/>
            <w:tcBorders>
              <w:top w:val="nil"/>
              <w:left w:val="nil"/>
              <w:bottom w:val="nil"/>
              <w:right w:val="nil"/>
            </w:tcBorders>
            <w:tcMar>
              <w:top w:w="0" w:type="dxa"/>
              <w:left w:w="62" w:type="dxa"/>
              <w:bottom w:w="0" w:type="dxa"/>
              <w:right w:w="62" w:type="dxa"/>
            </w:tcMar>
          </w:tcPr>
          <w:p w:rsidR="00000000" w:rsidP="001E7B59">
            <w:pPr>
              <w:pStyle w:val="BodyText"/>
              <w:rPr>
                <w:lang w:val="en-NZ"/>
              </w:rPr>
            </w:pPr>
            <w:r w:rsidRPr="001E7B59">
              <w:t>1.</w:t>
            </w:r>
          </w:p>
        </w:tc>
        <w:tc>
          <w:tcPr>
            <w:tcW w:w="2589" w:type="dxa"/>
            <w:vMerge w:val="restart"/>
            <w:tcBorders>
              <w:top w:val="nil"/>
              <w:left w:val="nil"/>
              <w:bottom w:val="nil"/>
              <w:right w:val="nil"/>
            </w:tcBorders>
            <w:tcMar>
              <w:top w:w="0" w:type="dxa"/>
              <w:left w:w="62" w:type="dxa"/>
              <w:bottom w:w="0" w:type="dxa"/>
              <w:right w:w="62" w:type="dxa"/>
            </w:tcMar>
          </w:tcPr>
          <w:p w:rsidR="00000000" w:rsidP="001E7B59">
            <w:pPr>
              <w:pStyle w:val="BodyText"/>
              <w:rPr>
                <w:lang w:val="en-NZ"/>
              </w:rPr>
            </w:pPr>
            <w:r w:rsidRPr="001E7B59">
              <w:t>Maintain proper custody of aircraft, aeronautical product and support equipment</w:t>
            </w:r>
          </w:p>
        </w:tc>
        <w:tc>
          <w:tcPr>
            <w:tcW w:w="484" w:type="dxa"/>
            <w:tcBorders>
              <w:top w:val="nil"/>
              <w:left w:val="nil"/>
              <w:bottom w:val="nil"/>
              <w:right w:val="nil"/>
            </w:tcBorders>
            <w:tcMar>
              <w:top w:w="0" w:type="dxa"/>
              <w:left w:w="62" w:type="dxa"/>
              <w:bottom w:w="0" w:type="dxa"/>
              <w:right w:w="62" w:type="dxa"/>
            </w:tcMar>
          </w:tcPr>
          <w:p w:rsidR="00000000" w:rsidP="001E7B59">
            <w:pPr>
              <w:pStyle w:val="BodyText"/>
              <w:rPr>
                <w:lang w:val="en-NZ"/>
              </w:rPr>
            </w:pPr>
            <w:r w:rsidRPr="001E7B59">
              <w:t>1.1</w:t>
            </w:r>
          </w:p>
        </w:tc>
        <w:tc>
          <w:tcPr>
            <w:tcW w:w="5850" w:type="dxa"/>
            <w:tcBorders>
              <w:top w:val="nil"/>
              <w:left w:val="nil"/>
              <w:bottom w:val="nil"/>
              <w:right w:val="nil"/>
            </w:tcBorders>
            <w:tcMar>
              <w:top w:w="0" w:type="dxa"/>
              <w:left w:w="62" w:type="dxa"/>
              <w:bottom w:w="0" w:type="dxa"/>
              <w:right w:w="62" w:type="dxa"/>
            </w:tcMar>
          </w:tcPr>
          <w:p w:rsidR="00000000" w:rsidP="001E7B59">
            <w:pPr>
              <w:pStyle w:val="BodyText"/>
              <w:rPr>
                <w:lang w:val="en-NZ"/>
              </w:rPr>
            </w:pPr>
            <w:r w:rsidRPr="001E7B59">
              <w:t>Maintain and/or store aircraft and aeronautical product in facilities or circumstances that comply with regulatory requirements, and organisational policies and procedures</w:t>
            </w:r>
          </w:p>
        </w:tc>
      </w:tr>
      <w:tr w:rsidTr="001E7B59">
        <w:tblPrEx>
          <w:tblW w:w="9301" w:type="dxa"/>
          <w:tblLayout w:type="fixed"/>
          <w:tblCellMar>
            <w:left w:w="62" w:type="dxa"/>
            <w:right w:w="62" w:type="dxa"/>
          </w:tblCellMar>
          <w:tblLook w:val="0000"/>
        </w:tblPrEx>
        <w:tc>
          <w:tcPr>
            <w:tcW w:w="3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8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1E7B59">
            <w:pPr>
              <w:pStyle w:val="BodyText"/>
              <w:rPr>
                <w:lang w:val="en-NZ"/>
              </w:rPr>
            </w:pPr>
            <w:r w:rsidRPr="001E7B59">
              <w:t>1.2</w:t>
            </w:r>
          </w:p>
        </w:tc>
        <w:tc>
          <w:tcPr>
            <w:tcW w:w="5850" w:type="dxa"/>
            <w:tcBorders>
              <w:top w:val="nil"/>
              <w:left w:val="nil"/>
              <w:bottom w:val="nil"/>
              <w:right w:val="nil"/>
            </w:tcBorders>
            <w:tcMar>
              <w:top w:w="0" w:type="dxa"/>
              <w:left w:w="62" w:type="dxa"/>
              <w:bottom w:w="0" w:type="dxa"/>
              <w:right w:w="62" w:type="dxa"/>
            </w:tcMar>
          </w:tcPr>
          <w:p w:rsidR="00000000" w:rsidP="001E7B59">
            <w:pPr>
              <w:pStyle w:val="BodyText"/>
              <w:rPr>
                <w:lang w:val="en-NZ"/>
              </w:rPr>
            </w:pPr>
            <w:r w:rsidRPr="001E7B59">
              <w:t xml:space="preserve">Store special test equipment in required environmental </w:t>
            </w:r>
            <w:r w:rsidRPr="001E7B59">
              <w:t>conditions and carry out calibration at required intervals</w:t>
            </w:r>
          </w:p>
        </w:tc>
      </w:tr>
      <w:tr w:rsidTr="001E7B59">
        <w:tblPrEx>
          <w:tblW w:w="9301" w:type="dxa"/>
          <w:tblLayout w:type="fixed"/>
          <w:tblCellMar>
            <w:left w:w="62" w:type="dxa"/>
            <w:right w:w="62" w:type="dxa"/>
          </w:tblCellMar>
          <w:tblLook w:val="0000"/>
        </w:tblPrEx>
        <w:tc>
          <w:tcPr>
            <w:tcW w:w="3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8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1E7B59">
            <w:pPr>
              <w:pStyle w:val="BodyText"/>
              <w:rPr>
                <w:lang w:val="en-NZ"/>
              </w:rPr>
            </w:pPr>
            <w:r w:rsidRPr="001E7B59">
              <w:t>1.3</w:t>
            </w:r>
          </w:p>
        </w:tc>
        <w:tc>
          <w:tcPr>
            <w:tcW w:w="5850" w:type="dxa"/>
            <w:tcBorders>
              <w:top w:val="nil"/>
              <w:left w:val="nil"/>
              <w:bottom w:val="nil"/>
              <w:right w:val="nil"/>
            </w:tcBorders>
            <w:tcMar>
              <w:top w:w="0" w:type="dxa"/>
              <w:left w:w="62" w:type="dxa"/>
              <w:bottom w:w="0" w:type="dxa"/>
              <w:right w:w="62" w:type="dxa"/>
            </w:tcMar>
          </w:tcPr>
          <w:p w:rsidR="00000000" w:rsidP="001E7B59">
            <w:pPr>
              <w:pStyle w:val="BodyText"/>
              <w:rPr>
                <w:lang w:val="en-NZ"/>
              </w:rPr>
            </w:pPr>
            <w:r w:rsidRPr="001E7B59">
              <w:t>Store and operate ground support equipment in an environment that prevents undue deterioration and wear</w:t>
            </w:r>
          </w:p>
        </w:tc>
      </w:tr>
      <w:tr w:rsidTr="001E7B59">
        <w:tblPrEx>
          <w:tblW w:w="9301" w:type="dxa"/>
          <w:tblLayout w:type="fixed"/>
          <w:tblCellMar>
            <w:left w:w="62" w:type="dxa"/>
            <w:right w:w="62" w:type="dxa"/>
          </w:tblCellMar>
          <w:tblLook w:val="0000"/>
        </w:tblPrEx>
        <w:tc>
          <w:tcPr>
            <w:tcW w:w="3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8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1E7B59">
            <w:pPr>
              <w:pStyle w:val="BodyText"/>
              <w:rPr>
                <w:lang w:val="en-NZ"/>
              </w:rPr>
            </w:pPr>
            <w:r w:rsidRPr="001E7B59">
              <w:t>1.4</w:t>
            </w:r>
          </w:p>
        </w:tc>
        <w:tc>
          <w:tcPr>
            <w:tcW w:w="5850" w:type="dxa"/>
            <w:tcBorders>
              <w:top w:val="nil"/>
              <w:left w:val="nil"/>
              <w:bottom w:val="nil"/>
              <w:right w:val="nil"/>
            </w:tcBorders>
            <w:tcMar>
              <w:top w:w="0" w:type="dxa"/>
              <w:left w:w="62" w:type="dxa"/>
              <w:bottom w:w="0" w:type="dxa"/>
              <w:right w:w="62" w:type="dxa"/>
            </w:tcMar>
          </w:tcPr>
          <w:p w:rsidR="00000000" w:rsidP="001E7B59">
            <w:pPr>
              <w:pStyle w:val="BodyText"/>
              <w:rPr>
                <w:lang w:val="en-NZ"/>
              </w:rPr>
            </w:pPr>
            <w:r w:rsidRPr="001E7B59">
              <w:t>Observe storage and control requirements for hazardous and controlled materials</w:t>
            </w:r>
          </w:p>
        </w:tc>
      </w:tr>
      <w:tr w:rsidTr="001E7B59">
        <w:tblPrEx>
          <w:tblW w:w="9301" w:type="dxa"/>
          <w:tblLayout w:type="fixed"/>
          <w:tblCellMar>
            <w:left w:w="62" w:type="dxa"/>
            <w:right w:w="62" w:type="dxa"/>
          </w:tblCellMar>
          <w:tblLook w:val="0000"/>
        </w:tblPrEx>
        <w:tc>
          <w:tcPr>
            <w:tcW w:w="3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8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1E7B59">
            <w:pPr>
              <w:pStyle w:val="BodyText"/>
              <w:rPr>
                <w:lang w:val="en-NZ"/>
              </w:rPr>
            </w:pPr>
            <w:r w:rsidRPr="001E7B59">
              <w:t>1.5</w:t>
            </w:r>
          </w:p>
        </w:tc>
        <w:tc>
          <w:tcPr>
            <w:tcW w:w="5850" w:type="dxa"/>
            <w:tcBorders>
              <w:top w:val="nil"/>
              <w:left w:val="nil"/>
              <w:bottom w:val="nil"/>
              <w:right w:val="nil"/>
            </w:tcBorders>
            <w:tcMar>
              <w:top w:w="0" w:type="dxa"/>
              <w:left w:w="62" w:type="dxa"/>
              <w:bottom w:w="0" w:type="dxa"/>
              <w:right w:w="62" w:type="dxa"/>
            </w:tcMar>
          </w:tcPr>
          <w:p w:rsidR="00000000" w:rsidP="001E7B59">
            <w:pPr>
              <w:pStyle w:val="BodyText"/>
              <w:rPr>
                <w:lang w:val="en-NZ"/>
              </w:rPr>
            </w:pPr>
            <w:r w:rsidRPr="001E7B59">
              <w:t>Maintain maintenance records and documentation according to regulatory requirements, and organisational policies and procedures</w:t>
            </w:r>
          </w:p>
        </w:tc>
      </w:tr>
      <w:tr w:rsidTr="001E7B59">
        <w:tblPrEx>
          <w:tblW w:w="9301" w:type="dxa"/>
          <w:tblLayout w:type="fixed"/>
          <w:tblCellMar>
            <w:left w:w="62" w:type="dxa"/>
            <w:right w:w="62" w:type="dxa"/>
          </w:tblCellMar>
          <w:tblLook w:val="0000"/>
        </w:tblPrEx>
        <w:tc>
          <w:tcPr>
            <w:tcW w:w="378" w:type="dxa"/>
            <w:vMerge w:val="restart"/>
            <w:tcBorders>
              <w:top w:val="nil"/>
              <w:left w:val="nil"/>
              <w:bottom w:val="nil"/>
              <w:right w:val="nil"/>
            </w:tcBorders>
            <w:tcMar>
              <w:top w:w="0" w:type="dxa"/>
              <w:left w:w="62" w:type="dxa"/>
              <w:bottom w:w="0" w:type="dxa"/>
              <w:right w:w="62" w:type="dxa"/>
            </w:tcMar>
          </w:tcPr>
          <w:p w:rsidR="00000000" w:rsidP="001E7B59">
            <w:pPr>
              <w:pStyle w:val="BodyText"/>
              <w:rPr>
                <w:lang w:val="en-NZ"/>
              </w:rPr>
            </w:pPr>
            <w:r w:rsidRPr="001E7B59">
              <w:t>2.</w:t>
            </w:r>
          </w:p>
        </w:tc>
        <w:tc>
          <w:tcPr>
            <w:tcW w:w="2589" w:type="dxa"/>
            <w:vMerge w:val="restart"/>
            <w:tcBorders>
              <w:top w:val="nil"/>
              <w:left w:val="nil"/>
              <w:bottom w:val="nil"/>
              <w:right w:val="nil"/>
            </w:tcBorders>
            <w:tcMar>
              <w:top w:w="0" w:type="dxa"/>
              <w:left w:w="62" w:type="dxa"/>
              <w:bottom w:w="0" w:type="dxa"/>
              <w:right w:w="62" w:type="dxa"/>
            </w:tcMar>
          </w:tcPr>
          <w:p w:rsidR="00000000" w:rsidP="001E7B59">
            <w:pPr>
              <w:pStyle w:val="BodyText"/>
              <w:rPr>
                <w:lang w:val="en-NZ"/>
              </w:rPr>
            </w:pPr>
            <w:r w:rsidRPr="001E7B59">
              <w:t>Transfer aircraft, aeronautical product and support equipment between organisations</w:t>
            </w:r>
          </w:p>
        </w:tc>
        <w:tc>
          <w:tcPr>
            <w:tcW w:w="484" w:type="dxa"/>
            <w:tcBorders>
              <w:top w:val="nil"/>
              <w:left w:val="nil"/>
              <w:bottom w:val="nil"/>
              <w:right w:val="nil"/>
            </w:tcBorders>
            <w:tcMar>
              <w:top w:w="0" w:type="dxa"/>
              <w:left w:w="62" w:type="dxa"/>
              <w:bottom w:w="0" w:type="dxa"/>
              <w:right w:w="62" w:type="dxa"/>
            </w:tcMar>
          </w:tcPr>
          <w:p w:rsidR="00000000" w:rsidP="001E7B59">
            <w:pPr>
              <w:pStyle w:val="BodyText"/>
              <w:rPr>
                <w:lang w:val="en-NZ"/>
              </w:rPr>
            </w:pPr>
            <w:r w:rsidRPr="001E7B59">
              <w:t>2.1</w:t>
            </w:r>
          </w:p>
        </w:tc>
        <w:tc>
          <w:tcPr>
            <w:tcW w:w="5850" w:type="dxa"/>
            <w:tcBorders>
              <w:top w:val="nil"/>
              <w:left w:val="nil"/>
              <w:bottom w:val="nil"/>
              <w:right w:val="nil"/>
            </w:tcBorders>
            <w:tcMar>
              <w:top w:w="0" w:type="dxa"/>
              <w:left w:w="62" w:type="dxa"/>
              <w:bottom w:w="0" w:type="dxa"/>
              <w:right w:w="62" w:type="dxa"/>
            </w:tcMar>
          </w:tcPr>
          <w:p w:rsidR="00000000" w:rsidP="001E7B59">
            <w:pPr>
              <w:pStyle w:val="BodyText"/>
              <w:rPr>
                <w:lang w:val="en-NZ"/>
              </w:rPr>
            </w:pPr>
            <w:r w:rsidRPr="001E7B59">
              <w:t>Transfer aircraft, aeronautical product and support equipment between organisations according to regulatory requirements, and organisational policies and procedures</w:t>
            </w:r>
          </w:p>
        </w:tc>
      </w:tr>
      <w:tr w:rsidTr="001E7B59">
        <w:tblPrEx>
          <w:tblW w:w="9301" w:type="dxa"/>
          <w:tblLayout w:type="fixed"/>
          <w:tblCellMar>
            <w:left w:w="62" w:type="dxa"/>
            <w:right w:w="62" w:type="dxa"/>
          </w:tblCellMar>
          <w:tblLook w:val="0000"/>
        </w:tblPrEx>
        <w:tc>
          <w:tcPr>
            <w:tcW w:w="3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8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1E7B59">
            <w:pPr>
              <w:pStyle w:val="BodyText"/>
              <w:rPr>
                <w:lang w:val="en-NZ"/>
              </w:rPr>
            </w:pPr>
            <w:r w:rsidRPr="001E7B59">
              <w:t>2.2</w:t>
            </w:r>
          </w:p>
        </w:tc>
        <w:tc>
          <w:tcPr>
            <w:tcW w:w="5850" w:type="dxa"/>
            <w:tcBorders>
              <w:top w:val="nil"/>
              <w:left w:val="nil"/>
              <w:bottom w:val="nil"/>
              <w:right w:val="nil"/>
            </w:tcBorders>
            <w:tcMar>
              <w:top w:w="0" w:type="dxa"/>
              <w:left w:w="62" w:type="dxa"/>
              <w:bottom w:w="0" w:type="dxa"/>
              <w:right w:w="62" w:type="dxa"/>
            </w:tcMar>
          </w:tcPr>
          <w:p w:rsidR="00000000" w:rsidP="001E7B59">
            <w:pPr>
              <w:pStyle w:val="BodyText"/>
              <w:rPr>
                <w:lang w:val="en-NZ"/>
              </w:rPr>
            </w:pPr>
            <w:r w:rsidRPr="001E7B59">
              <w:t>Transfer maintenance records and documentation between organisations according to regulatory requirements, and organisational policies and procedures</w:t>
            </w:r>
          </w:p>
        </w:tc>
      </w:tr>
      <w:tr w:rsidTr="001E7B59">
        <w:tblPrEx>
          <w:tblW w:w="9301" w:type="dxa"/>
          <w:tblLayout w:type="fixed"/>
          <w:tblCellMar>
            <w:left w:w="62" w:type="dxa"/>
            <w:right w:w="62" w:type="dxa"/>
          </w:tblCellMar>
          <w:tblLook w:val="0000"/>
        </w:tblPrEx>
        <w:tc>
          <w:tcPr>
            <w:tcW w:w="378" w:type="dxa"/>
            <w:vMerge w:val="restart"/>
            <w:tcBorders>
              <w:top w:val="nil"/>
              <w:left w:val="nil"/>
              <w:bottom w:val="nil"/>
              <w:right w:val="nil"/>
            </w:tcBorders>
            <w:tcMar>
              <w:top w:w="0" w:type="dxa"/>
              <w:left w:w="62" w:type="dxa"/>
              <w:bottom w:w="0" w:type="dxa"/>
              <w:right w:w="62" w:type="dxa"/>
            </w:tcMar>
          </w:tcPr>
          <w:p w:rsidR="00000000" w:rsidP="001E7B59">
            <w:pPr>
              <w:pStyle w:val="BodyText"/>
              <w:rPr>
                <w:lang w:val="en-NZ"/>
              </w:rPr>
            </w:pPr>
            <w:r w:rsidRPr="001E7B59">
              <w:t>3.</w:t>
            </w:r>
          </w:p>
        </w:tc>
        <w:tc>
          <w:tcPr>
            <w:tcW w:w="2589" w:type="dxa"/>
            <w:vMerge w:val="restart"/>
            <w:tcBorders>
              <w:top w:val="nil"/>
              <w:left w:val="nil"/>
              <w:bottom w:val="nil"/>
              <w:right w:val="nil"/>
            </w:tcBorders>
            <w:tcMar>
              <w:top w:w="0" w:type="dxa"/>
              <w:left w:w="62" w:type="dxa"/>
              <w:bottom w:w="0" w:type="dxa"/>
              <w:right w:w="62" w:type="dxa"/>
            </w:tcMar>
          </w:tcPr>
          <w:p w:rsidR="00000000" w:rsidP="001E7B59">
            <w:pPr>
              <w:pStyle w:val="BodyText"/>
              <w:rPr>
                <w:lang w:val="en-NZ"/>
              </w:rPr>
            </w:pPr>
            <w:r w:rsidRPr="001E7B59">
              <w:t>Dispose of aircraft, aeronautical product and support equipment</w:t>
            </w:r>
          </w:p>
        </w:tc>
        <w:tc>
          <w:tcPr>
            <w:tcW w:w="484" w:type="dxa"/>
            <w:tcBorders>
              <w:top w:val="nil"/>
              <w:left w:val="nil"/>
              <w:bottom w:val="nil"/>
              <w:right w:val="nil"/>
            </w:tcBorders>
            <w:tcMar>
              <w:top w:w="0" w:type="dxa"/>
              <w:left w:w="62" w:type="dxa"/>
              <w:bottom w:w="0" w:type="dxa"/>
              <w:right w:w="62" w:type="dxa"/>
            </w:tcMar>
          </w:tcPr>
          <w:p w:rsidR="00000000" w:rsidP="001E7B59">
            <w:pPr>
              <w:pStyle w:val="BodyText"/>
              <w:rPr>
                <w:lang w:val="en-NZ"/>
              </w:rPr>
            </w:pPr>
            <w:r w:rsidRPr="001E7B59">
              <w:t>3.1</w:t>
            </w:r>
          </w:p>
        </w:tc>
        <w:tc>
          <w:tcPr>
            <w:tcW w:w="5850" w:type="dxa"/>
            <w:tcBorders>
              <w:top w:val="nil"/>
              <w:left w:val="nil"/>
              <w:bottom w:val="nil"/>
              <w:right w:val="nil"/>
            </w:tcBorders>
            <w:tcMar>
              <w:top w:w="0" w:type="dxa"/>
              <w:left w:w="62" w:type="dxa"/>
              <w:bottom w:w="0" w:type="dxa"/>
              <w:right w:w="62" w:type="dxa"/>
            </w:tcMar>
          </w:tcPr>
          <w:p w:rsidR="00000000" w:rsidP="001E7B59">
            <w:pPr>
              <w:pStyle w:val="BodyText"/>
              <w:rPr>
                <w:lang w:val="en-NZ"/>
              </w:rPr>
            </w:pPr>
            <w:r w:rsidRPr="001E7B59">
              <w:t>Classify aircraft, items of aeronautical product and support equipment for disposal, and compile required documentation to allow disposal, in line with regulatory requirements, and organisational policies and procedures</w:t>
            </w:r>
          </w:p>
        </w:tc>
      </w:tr>
      <w:tr w:rsidTr="001E7B59">
        <w:tblPrEx>
          <w:tblW w:w="9301" w:type="dxa"/>
          <w:tblLayout w:type="fixed"/>
          <w:tblCellMar>
            <w:left w:w="62" w:type="dxa"/>
            <w:right w:w="62" w:type="dxa"/>
          </w:tblCellMar>
          <w:tblLook w:val="0000"/>
        </w:tblPrEx>
        <w:tc>
          <w:tcPr>
            <w:tcW w:w="3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8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1E7B59">
            <w:pPr>
              <w:pStyle w:val="BodyText"/>
              <w:rPr>
                <w:lang w:val="en-NZ"/>
              </w:rPr>
            </w:pPr>
            <w:r w:rsidRPr="001E7B59">
              <w:t>3.2</w:t>
            </w:r>
          </w:p>
        </w:tc>
        <w:tc>
          <w:tcPr>
            <w:tcW w:w="5850" w:type="dxa"/>
            <w:tcBorders>
              <w:top w:val="nil"/>
              <w:left w:val="nil"/>
              <w:bottom w:val="nil"/>
              <w:right w:val="nil"/>
            </w:tcBorders>
            <w:tcMar>
              <w:top w:w="0" w:type="dxa"/>
              <w:left w:w="62" w:type="dxa"/>
              <w:bottom w:w="0" w:type="dxa"/>
              <w:right w:w="62" w:type="dxa"/>
            </w:tcMar>
          </w:tcPr>
          <w:p w:rsidR="00000000" w:rsidP="001E7B59">
            <w:pPr>
              <w:pStyle w:val="BodyText"/>
              <w:rPr>
                <w:lang w:val="en-NZ"/>
              </w:rPr>
            </w:pPr>
            <w:r w:rsidRPr="001E7B59">
              <w:t>Prepare aircraft and items of</w:t>
            </w:r>
            <w:r w:rsidRPr="001E7B59">
              <w:t xml:space="preserve"> aeronautical product for disposal as directed</w:t>
            </w:r>
          </w:p>
        </w:tc>
      </w:tr>
      <w:tr w:rsidTr="001E7B59">
        <w:tblPrEx>
          <w:tblW w:w="9301" w:type="dxa"/>
          <w:tblLayout w:type="fixed"/>
          <w:tblCellMar>
            <w:left w:w="62" w:type="dxa"/>
            <w:right w:w="62" w:type="dxa"/>
          </w:tblCellMar>
          <w:tblLook w:val="0000"/>
        </w:tblPrEx>
        <w:tc>
          <w:tcPr>
            <w:tcW w:w="3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8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1E7B59">
            <w:pPr>
              <w:pStyle w:val="BodyText"/>
              <w:rPr>
                <w:lang w:val="en-NZ"/>
              </w:rPr>
            </w:pPr>
            <w:r w:rsidRPr="001E7B59">
              <w:t>3.3</w:t>
            </w:r>
          </w:p>
        </w:tc>
        <w:tc>
          <w:tcPr>
            <w:tcW w:w="5850" w:type="dxa"/>
            <w:tcBorders>
              <w:top w:val="nil"/>
              <w:left w:val="nil"/>
              <w:bottom w:val="nil"/>
              <w:right w:val="nil"/>
            </w:tcBorders>
            <w:tcMar>
              <w:top w:w="0" w:type="dxa"/>
              <w:left w:w="62" w:type="dxa"/>
              <w:bottom w:w="0" w:type="dxa"/>
              <w:right w:w="62" w:type="dxa"/>
            </w:tcMar>
          </w:tcPr>
          <w:p w:rsidR="00000000" w:rsidRPr="001E7B59" w:rsidP="001E7B59">
            <w:pPr>
              <w:pStyle w:val="BodyText"/>
            </w:pPr>
            <w:r w:rsidRPr="001E7B59">
              <w:t>Retain and store maintenance records and documentation according to regulatory requirements, and organisational policies and procedures</w:t>
            </w:r>
          </w:p>
        </w:tc>
      </w:tr>
    </w:tbl>
    <w:p w:rsidR="00000000" w:rsidRPr="001E7B59" w:rsidP="001E7B59">
      <w:pPr>
        <w:pStyle w:val="BodyText"/>
      </w:pPr>
    </w:p>
    <w:p w:rsidR="00000000" w:rsidRPr="001E7B59" w:rsidP="001E7B59">
      <w:pPr>
        <w:pStyle w:val="AllowPageBreak"/>
      </w:pPr>
    </w:p>
    <w:p w:rsidR="00000000" w:rsidRPr="001E7B59" w:rsidP="001E7B59">
      <w:pPr>
        <w:pStyle w:val="Heading1"/>
      </w:pPr>
      <w:bookmarkStart w:id="6" w:name="O_975135"/>
      <w:bookmarkEnd w:id="6"/>
      <w:r w:rsidRPr="001E7B59">
        <w:t>Foundation Skills</w:t>
      </w:r>
    </w:p>
    <w:p w:rsidR="00000000" w:rsidRPr="001E7B59" w:rsidP="00534E51">
      <w:pPr>
        <w:pStyle w:val="BodyText"/>
      </w:pPr>
      <w:r w:rsidRPr="001E7B59">
        <w:t>Foundation skills essential to performance are explicit in the performance criteria of this unit of competency.</w:t>
      </w:r>
    </w:p>
    <w:p w:rsidR="00000000" w:rsidRPr="001E7B59" w:rsidP="001E7B59">
      <w:pPr>
        <w:pStyle w:val="Heading1"/>
      </w:pPr>
      <w:bookmarkStart w:id="7" w:name="O_975133"/>
      <w:bookmarkEnd w:id="7"/>
      <w:r w:rsidRPr="001E7B59">
        <w:t>Unit Mapping Information</w:t>
      </w:r>
    </w:p>
    <w:p w:rsidR="00000000" w:rsidRPr="001E7B59" w:rsidP="00534E51">
      <w:pPr>
        <w:pStyle w:val="BodyText"/>
      </w:pPr>
      <w:r w:rsidRPr="001E7B59">
        <w:t>Release 2. Equivalent to MEA131 Manage the custody, transfer and disposal of aircraft, aeronautical pr</w:t>
      </w:r>
      <w:r w:rsidRPr="001E7B59">
        <w:t>oduct and support equipment.</w:t>
      </w:r>
    </w:p>
    <w:p w:rsidR="00000000" w:rsidRPr="001E7B59" w:rsidP="001E7B59">
      <w:pPr>
        <w:pStyle w:val="Heading1"/>
      </w:pPr>
      <w:bookmarkStart w:id="8" w:name="O_975142"/>
      <w:bookmarkEnd w:id="8"/>
      <w:r w:rsidRPr="001E7B59">
        <w:t>Links</w:t>
      </w:r>
    </w:p>
    <w:p w:rsidR="00000000" w:rsidRPr="001E7B59" w:rsidP="00534E51">
      <w:pPr>
        <w:pStyle w:val="BodyText"/>
      </w:pPr>
      <w:r w:rsidRPr="001E7B59">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0A6B11">
        <w:rPr>
          <w:rStyle w:val="Hyperlink"/>
        </w:rPr>
        <w:t>https://vetnet.gov.au/Pages/TrainingDocs.aspx?q=ce216c9c-04d5-4b3b-9bcf-4e81d0950371</w:t>
      </w:r>
      <w:r>
        <w:fldChar w:fldCharType="end"/>
      </w:r>
    </w:p>
    <w:p w:rsidR="00000000" w:rsidRPr="001E7B59" w:rsidP="00534E51">
      <w:pPr>
        <w:pStyle w:val="BodyText"/>
        <w:sectPr w:rsidSect="001E7B59">
          <w:headerReference w:type="default" r:id="rId10"/>
          <w:footerReference w:type="default" r:id="rId11"/>
          <w:pgSz w:w="11908" w:h="16833"/>
          <w:pgMar w:top="1702" w:right="1418" w:bottom="1702" w:left="1418" w:header="992" w:footer="992" w:gutter="0"/>
          <w:cols w:space="720"/>
          <w:noEndnote/>
          <w:docGrid w:linePitch="299"/>
        </w:sectPr>
      </w:pPr>
    </w:p>
    <w:p w:rsidR="00000000" w:rsidRPr="001E7B59" w:rsidP="001E7B59">
      <w:pPr>
        <w:pStyle w:val="SuperHeading"/>
      </w:pPr>
      <w:r w:rsidRPr="001E7B59">
        <w:t xml:space="preserve">Assessment </w:t>
      </w:r>
      <w:r w:rsidRPr="001E7B59">
        <w:t>Requirements for MEA131 Manage the custody, transfer and disposal of aircraft, aeronautical product and support equipment</w:t>
      </w:r>
    </w:p>
    <w:p w:rsidR="00000000" w:rsidRPr="001E7B59" w:rsidP="001E7B59">
      <w:pPr>
        <w:pStyle w:val="Heading1"/>
      </w:pPr>
      <w:bookmarkStart w:id="9" w:name="O_975131"/>
      <w:bookmarkEnd w:id="9"/>
      <w:r w:rsidRPr="001E7B59">
        <w:t>Modification History</w:t>
      </w:r>
    </w:p>
    <w:p w:rsidR="00000000" w:rsidRPr="001E7B59" w:rsidP="00534E51">
      <w:pPr>
        <w:pStyle w:val="BodyText"/>
      </w:pPr>
      <w:r w:rsidRPr="001E7B59">
        <w:t>Release 2. Equivalent to MEA131 Manage the custody, transfer and disposal of aircraft, aeronautic</w:t>
      </w:r>
      <w:r w:rsidRPr="001E7B59">
        <w:t>al product and support equipment. Updated to meet training package policy requirements.</w:t>
      </w:r>
    </w:p>
    <w:p w:rsidR="00000000" w:rsidRPr="001E7B59" w:rsidP="001E7B59">
      <w:pPr>
        <w:pStyle w:val="Heading1"/>
      </w:pPr>
      <w:bookmarkStart w:id="10" w:name="O_975130"/>
      <w:bookmarkEnd w:id="10"/>
      <w:r w:rsidRPr="001E7B59">
        <w:t>Performance Evidence</w:t>
      </w:r>
    </w:p>
    <w:p w:rsidR="00000000" w:rsidRPr="001E7B59" w:rsidP="00534E51">
      <w:pPr>
        <w:pStyle w:val="BodyText"/>
      </w:pPr>
      <w:r w:rsidRPr="001E7B59">
        <w:t xml:space="preserve">There must be evidence the </w:t>
      </w:r>
      <w:r w:rsidRPr="001E7B59">
        <w:t>candidate has completed the tasks outlined in the elements and performance criteria of this unit, which must include the ability to:</w:t>
      </w:r>
    </w:p>
    <w:p w:rsidR="00000000" w:rsidRPr="001E7B59" w:rsidP="001E7B59">
      <w:pPr>
        <w:pStyle w:val="ListBullet"/>
      </w:pPr>
      <w:r w:rsidRPr="001E7B59">
        <w:t>manage the custody, transfer and disposal of the following under the applicable airworthiness regulatory system:</w:t>
      </w:r>
    </w:p>
    <w:p w:rsidR="00000000" w:rsidRPr="001E7B59" w:rsidP="001E7B59">
      <w:pPr>
        <w:pStyle w:val="ListBullet2"/>
      </w:pPr>
      <w:r w:rsidRPr="001E7B59">
        <w:t>one airc</w:t>
      </w:r>
      <w:r w:rsidRPr="001E7B59">
        <w:t>raft</w:t>
      </w:r>
    </w:p>
    <w:p w:rsidR="00000000" w:rsidRPr="001E7B59" w:rsidP="001E7B59">
      <w:pPr>
        <w:pStyle w:val="ListBullet2"/>
      </w:pPr>
      <w:r w:rsidRPr="001E7B59">
        <w:t>one of each of the following three types of aeronautical product and support equipment:</w:t>
      </w:r>
    </w:p>
    <w:p w:rsidR="00000000" w:rsidRPr="001E7B59" w:rsidP="001E7B59">
      <w:pPr>
        <w:pStyle w:val="ListBullet3"/>
      </w:pPr>
      <w:r w:rsidRPr="001E7B59">
        <w:t>special test equipment: measuring equipment, non-destructive testing (NDT) equipment, system test box, test stand, or automatic test equipment</w:t>
      </w:r>
    </w:p>
    <w:p w:rsidR="00000000" w:rsidRPr="001E7B59" w:rsidP="001E7B59">
      <w:pPr>
        <w:pStyle w:val="ListBullet3"/>
      </w:pPr>
      <w:r w:rsidRPr="001E7B59">
        <w:t>ground support equipment: power cart, hydraulic rig, pneumatic rig, refuelling equipment, or towing equipment</w:t>
      </w:r>
    </w:p>
    <w:p w:rsidR="00000000" w:rsidRPr="001E7B59" w:rsidP="001E7B59">
      <w:pPr>
        <w:pStyle w:val="ListBullet3"/>
      </w:pPr>
      <w:r w:rsidRPr="001E7B59">
        <w:t>hazardous and controlled material: chemicals classified as hazardous; items, such as Halon fire-extinguishers, which require an Environmental Prot</w:t>
      </w:r>
      <w:r w:rsidRPr="001E7B59">
        <w:t>ection Authority (EPA) licence for storage; and materials that have EPA standards for storage and use.</w:t>
      </w:r>
    </w:p>
    <w:p w:rsidR="00000000" w:rsidRPr="001E7B59" w:rsidP="001E7B59">
      <w:pPr>
        <w:pStyle w:val="BodyText"/>
      </w:pPr>
    </w:p>
    <w:p w:rsidR="00000000" w:rsidRPr="001E7B59" w:rsidP="00534E51">
      <w:pPr>
        <w:pStyle w:val="BodyText"/>
      </w:pPr>
      <w:r w:rsidRPr="001E7B59">
        <w:t>In the course of the above work, the candidate must:</w:t>
      </w:r>
    </w:p>
    <w:p w:rsidR="00000000" w:rsidRPr="001E7B59" w:rsidP="001E7B59">
      <w:pPr>
        <w:pStyle w:val="ListBullet"/>
      </w:pPr>
      <w:r w:rsidRPr="001E7B59">
        <w:t>demonstrate administration and management skills</w:t>
      </w:r>
    </w:p>
    <w:p w:rsidR="00000000" w:rsidRPr="001E7B59" w:rsidP="001E7B59">
      <w:pPr>
        <w:pStyle w:val="ListBullet"/>
      </w:pPr>
      <w:r w:rsidRPr="001E7B59">
        <w:t>apply technical knowledge</w:t>
      </w:r>
    </w:p>
    <w:p w:rsidR="00000000" w:rsidRPr="001E7B59" w:rsidP="001E7B59">
      <w:pPr>
        <w:pStyle w:val="ListBullet"/>
      </w:pPr>
      <w:r w:rsidRPr="001E7B59">
        <w:t xml:space="preserve">comply with regulatory </w:t>
      </w:r>
      <w:r w:rsidRPr="001E7B59">
        <w:t>requirements and required organisational policy and procedures</w:t>
      </w:r>
    </w:p>
    <w:p w:rsidR="00000000" w:rsidRPr="001E7B59" w:rsidP="001E7B59">
      <w:pPr>
        <w:pStyle w:val="ListBullet"/>
      </w:pPr>
      <w:r w:rsidRPr="001E7B59">
        <w:t>comply with environmental protection requirements.</w:t>
      </w:r>
    </w:p>
    <w:p w:rsidR="00000000" w:rsidRPr="001E7B59" w:rsidP="001E7B59">
      <w:pPr>
        <w:pStyle w:val="AllowPageBreak"/>
      </w:pPr>
    </w:p>
    <w:p w:rsidR="00000000" w:rsidRPr="001E7B59" w:rsidP="001E7B59">
      <w:pPr>
        <w:pStyle w:val="Heading1"/>
      </w:pPr>
      <w:bookmarkStart w:id="11" w:name="O_975129"/>
      <w:bookmarkEnd w:id="11"/>
      <w:r w:rsidRPr="001E7B59">
        <w:t>Knowledge Evidence</w:t>
      </w:r>
    </w:p>
    <w:p w:rsidR="00000000" w:rsidRPr="001E7B59" w:rsidP="00534E51">
      <w:pPr>
        <w:pStyle w:val="BodyText"/>
      </w:pPr>
      <w:r w:rsidRPr="001E7B59">
        <w:t>There must be evidence the candidate has knowledge of:</w:t>
      </w:r>
    </w:p>
    <w:p w:rsidR="00000000" w:rsidRPr="001E7B59" w:rsidP="001E7B59">
      <w:pPr>
        <w:pStyle w:val="ListBullet"/>
      </w:pPr>
      <w:r w:rsidRPr="001E7B59">
        <w:t>key features of aircraft maintenance and ae</w:t>
      </w:r>
      <w:r w:rsidRPr="001E7B59">
        <w:t>ronautical product maintenance requirements and instructions relating to the work described in the performance evidence</w:t>
      </w:r>
    </w:p>
    <w:p w:rsidR="00000000" w:rsidRPr="001E7B59" w:rsidP="001E7B59">
      <w:pPr>
        <w:pStyle w:val="ListBullet"/>
      </w:pPr>
      <w:r w:rsidRPr="001E7B59">
        <w:t>environmental protection requirements relating to the custody, transfer and disposal of aircraft, aeronautical product and support equip</w:t>
      </w:r>
      <w:r w:rsidRPr="001E7B59">
        <w:t>ment described in the performance evidence</w:t>
      </w:r>
    </w:p>
    <w:p w:rsidR="00000000" w:rsidRPr="001E7B59" w:rsidP="001E7B59">
      <w:pPr>
        <w:pStyle w:val="ListBullet"/>
      </w:pPr>
      <w:r w:rsidRPr="001E7B59">
        <w:t>key features of test equipment calibration requirements</w:t>
      </w:r>
    </w:p>
    <w:p w:rsidR="00000000" w:rsidRPr="001E7B59" w:rsidP="001E7B59">
      <w:pPr>
        <w:pStyle w:val="ListBullet"/>
      </w:pPr>
      <w:r w:rsidRPr="001E7B59">
        <w:t>regulatory requirements relating to the custody, transfer and disposal of aircraft, aeronautical product, support equipment and environmental protection, spe</w:t>
      </w:r>
      <w:r w:rsidRPr="001E7B59">
        <w:t>cified in:</w:t>
      </w:r>
    </w:p>
    <w:p w:rsidR="00000000" w:rsidRPr="001E7B59" w:rsidP="001E7B59">
      <w:pPr>
        <w:pStyle w:val="ListBullet2"/>
      </w:pPr>
      <w:r w:rsidRPr="001E7B59">
        <w:t>Civil Aviation Regulations (CARs) and associated Advisory Circulars (ACs)</w:t>
      </w:r>
    </w:p>
    <w:p w:rsidR="00000000" w:rsidRPr="001E7B59" w:rsidP="001E7B59">
      <w:pPr>
        <w:pStyle w:val="ListBullet2"/>
      </w:pPr>
      <w:r w:rsidRPr="001E7B59">
        <w:t>Civil Aviation Safety Regulations (CASRs), Manuals of Standards and associated Acceptable Means of Compliance and Guidance Material</w:t>
      </w:r>
    </w:p>
    <w:p w:rsidR="00000000" w:rsidRPr="001E7B59" w:rsidP="001E7B59">
      <w:pPr>
        <w:pStyle w:val="ListBullet2"/>
      </w:pPr>
      <w:r w:rsidRPr="001E7B59">
        <w:t>aviation maintenance organisation expo</w:t>
      </w:r>
      <w:r w:rsidRPr="001E7B59">
        <w:t>sitions</w:t>
      </w:r>
    </w:p>
    <w:p w:rsidR="00000000" w:rsidRPr="001E7B59" w:rsidP="001E7B59">
      <w:pPr>
        <w:pStyle w:val="ListBullet2"/>
      </w:pPr>
      <w:r w:rsidRPr="001E7B59">
        <w:t>continuing airworthiness management organisation expositions</w:t>
      </w:r>
    </w:p>
    <w:p w:rsidR="00000000" w:rsidRPr="001E7B59" w:rsidP="001E7B59">
      <w:pPr>
        <w:pStyle w:val="ListBullet2"/>
      </w:pPr>
      <w:r w:rsidRPr="001E7B59">
        <w:t>policy manuals</w:t>
      </w:r>
    </w:p>
    <w:p w:rsidR="00000000" w:rsidRPr="001E7B59" w:rsidP="001E7B59">
      <w:pPr>
        <w:pStyle w:val="ListBullet2"/>
      </w:pPr>
      <w:r w:rsidRPr="001E7B59">
        <w:t>procedures manuals</w:t>
      </w:r>
    </w:p>
    <w:p w:rsidR="00000000" w:rsidRPr="001E7B59" w:rsidP="001E7B59">
      <w:pPr>
        <w:pStyle w:val="ListBullet2"/>
      </w:pPr>
      <w:r w:rsidRPr="001E7B59">
        <w:t>AAP 7001.053 Technical Airworthiness Management Manual</w:t>
      </w:r>
    </w:p>
    <w:p w:rsidR="00000000" w:rsidRPr="001E7B59" w:rsidP="001E7B59">
      <w:pPr>
        <w:pStyle w:val="ListBullet2"/>
      </w:pPr>
      <w:r w:rsidRPr="001E7B59">
        <w:t>Defence Regulations and instructions</w:t>
      </w:r>
    </w:p>
    <w:p w:rsidR="00000000" w:rsidRPr="001E7B59" w:rsidP="001E7B59">
      <w:pPr>
        <w:pStyle w:val="ListBullet2"/>
      </w:pPr>
      <w:r w:rsidRPr="001E7B59">
        <w:t>maintenance management plans</w:t>
      </w:r>
    </w:p>
    <w:p w:rsidR="00000000" w:rsidRPr="001E7B59" w:rsidP="001E7B59">
      <w:pPr>
        <w:pStyle w:val="ListBullet2"/>
      </w:pPr>
      <w:r w:rsidRPr="001E7B59">
        <w:t>standing instructions</w:t>
      </w:r>
    </w:p>
    <w:p w:rsidR="00000000" w:rsidRPr="001E7B59" w:rsidP="001E7B59">
      <w:pPr>
        <w:pStyle w:val="ListBullet"/>
      </w:pPr>
      <w:r w:rsidRPr="001E7B59">
        <w:t>regulatory requirements and organisational policies and procedures relating to the custody, transfer and disposal of the aircraft, aeronautical product and support equipment described in the performance evidence, including those relating to:</w:t>
      </w:r>
    </w:p>
    <w:p w:rsidR="00000000" w:rsidRPr="001E7B59" w:rsidP="001E7B59">
      <w:pPr>
        <w:pStyle w:val="ListBullet2"/>
      </w:pPr>
      <w:r w:rsidRPr="001E7B59">
        <w:t xml:space="preserve">maintaining, </w:t>
      </w:r>
      <w:r w:rsidRPr="001E7B59">
        <w:t>retaining and storing maintenance records and documentation</w:t>
      </w:r>
    </w:p>
    <w:p w:rsidR="00000000" w:rsidRPr="001E7B59" w:rsidP="001E7B59">
      <w:pPr>
        <w:pStyle w:val="ListBullet2"/>
      </w:pPr>
      <w:r w:rsidRPr="001E7B59">
        <w:t>maintaining and storing aircraft and aeronautical product</w:t>
      </w:r>
    </w:p>
    <w:p w:rsidR="00000000" w:rsidRPr="001E7B59" w:rsidP="001E7B59">
      <w:pPr>
        <w:pStyle w:val="ListBullet2"/>
      </w:pPr>
      <w:r w:rsidRPr="001E7B59">
        <w:t>transferring aircraft, aeronautical product and support equipment between organisations</w:t>
      </w:r>
    </w:p>
    <w:p w:rsidR="00000000" w:rsidRPr="001E7B59" w:rsidP="001E7B59">
      <w:pPr>
        <w:pStyle w:val="ListBullet2"/>
      </w:pPr>
      <w:r w:rsidRPr="001E7B59">
        <w:t>transferring maintenance records and documentation</w:t>
      </w:r>
      <w:r w:rsidRPr="001E7B59">
        <w:t xml:space="preserve"> between organisations</w:t>
      </w:r>
    </w:p>
    <w:p w:rsidR="00000000" w:rsidRPr="001E7B59" w:rsidP="001E7B59">
      <w:pPr>
        <w:pStyle w:val="ListBullet2"/>
      </w:pPr>
      <w:r w:rsidRPr="001E7B59">
        <w:t>classifying aircraft, items of aeronautical product and support equipment for disposal</w:t>
      </w:r>
    </w:p>
    <w:p w:rsidR="00000000" w:rsidRPr="001E7B59" w:rsidP="001E7B59">
      <w:pPr>
        <w:pStyle w:val="ListBullet2"/>
      </w:pPr>
      <w:r w:rsidRPr="001E7B59">
        <w:t>compiling disposal documentation.</w:t>
      </w:r>
    </w:p>
    <w:p w:rsidR="00000000" w:rsidRPr="001E7B59" w:rsidP="001E7B59">
      <w:pPr>
        <w:pStyle w:val="AllowPageBreak"/>
      </w:pPr>
    </w:p>
    <w:p w:rsidR="00000000" w:rsidRPr="001E7B59" w:rsidP="001E7B59">
      <w:pPr>
        <w:pStyle w:val="Heading1"/>
      </w:pPr>
      <w:bookmarkStart w:id="12" w:name="O_975128"/>
      <w:bookmarkEnd w:id="12"/>
      <w:r w:rsidRPr="001E7B59">
        <w:t>Assessment Conditions</w:t>
      </w:r>
    </w:p>
    <w:p w:rsidR="00000000" w:rsidRPr="001E7B59" w:rsidP="00534E51">
      <w:pPr>
        <w:pStyle w:val="BodyText"/>
      </w:pPr>
      <w:r w:rsidRPr="001E7B59">
        <w:t xml:space="preserve">The following conditions of assessment represent the requirements of the </w:t>
      </w:r>
      <w:r w:rsidRPr="001E7B59">
        <w:t>regulators (ADF and CASA) and maintenance stakeholders and must be rigorously observed.</w:t>
      </w:r>
    </w:p>
    <w:p w:rsidR="00000000" w:rsidRPr="001E7B59" w:rsidP="00534E51">
      <w:pPr>
        <w:pStyle w:val="BodyText"/>
      </w:pPr>
      <w:r w:rsidRPr="001E7B59">
        <w:t xml:space="preserve">This unit may be assessed on the job, off the job or a combination of both. Where assessment occurs off the job, an appropriate simulation must be used where the range </w:t>
      </w:r>
      <w:r w:rsidRPr="001E7B59">
        <w:t>of conditions reflects realistic workplace situations that would be encountered in managing the custody, transfer and disposal of aircraft, aeronautical product and support equipment under the applicable airworthiness regulatory system.</w:t>
      </w:r>
    </w:p>
    <w:p w:rsidR="00000000" w:rsidRPr="001E7B59" w:rsidP="00534E51">
      <w:pPr>
        <w:pStyle w:val="BodyText"/>
      </w:pPr>
      <w:r w:rsidRPr="001E7B59">
        <w:t>The candidate must be permitted to refer to relevant workplace procedures, product and manufacturing specifications, codes, standards, manuals, and reference materials.</w:t>
      </w:r>
    </w:p>
    <w:p w:rsidR="00000000" w:rsidRPr="001E7B59" w:rsidP="00534E51">
      <w:pPr>
        <w:pStyle w:val="BodyText"/>
      </w:pPr>
      <w:r w:rsidRPr="001E7B59">
        <w:t>The candidate must have access to:</w:t>
      </w:r>
    </w:p>
    <w:p w:rsidR="00000000" w:rsidRPr="001E7B59" w:rsidP="001E7B59">
      <w:pPr>
        <w:pStyle w:val="ListBullet"/>
      </w:pPr>
      <w:r w:rsidRPr="001E7B59">
        <w:t>tools, equipment, and materials required to demonst</w:t>
      </w:r>
      <w:r w:rsidRPr="001E7B59">
        <w:t>rate the performance evidence above.</w:t>
      </w:r>
    </w:p>
    <w:p w:rsidR="00000000" w:rsidRPr="001E7B59" w:rsidP="001E7B59">
      <w:pPr>
        <w:pStyle w:val="BodyText"/>
      </w:pPr>
    </w:p>
    <w:p w:rsidR="00000000" w:rsidRPr="001E7B59" w:rsidP="00534E51">
      <w:pPr>
        <w:pStyle w:val="BodyText"/>
      </w:pPr>
      <w:r w:rsidRPr="001E7B59">
        <w:t>Candidate capability of providing the required performance and knowledge evidence must be established via the records in the Maintenance Management Competency Log. Where the individual does not have a Competency Log, e</w:t>
      </w:r>
      <w:r w:rsidRPr="001E7B59">
        <w:t>vidence of capability can be gathered through direct observation, supervisor’s reports, project work, samples and questioning.</w:t>
      </w:r>
    </w:p>
    <w:p w:rsidR="00000000" w:rsidRPr="001E7B59" w:rsidP="00534E51">
      <w:pPr>
        <w:pStyle w:val="BodyText"/>
      </w:pPr>
      <w:r w:rsidRPr="001E7B59">
        <w:t>Assessors of this unit must satisfy the assessor requirements in applicable vocational education and training legislation, framew</w:t>
      </w:r>
      <w:r w:rsidRPr="001E7B59">
        <w:t>orks and/or standards.</w:t>
      </w:r>
    </w:p>
    <w:p w:rsidR="00000000" w:rsidRPr="001E7B59" w:rsidP="00534E51">
      <w:pPr>
        <w:pStyle w:val="BodyText"/>
      </w:pPr>
      <w:r w:rsidRPr="001E7B59">
        <w:t>Where the unit is to be used for CASA licensing purposes the Assessor must also meet the criteria specified in the CASR Part 147 Manual of Standards.</w:t>
      </w:r>
    </w:p>
    <w:p w:rsidR="00000000" w:rsidRPr="001E7B59" w:rsidP="001E7B59">
      <w:pPr>
        <w:pStyle w:val="Heading1"/>
      </w:pPr>
      <w:bookmarkStart w:id="13" w:name="O_975143"/>
      <w:bookmarkEnd w:id="13"/>
      <w:r w:rsidRPr="001E7B59">
        <w:t>Links</w:t>
      </w:r>
    </w:p>
    <w:p w:rsidR="00000000" w:rsidRPr="001E7B59" w:rsidP="00534E51">
      <w:pPr>
        <w:pStyle w:val="BodyText"/>
      </w:pPr>
      <w:r w:rsidRPr="001E7B59">
        <w:t>Companion Volume implementation guides are found in VETNet -</w:t>
      </w:r>
      <w:r w:rsidRPr="001E7B59">
        <w:t xml:space="preserve"> </w:t>
      </w:r>
      <w:r>
        <w:fldChar w:fldCharType="begin"/>
      </w:r>
      <w:r>
        <w:instrText xml:space="preserve"> HYPERLINK "https://vetnet.gov.au/Pages/TrainingDocs.aspx?q=ce216c9c-04d5-4b3b-9bcf-4e81d0950371" </w:instrText>
      </w:r>
      <w:r>
        <w:fldChar w:fldCharType="separate"/>
      </w:r>
      <w:r w:rsidRPr="000A6B11">
        <w:rPr>
          <w:rStyle w:val="Hyperlink"/>
        </w:rPr>
        <w:t>https://vetnet.gov.au/Pages/TrainingDocs.aspx?q=ce216c9c-04d5-4b3b-9bcf-4e81d0950371</w:t>
      </w:r>
      <w:r>
        <w:fldChar w:fldCharType="end"/>
      </w:r>
    </w:p>
    <w:p w:rsidR="00000000" w:rsidRPr="001E7B59" w:rsidP="001E7B59"/>
    <w:sectPr w:rsidSect="001E7B5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B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B59" w:rsidRPr="00534E51" w:rsidP="00534E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B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E51" w:rsidP="001E7B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34E51" w:rsidP="001E7B5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34E51" w:rsidP="001E7B5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B59" w:rsidP="001E7B59">
    <w:pPr>
      <w:pStyle w:val="Footer"/>
      <w:framePr w:wrap="around"/>
    </w:pPr>
    <w:r>
      <w:fldChar w:fldCharType="begin"/>
    </w:r>
    <w:r>
      <w:instrText xml:space="preserve"> DOCPROPERTY  Subject  \* MERGEFORMAT </w:instrText>
    </w:r>
    <w:r>
      <w:fldChar w:fldCharType="separate"/>
    </w:r>
    <w:r w:rsidR="00534E51">
      <w:t>Approved</w:t>
    </w:r>
    <w:r w:rsidR="00534E51">
      <w:fldChar w:fldCharType="end"/>
    </w:r>
    <w:r>
      <w:tab/>
      <w:t xml:space="preserve">Page </w:t>
    </w:r>
    <w:r>
      <w:fldChar w:fldCharType="begin"/>
    </w:r>
    <w:r>
      <w:instrText xml:space="preserve"> PAGE  \* Arabic  \* MERGEFORMAT </w:instrText>
    </w:r>
    <w:r>
      <w:fldChar w:fldCharType="separate"/>
    </w:r>
    <w:r w:rsidR="00534E5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34E51">
      <w:rPr>
        <w:noProof/>
      </w:rPr>
      <w:t>4</w:t>
    </w:r>
    <w:r>
      <w:rPr>
        <w:noProof/>
      </w:rPr>
      <w:fldChar w:fldCharType="end"/>
    </w:r>
  </w:p>
  <w:p w:rsidR="001E7B59" w:rsidP="001E7B59">
    <w:pPr>
      <w:pStyle w:val="Footer"/>
      <w:framePr w:wrap="around"/>
    </w:pPr>
    <w:r>
      <w:t xml:space="preserve">© Commonwealth of Australia, </w:t>
    </w:r>
    <w:r>
      <w:fldChar w:fldCharType="begin"/>
    </w:r>
    <w:r>
      <w:instrText xml:space="preserve"> DATE  \@ "yyyy"  \* MERGEFORMAT </w:instrText>
    </w:r>
    <w:r>
      <w:fldChar w:fldCharType="separate"/>
    </w:r>
    <w:r w:rsidR="00534E51">
      <w:rPr>
        <w:noProof/>
      </w:rPr>
      <w:t>2025</w:t>
    </w:r>
    <w:r>
      <w:fldChar w:fldCharType="end"/>
    </w:r>
    <w:r>
      <w:tab/>
    </w:r>
    <w:r>
      <w:fldChar w:fldCharType="begin"/>
    </w:r>
    <w:r>
      <w:instrText xml:space="preserve"> DOCPROPERTY  Author  \* MERGEFORMAT </w:instrText>
    </w:r>
    <w:r>
      <w:fldChar w:fldCharType="separate"/>
    </w:r>
    <w:r w:rsidR="00534E51">
      <w:t>Manufacturing Industry Skills Alliance</w:t>
    </w:r>
    <w:r w:rsidR="00534E51">
      <w:fldChar w:fldCharType="end"/>
    </w:r>
  </w:p>
  <w:p w:rsidR="001E7B59" w:rsidP="001E7B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B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E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7B59" w:rsidRPr="00534E51" w:rsidP="00534E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B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E51" w:rsidRPr="002D2AF8" w:rsidP="001E7B59">
    <w:pPr>
      <w:pStyle w:val="Header"/>
      <w:framePr w:wrap="around"/>
    </w:pPr>
    <w:r>
      <w:fldChar w:fldCharType="begin"/>
    </w:r>
    <w:r>
      <w:instrText xml:space="preserve"> TITLE   \* MERGEFORMAT </w:instrText>
    </w:r>
    <w:r>
      <w:fldChar w:fldCharType="separate"/>
    </w:r>
    <w:r>
      <w:t>MEA131 Manage the custody, transfer and disposal of aircraft, aeronautical product and support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34E51" w:rsidP="001E7B5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B59" w:rsidRPr="002D2AF8" w:rsidP="001E7B59">
    <w:pPr>
      <w:pStyle w:val="Header"/>
      <w:framePr w:wrap="around"/>
    </w:pPr>
    <w:r>
      <w:fldChar w:fldCharType="begin"/>
    </w:r>
    <w:r>
      <w:instrText xml:space="preserve"> TITLE   \* MERGEFORMAT </w:instrText>
    </w:r>
    <w:r>
      <w:fldChar w:fldCharType="separate"/>
    </w:r>
    <w:r w:rsidR="00534E51">
      <w:t>MEA131 Manage the custody, transfer and disposal of aircraft, aeronautical product and support equipment</w:t>
    </w:r>
    <w:r w:rsidR="00534E51">
      <w:fldChar w:fldCharType="end"/>
    </w:r>
    <w:r>
      <w:tab/>
      <w:t xml:space="preserve">Date this document was generated: </w:t>
    </w:r>
    <w:r>
      <w:fldChar w:fldCharType="begin"/>
    </w:r>
    <w:r>
      <w:instrText xml:space="preserve"> CREATEDATE  \@ "d MMMM yyyy"  \* MERGEFORMAT </w:instrText>
    </w:r>
    <w:r>
      <w:fldChar w:fldCharType="separate"/>
    </w:r>
    <w:r w:rsidR="00534E51">
      <w:rPr>
        <w:noProof/>
      </w:rPr>
      <w:t>1 March 2025</w:t>
    </w:r>
    <w:r>
      <w:fldChar w:fldCharType="end"/>
    </w:r>
  </w:p>
  <w:p w:rsidR="001E7B59" w:rsidP="001E7B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3498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7073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061B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7B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7B59"/>
    <w:pPr>
      <w:spacing w:before="360" w:after="60"/>
      <w:outlineLvl w:val="0"/>
    </w:pPr>
    <w:rPr>
      <w:sz w:val="32"/>
    </w:rPr>
  </w:style>
  <w:style w:type="paragraph" w:styleId="Heading2">
    <w:name w:val="heading 2"/>
    <w:basedOn w:val="HeadingBase"/>
    <w:next w:val="BodyText"/>
    <w:link w:val="Heading2Char"/>
    <w:qFormat/>
    <w:rsid w:val="001E7B59"/>
    <w:pPr>
      <w:keepLines/>
      <w:spacing w:before="240" w:after="120"/>
      <w:outlineLvl w:val="1"/>
    </w:pPr>
    <w:rPr>
      <w:sz w:val="28"/>
      <w:szCs w:val="40"/>
    </w:rPr>
  </w:style>
  <w:style w:type="paragraph" w:styleId="Heading3">
    <w:name w:val="heading 3"/>
    <w:basedOn w:val="HeadingBase"/>
    <w:next w:val="BodyText"/>
    <w:link w:val="Heading3Char"/>
    <w:qFormat/>
    <w:rsid w:val="001E7B59"/>
    <w:pPr>
      <w:spacing w:before="180" w:after="120"/>
      <w:outlineLvl w:val="2"/>
    </w:pPr>
    <w:rPr>
      <w:spacing w:val="-10"/>
      <w:kern w:val="32"/>
    </w:rPr>
  </w:style>
  <w:style w:type="paragraph" w:styleId="Heading4">
    <w:name w:val="heading 4"/>
    <w:basedOn w:val="HeadingBase"/>
    <w:next w:val="BodyText"/>
    <w:link w:val="Heading4Char"/>
    <w:qFormat/>
    <w:rsid w:val="001E7B59"/>
    <w:pPr>
      <w:spacing w:before="160" w:after="120"/>
      <w:outlineLvl w:val="3"/>
    </w:pPr>
    <w:rPr>
      <w:sz w:val="22"/>
    </w:rPr>
  </w:style>
  <w:style w:type="paragraph" w:styleId="Heading5">
    <w:name w:val="heading 5"/>
    <w:basedOn w:val="HeadingBase"/>
    <w:next w:val="Normal"/>
    <w:link w:val="Heading5Char"/>
    <w:qFormat/>
    <w:rsid w:val="001E7B59"/>
    <w:pPr>
      <w:spacing w:before="80"/>
      <w:outlineLvl w:val="4"/>
    </w:pPr>
    <w:rPr>
      <w:color w:val="918585"/>
      <w:sz w:val="20"/>
    </w:rPr>
  </w:style>
  <w:style w:type="paragraph" w:styleId="Heading6">
    <w:name w:val="heading 6"/>
    <w:basedOn w:val="HeadingBase"/>
    <w:next w:val="Normal"/>
    <w:link w:val="Heading6Char"/>
    <w:qFormat/>
    <w:rsid w:val="001E7B59"/>
    <w:pPr>
      <w:spacing w:before="60"/>
      <w:outlineLvl w:val="5"/>
    </w:pPr>
    <w:rPr>
      <w:color w:val="918585"/>
      <w:sz w:val="20"/>
    </w:rPr>
  </w:style>
  <w:style w:type="paragraph" w:styleId="Heading7">
    <w:name w:val="heading 7"/>
    <w:basedOn w:val="Normal"/>
    <w:next w:val="Normal"/>
    <w:link w:val="Heading7Char"/>
    <w:qFormat/>
    <w:rsid w:val="001E7B59"/>
    <w:pPr>
      <w:ind w:left="720"/>
      <w:outlineLvl w:val="6"/>
    </w:pPr>
    <w:rPr>
      <w:i/>
    </w:rPr>
  </w:style>
  <w:style w:type="paragraph" w:styleId="Heading8">
    <w:name w:val="heading 8"/>
    <w:basedOn w:val="Normal"/>
    <w:next w:val="Normal"/>
    <w:link w:val="Heading8Char"/>
    <w:qFormat/>
    <w:rsid w:val="001E7B59"/>
    <w:pPr>
      <w:ind w:left="720"/>
      <w:outlineLvl w:val="7"/>
    </w:pPr>
    <w:rPr>
      <w:i/>
    </w:rPr>
  </w:style>
  <w:style w:type="paragraph" w:styleId="Heading9">
    <w:name w:val="heading 9"/>
    <w:basedOn w:val="Normal"/>
    <w:next w:val="Normal"/>
    <w:link w:val="Heading9Char"/>
    <w:qFormat/>
    <w:rsid w:val="001E7B59"/>
    <w:pPr>
      <w:ind w:left="720"/>
      <w:outlineLvl w:val="8"/>
    </w:pPr>
    <w:rPr>
      <w:i/>
    </w:rPr>
  </w:style>
  <w:style w:type="character" w:default="1" w:styleId="DefaultParagraphFont">
    <w:name w:val="Default Paragraph Font"/>
    <w:uiPriority w:val="1"/>
    <w:unhideWhenUsed/>
    <w:rsid w:val="001E7B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7B59"/>
  </w:style>
  <w:style w:type="character" w:customStyle="1" w:styleId="Heading1Char">
    <w:name w:val="Heading 1 Char"/>
    <w:basedOn w:val="DefaultParagraphFont"/>
    <w:link w:val="Heading1"/>
    <w:rsid w:val="001E7B59"/>
    <w:rPr>
      <w:rFonts w:ascii="Times New Roman" w:eastAsia="Times New Roman" w:hAnsi="Times New Roman" w:cs="Times New Roman"/>
      <w:b/>
      <w:sz w:val="32"/>
      <w:szCs w:val="20"/>
      <w:lang w:eastAsia="en-US"/>
    </w:rPr>
  </w:style>
  <w:style w:type="paragraph" w:styleId="BodyText">
    <w:name w:val="Body Text"/>
    <w:basedOn w:val="Normal"/>
    <w:link w:val="BodyTextChar"/>
    <w:rsid w:val="001E7B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7B59"/>
    <w:rPr>
      <w:rFonts w:ascii="Times New Roman" w:eastAsia="Times New Roman" w:hAnsi="Times New Roman" w:cs="Times New Roman"/>
      <w:sz w:val="24"/>
      <w:lang w:eastAsia="en-US"/>
    </w:rPr>
  </w:style>
  <w:style w:type="paragraph" w:styleId="ListBullet">
    <w:name w:val="List Bullet"/>
    <w:basedOn w:val="List"/>
    <w:rsid w:val="001E7B59"/>
    <w:pPr>
      <w:numPr>
        <w:numId w:val="13"/>
      </w:numPr>
      <w:tabs>
        <w:tab w:val="clear" w:pos="340"/>
      </w:tabs>
      <w:spacing w:before="40" w:after="40"/>
    </w:pPr>
  </w:style>
  <w:style w:type="character" w:customStyle="1" w:styleId="SpecialBold">
    <w:name w:val="Special Bold"/>
    <w:basedOn w:val="DefaultParagraphFont"/>
    <w:rsid w:val="001E7B59"/>
    <w:rPr>
      <w:b/>
      <w:spacing w:val="0"/>
    </w:rPr>
  </w:style>
  <w:style w:type="paragraph" w:styleId="ListBullet2">
    <w:name w:val="List Bullet 2"/>
    <w:basedOn w:val="List2"/>
    <w:rsid w:val="001E7B59"/>
    <w:pPr>
      <w:numPr>
        <w:numId w:val="14"/>
      </w:numPr>
      <w:tabs>
        <w:tab w:val="clear" w:pos="680"/>
      </w:tabs>
    </w:pPr>
  </w:style>
  <w:style w:type="paragraph" w:customStyle="1" w:styleId="SuperHeading">
    <w:name w:val="SuperHeading"/>
    <w:basedOn w:val="Normal"/>
    <w:rsid w:val="001E7B59"/>
    <w:pPr>
      <w:spacing w:before="240" w:after="120"/>
      <w:outlineLvl w:val="0"/>
    </w:pPr>
    <w:rPr>
      <w:rFonts w:ascii="Times New Roman" w:hAnsi="Times New Roman"/>
      <w:b/>
      <w:sz w:val="32"/>
    </w:rPr>
  </w:style>
  <w:style w:type="paragraph" w:customStyle="1" w:styleId="AllowPageBreak">
    <w:name w:val="AllowPageBreak"/>
    <w:rsid w:val="001E7B5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E7B59"/>
    <w:pPr>
      <w:numPr>
        <w:numId w:val="3"/>
      </w:numPr>
      <w:tabs>
        <w:tab w:val="clear" w:pos="1021"/>
      </w:tabs>
      <w:ind w:left="1037" w:hanging="357"/>
    </w:pPr>
  </w:style>
  <w:style w:type="character" w:customStyle="1" w:styleId="Heading2Char">
    <w:name w:val="Heading 2 Char"/>
    <w:basedOn w:val="DefaultParagraphFont"/>
    <w:link w:val="Heading2"/>
    <w:rsid w:val="001E7B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7B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7B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7B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7B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7B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7B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7B59"/>
    <w:rPr>
      <w:rFonts w:ascii="Courier New" w:eastAsia="Times New Roman" w:hAnsi="Courier New" w:cs="Times New Roman"/>
      <w:i/>
      <w:szCs w:val="20"/>
      <w:lang w:eastAsia="en-US"/>
    </w:rPr>
  </w:style>
  <w:style w:type="paragraph" w:customStyle="1" w:styleId="HeadingBase">
    <w:name w:val="Heading Base"/>
    <w:rsid w:val="001E7B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7B59"/>
    <w:pPr>
      <w:tabs>
        <w:tab w:val="right" w:leader="dot" w:pos="9072"/>
      </w:tabs>
      <w:ind w:left="567"/>
    </w:pPr>
    <w:rPr>
      <w:szCs w:val="22"/>
    </w:rPr>
  </w:style>
  <w:style w:type="paragraph" w:customStyle="1" w:styleId="TOCBase">
    <w:name w:val="TOC Base"/>
    <w:rsid w:val="001E7B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7B59"/>
    <w:pPr>
      <w:tabs>
        <w:tab w:val="right" w:leader="dot" w:pos="9072"/>
      </w:tabs>
      <w:spacing w:before="40" w:after="40"/>
      <w:ind w:left="284"/>
    </w:pPr>
    <w:rPr>
      <w:rFonts w:ascii="Times New Roman" w:hAnsi="Times New Roman"/>
    </w:rPr>
  </w:style>
  <w:style w:type="paragraph" w:styleId="TOC1">
    <w:name w:val="toc 1"/>
    <w:basedOn w:val="TOCBase"/>
    <w:next w:val="Normal"/>
    <w:rsid w:val="001E7B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7B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7B59"/>
    <w:rPr>
      <w:rFonts w:ascii="Times New Roman" w:eastAsia="Times New Roman" w:hAnsi="Times New Roman" w:cs="Times New Roman"/>
      <w:sz w:val="16"/>
      <w:lang w:eastAsia="en-US"/>
    </w:rPr>
  </w:style>
  <w:style w:type="paragraph" w:styleId="Title">
    <w:name w:val="Title"/>
    <w:basedOn w:val="HeadingBase"/>
    <w:link w:val="TitleChar"/>
    <w:qFormat/>
    <w:rsid w:val="001E7B59"/>
    <w:pPr>
      <w:spacing w:before="5040"/>
      <w:jc w:val="center"/>
    </w:pPr>
    <w:rPr>
      <w:sz w:val="48"/>
      <w:szCs w:val="72"/>
      <w:lang w:val="en-US"/>
    </w:rPr>
  </w:style>
  <w:style w:type="character" w:customStyle="1" w:styleId="TitleChar">
    <w:name w:val="Title Char"/>
    <w:basedOn w:val="DefaultParagraphFont"/>
    <w:link w:val="Title"/>
    <w:rsid w:val="001E7B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7B59"/>
    <w:pPr>
      <w:tabs>
        <w:tab w:val="left" w:pos="3600"/>
        <w:tab w:val="left" w:pos="3958"/>
      </w:tabs>
    </w:pPr>
  </w:style>
  <w:style w:type="paragraph" w:styleId="List">
    <w:name w:val="List"/>
    <w:basedOn w:val="BodyText"/>
    <w:next w:val="BodyText"/>
    <w:rsid w:val="001E7B59"/>
    <w:pPr>
      <w:tabs>
        <w:tab w:val="left" w:pos="340"/>
      </w:tabs>
      <w:spacing w:before="60" w:after="60"/>
      <w:ind w:left="340" w:hanging="340"/>
    </w:pPr>
  </w:style>
  <w:style w:type="paragraph" w:customStyle="1" w:styleId="Note">
    <w:name w:val="Note"/>
    <w:basedOn w:val="BodyText"/>
    <w:rsid w:val="001E7B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7B59"/>
    <w:pPr>
      <w:framePr w:wrap="auto" w:hAnchor="text" w:y="6049"/>
    </w:pPr>
    <w:rPr>
      <w:color w:val="000000"/>
      <w:sz w:val="40"/>
    </w:rPr>
  </w:style>
  <w:style w:type="paragraph" w:customStyle="1" w:styleId="TOCTitle">
    <w:name w:val="TOCTitle"/>
    <w:basedOn w:val="Heading1"/>
    <w:rsid w:val="001E7B59"/>
    <w:pPr>
      <w:spacing w:after="240"/>
      <w:jc w:val="center"/>
      <w:outlineLvl w:val="9"/>
    </w:pPr>
    <w:rPr>
      <w:caps/>
    </w:rPr>
  </w:style>
  <w:style w:type="paragraph" w:customStyle="1" w:styleId="Version">
    <w:name w:val="Version"/>
    <w:rsid w:val="001E7B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7B59"/>
    <w:pPr>
      <w:keepNext w:val="0"/>
      <w:tabs>
        <w:tab w:val="right" w:pos="4176"/>
      </w:tabs>
      <w:ind w:left="198" w:hanging="198"/>
    </w:pPr>
    <w:rPr>
      <w:rFonts w:ascii="Garamond" w:hAnsi="Garamond"/>
    </w:rPr>
  </w:style>
  <w:style w:type="paragraph" w:styleId="IndexHeading">
    <w:name w:val="index heading"/>
    <w:basedOn w:val="Normal"/>
    <w:next w:val="Index1"/>
    <w:semiHidden/>
    <w:rsid w:val="001E7B59"/>
    <w:pPr>
      <w:spacing w:before="120" w:after="120"/>
    </w:pPr>
    <w:rPr>
      <w:rFonts w:ascii="Arial" w:hAnsi="Arial"/>
      <w:b/>
      <w:color w:val="918585"/>
      <w:sz w:val="24"/>
    </w:rPr>
  </w:style>
  <w:style w:type="paragraph" w:styleId="Header">
    <w:name w:val="header"/>
    <w:basedOn w:val="Normal"/>
    <w:link w:val="HeaderChar"/>
    <w:rsid w:val="001E7B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7B59"/>
    <w:rPr>
      <w:rFonts w:ascii="Times New Roman" w:eastAsia="Times New Roman" w:hAnsi="Times New Roman" w:cs="Times New Roman"/>
      <w:sz w:val="16"/>
      <w:szCs w:val="20"/>
      <w:lang w:val="en-GB" w:eastAsia="en-US"/>
    </w:rPr>
  </w:style>
  <w:style w:type="paragraph" w:customStyle="1" w:styleId="Chapter">
    <w:name w:val="Chapter"/>
    <w:basedOn w:val="Normal"/>
    <w:rsid w:val="001E7B59"/>
    <w:pPr>
      <w:spacing w:before="240"/>
    </w:pPr>
    <w:rPr>
      <w:rFonts w:ascii="Times New Roman" w:hAnsi="Times New Roman"/>
      <w:smallCaps/>
      <w:spacing w:val="80"/>
      <w:sz w:val="28"/>
    </w:rPr>
  </w:style>
  <w:style w:type="paragraph" w:customStyle="1" w:styleId="InChapter">
    <w:name w:val="InChapter"/>
    <w:basedOn w:val="Heading3"/>
    <w:rsid w:val="001E7B59"/>
    <w:pPr>
      <w:spacing w:after="240"/>
      <w:outlineLvl w:val="9"/>
    </w:pPr>
    <w:rPr>
      <w:noProof/>
    </w:rPr>
  </w:style>
  <w:style w:type="paragraph" w:styleId="Index2">
    <w:name w:val="index 2"/>
    <w:basedOn w:val="Normal"/>
    <w:next w:val="Normal"/>
    <w:semiHidden/>
    <w:rsid w:val="001E7B59"/>
    <w:pPr>
      <w:tabs>
        <w:tab w:val="right" w:pos="4176"/>
      </w:tabs>
      <w:ind w:left="568" w:hanging="284"/>
    </w:pPr>
    <w:rPr>
      <w:rFonts w:ascii="Garamond" w:hAnsi="Garamond"/>
    </w:rPr>
  </w:style>
  <w:style w:type="paragraph" w:customStyle="1" w:styleId="Byline">
    <w:name w:val="Byline"/>
    <w:rsid w:val="001E7B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7B59"/>
    <w:pPr>
      <w:tabs>
        <w:tab w:val="clear" w:pos="3600"/>
        <w:tab w:val="clear" w:pos="3958"/>
      </w:tabs>
      <w:jc w:val="right"/>
    </w:pPr>
  </w:style>
  <w:style w:type="character" w:styleId="Emphasis">
    <w:name w:val="Emphasis"/>
    <w:basedOn w:val="DefaultParagraphFont"/>
    <w:qFormat/>
    <w:rsid w:val="001E7B59"/>
    <w:rPr>
      <w:i/>
    </w:rPr>
  </w:style>
  <w:style w:type="paragraph" w:styleId="Caption">
    <w:name w:val="caption"/>
    <w:basedOn w:val="BodyText"/>
    <w:next w:val="Normal"/>
    <w:qFormat/>
    <w:rsid w:val="001E7B59"/>
    <w:pPr>
      <w:framePr w:w="2268" w:hSpace="181" w:vSpace="181" w:wrap="around" w:vAnchor="text" w:hAnchor="page" w:x="1135" w:y="285" w:anchorLock="1"/>
    </w:pPr>
    <w:rPr>
      <w:i/>
    </w:rPr>
  </w:style>
  <w:style w:type="paragraph" w:customStyle="1" w:styleId="MiniTOCTitle">
    <w:name w:val="MiniTOCTitle"/>
    <w:basedOn w:val="Heading4"/>
    <w:rsid w:val="001E7B59"/>
    <w:pPr>
      <w:spacing w:before="240"/>
      <w:outlineLvl w:val="9"/>
    </w:pPr>
    <w:rPr>
      <w:noProof/>
      <w:sz w:val="24"/>
    </w:rPr>
  </w:style>
  <w:style w:type="paragraph" w:customStyle="1" w:styleId="MiniTOCItem">
    <w:name w:val="MiniTOCItem"/>
    <w:basedOn w:val="ListBullet"/>
    <w:rsid w:val="001E7B59"/>
    <w:pPr>
      <w:numPr>
        <w:numId w:val="0"/>
      </w:numPr>
      <w:tabs>
        <w:tab w:val="right" w:leader="dot" w:pos="6521"/>
      </w:tabs>
      <w:spacing w:before="0" w:after="0"/>
    </w:pPr>
  </w:style>
  <w:style w:type="paragraph" w:customStyle="1" w:styleId="TOFTitle">
    <w:name w:val="TOFTitle"/>
    <w:basedOn w:val="TOCTitle"/>
    <w:rsid w:val="001E7B59"/>
  </w:style>
  <w:style w:type="paragraph" w:styleId="TableofFigures">
    <w:name w:val="table of figures"/>
    <w:basedOn w:val="Normal"/>
    <w:next w:val="Normal"/>
    <w:semiHidden/>
    <w:rsid w:val="001E7B59"/>
    <w:pPr>
      <w:tabs>
        <w:tab w:val="right" w:leader="dot" w:pos="9072"/>
      </w:tabs>
      <w:ind w:left="970" w:hanging="403"/>
    </w:pPr>
    <w:rPr>
      <w:rFonts w:ascii="Times New Roman" w:hAnsi="Times New Roman"/>
      <w:b/>
    </w:rPr>
  </w:style>
  <w:style w:type="paragraph" w:styleId="ListNumber">
    <w:name w:val="List Number"/>
    <w:basedOn w:val="List"/>
    <w:rsid w:val="001E7B59"/>
    <w:pPr>
      <w:numPr>
        <w:numId w:val="16"/>
      </w:numPr>
      <w:tabs>
        <w:tab w:val="clear" w:pos="340"/>
      </w:tabs>
    </w:pPr>
  </w:style>
  <w:style w:type="character" w:customStyle="1" w:styleId="WingdingSymbols">
    <w:name w:val="Wingding Symbols"/>
    <w:rsid w:val="001E7B59"/>
    <w:rPr>
      <w:rFonts w:ascii="Wingdings" w:hAnsi="Wingdings"/>
    </w:rPr>
  </w:style>
  <w:style w:type="paragraph" w:customStyle="1" w:styleId="TableHeading">
    <w:name w:val="Table Heading"/>
    <w:basedOn w:val="HeadingBase"/>
    <w:rsid w:val="001E7B59"/>
    <w:pPr>
      <w:keepLines/>
      <w:pBdr>
        <w:bottom w:val="single" w:sz="6" w:space="1" w:color="918585"/>
      </w:pBdr>
      <w:spacing w:before="240"/>
    </w:pPr>
  </w:style>
  <w:style w:type="character" w:customStyle="1" w:styleId="HotSpot">
    <w:name w:val="HotSpot"/>
    <w:rsid w:val="001E7B59"/>
    <w:rPr>
      <w:color w:val="0033CC"/>
      <w:u w:val="none"/>
    </w:rPr>
  </w:style>
  <w:style w:type="paragraph" w:customStyle="1" w:styleId="BodyTextRight">
    <w:name w:val="Body Text Right"/>
    <w:basedOn w:val="BodyText"/>
    <w:rsid w:val="001E7B59"/>
    <w:pPr>
      <w:spacing w:before="0" w:after="0"/>
      <w:jc w:val="right"/>
    </w:pPr>
  </w:style>
  <w:style w:type="paragraph" w:styleId="Index3">
    <w:name w:val="index 3"/>
    <w:basedOn w:val="ListNumber2"/>
    <w:next w:val="Normal"/>
    <w:semiHidden/>
    <w:rsid w:val="001E7B59"/>
    <w:pPr>
      <w:numPr>
        <w:numId w:val="0"/>
      </w:numPr>
      <w:tabs>
        <w:tab w:val="right" w:leader="dot" w:pos="4176"/>
      </w:tabs>
    </w:pPr>
  </w:style>
  <w:style w:type="paragraph" w:styleId="ListNumber2">
    <w:name w:val="List Number 2"/>
    <w:basedOn w:val="List2"/>
    <w:rsid w:val="001E7B59"/>
    <w:pPr>
      <w:numPr>
        <w:numId w:val="11"/>
      </w:numPr>
      <w:tabs>
        <w:tab w:val="clear" w:pos="1060"/>
      </w:tabs>
    </w:pPr>
  </w:style>
  <w:style w:type="paragraph" w:customStyle="1" w:styleId="MarginNote">
    <w:name w:val="Margin Note"/>
    <w:basedOn w:val="BodyText"/>
    <w:rsid w:val="001E7B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7B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7B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7B59"/>
    <w:rPr>
      <w:sz w:val="32"/>
    </w:rPr>
  </w:style>
  <w:style w:type="paragraph" w:customStyle="1" w:styleId="HeadingProcedure">
    <w:name w:val="Heading Procedure"/>
    <w:basedOn w:val="HeadingBase"/>
    <w:next w:val="Normal"/>
    <w:rsid w:val="001E7B59"/>
    <w:pPr>
      <w:tabs>
        <w:tab w:val="left" w:pos="0"/>
      </w:tabs>
      <w:spacing w:before="120" w:after="60"/>
    </w:pPr>
    <w:rPr>
      <w:i/>
      <w:color w:val="918585"/>
      <w:sz w:val="22"/>
    </w:rPr>
  </w:style>
  <w:style w:type="paragraph" w:customStyle="1" w:styleId="TableBodyText">
    <w:name w:val="Table Body Text"/>
    <w:basedOn w:val="BodyText"/>
    <w:rsid w:val="001E7B59"/>
    <w:pPr>
      <w:spacing w:before="60" w:after="60"/>
    </w:pPr>
  </w:style>
  <w:style w:type="paragraph" w:styleId="ListContinue">
    <w:name w:val="List Continue"/>
    <w:basedOn w:val="List"/>
    <w:rsid w:val="001E7B59"/>
    <w:pPr>
      <w:ind w:firstLine="0"/>
    </w:pPr>
  </w:style>
  <w:style w:type="paragraph" w:customStyle="1" w:styleId="ListNote">
    <w:name w:val="List Note"/>
    <w:basedOn w:val="List"/>
    <w:rsid w:val="001E7B59"/>
    <w:pPr>
      <w:pBdr>
        <w:top w:val="single" w:sz="6" w:space="2" w:color="918585"/>
        <w:bottom w:val="single" w:sz="6" w:space="2" w:color="918585"/>
      </w:pBdr>
      <w:tabs>
        <w:tab w:val="left" w:pos="1021"/>
      </w:tabs>
      <w:ind w:firstLine="0"/>
    </w:pPr>
  </w:style>
  <w:style w:type="paragraph" w:customStyle="1" w:styleId="Warning">
    <w:name w:val="Warning"/>
    <w:basedOn w:val="BodyText"/>
    <w:rsid w:val="001E7B59"/>
    <w:pPr>
      <w:shd w:val="clear" w:color="auto" w:fill="D9D9D9"/>
      <w:tabs>
        <w:tab w:val="left" w:pos="992"/>
      </w:tabs>
      <w:ind w:left="119" w:right="119"/>
    </w:pPr>
    <w:rPr>
      <w:sz w:val="20"/>
    </w:rPr>
  </w:style>
  <w:style w:type="paragraph" w:customStyle="1" w:styleId="MarginIcons">
    <w:name w:val="Margin Icons"/>
    <w:basedOn w:val="BodyText"/>
    <w:rsid w:val="001E7B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7B59"/>
    <w:rPr>
      <w:rFonts w:ascii="Courier New" w:hAnsi="Courier New"/>
    </w:rPr>
  </w:style>
  <w:style w:type="paragraph" w:customStyle="1" w:styleId="NoteBullet">
    <w:name w:val="Note Bullet"/>
    <w:basedOn w:val="Note"/>
    <w:rsid w:val="001E7B59"/>
    <w:pPr>
      <w:tabs>
        <w:tab w:val="clear" w:pos="680"/>
      </w:tabs>
      <w:spacing w:before="60" w:after="60"/>
    </w:pPr>
  </w:style>
  <w:style w:type="paragraph" w:customStyle="1" w:styleId="SubHeading2">
    <w:name w:val="SubHeading2"/>
    <w:basedOn w:val="HeadingBase"/>
    <w:rsid w:val="001E7B59"/>
    <w:pPr>
      <w:spacing w:before="240" w:after="60"/>
    </w:pPr>
    <w:rPr>
      <w:sz w:val="20"/>
    </w:rPr>
  </w:style>
  <w:style w:type="paragraph" w:customStyle="1" w:styleId="SubHeading1">
    <w:name w:val="SubHeading1"/>
    <w:basedOn w:val="HeadingBase"/>
    <w:rsid w:val="001E7B59"/>
    <w:pPr>
      <w:spacing w:before="240" w:after="60"/>
    </w:pPr>
    <w:rPr>
      <w:color w:val="918585"/>
      <w:sz w:val="22"/>
    </w:rPr>
  </w:style>
  <w:style w:type="paragraph" w:customStyle="1" w:styleId="SideHeading">
    <w:name w:val="Side Heading"/>
    <w:basedOn w:val="HeadingBase"/>
    <w:rsid w:val="001E7B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7B59"/>
    <w:pPr>
      <w:numPr>
        <w:numId w:val="12"/>
      </w:numPr>
    </w:pPr>
  </w:style>
  <w:style w:type="paragraph" w:styleId="PlainText">
    <w:name w:val="Plain Text"/>
    <w:basedOn w:val="Normal"/>
    <w:link w:val="PlainTextChar"/>
    <w:rsid w:val="001E7B59"/>
    <w:rPr>
      <w:sz w:val="20"/>
    </w:rPr>
  </w:style>
  <w:style w:type="character" w:customStyle="1" w:styleId="PlainTextChar">
    <w:name w:val="Plain Text Char"/>
    <w:basedOn w:val="DefaultParagraphFont"/>
    <w:link w:val="PlainText"/>
    <w:rsid w:val="001E7B59"/>
    <w:rPr>
      <w:rFonts w:ascii="Courier New" w:eastAsia="Times New Roman" w:hAnsi="Courier New" w:cs="Times New Roman"/>
      <w:sz w:val="20"/>
      <w:szCs w:val="20"/>
      <w:lang w:eastAsia="en-US"/>
    </w:rPr>
  </w:style>
  <w:style w:type="character" w:customStyle="1" w:styleId="MenuOption">
    <w:name w:val="Menu Option"/>
    <w:basedOn w:val="DefaultParagraphFont"/>
    <w:rsid w:val="001E7B59"/>
    <w:rPr>
      <w:b/>
      <w:smallCaps/>
    </w:rPr>
  </w:style>
  <w:style w:type="paragraph" w:customStyle="1" w:styleId="TableListNumber">
    <w:name w:val="Table List Number"/>
    <w:basedOn w:val="ListNumber"/>
    <w:rsid w:val="001E7B59"/>
    <w:pPr>
      <w:numPr>
        <w:numId w:val="0"/>
      </w:numPr>
    </w:pPr>
  </w:style>
  <w:style w:type="paragraph" w:styleId="TOC4">
    <w:name w:val="toc 4"/>
    <w:basedOn w:val="TOCBase"/>
    <w:next w:val="Normal"/>
    <w:semiHidden/>
    <w:rsid w:val="001E7B59"/>
    <w:pPr>
      <w:tabs>
        <w:tab w:val="right" w:leader="dot" w:pos="9071"/>
      </w:tabs>
      <w:ind w:left="1701"/>
    </w:pPr>
  </w:style>
  <w:style w:type="paragraph" w:customStyle="1" w:styleId="ListAlpha">
    <w:name w:val="List Alpha"/>
    <w:basedOn w:val="List"/>
    <w:rsid w:val="001E7B59"/>
    <w:pPr>
      <w:numPr>
        <w:numId w:val="10"/>
      </w:numPr>
    </w:pPr>
  </w:style>
  <w:style w:type="paragraph" w:customStyle="1" w:styleId="ListAlpha2">
    <w:name w:val="List Alpha 2"/>
    <w:basedOn w:val="List2"/>
    <w:rsid w:val="001E7B59"/>
    <w:pPr>
      <w:numPr>
        <w:numId w:val="9"/>
      </w:numPr>
    </w:pPr>
  </w:style>
  <w:style w:type="paragraph" w:styleId="List2">
    <w:name w:val="List 2"/>
    <w:basedOn w:val="BodyText"/>
    <w:rsid w:val="001E7B59"/>
    <w:pPr>
      <w:tabs>
        <w:tab w:val="left" w:pos="680"/>
      </w:tabs>
      <w:spacing w:before="60" w:after="60"/>
      <w:ind w:left="680" w:hanging="340"/>
    </w:pPr>
  </w:style>
  <w:style w:type="paragraph" w:styleId="List3">
    <w:name w:val="List 3"/>
    <w:basedOn w:val="BodyText"/>
    <w:rsid w:val="001E7B59"/>
    <w:pPr>
      <w:tabs>
        <w:tab w:val="left" w:pos="1021"/>
      </w:tabs>
      <w:spacing w:before="60" w:after="60"/>
      <w:ind w:left="1020" w:hanging="340"/>
    </w:pPr>
  </w:style>
  <w:style w:type="paragraph" w:styleId="List4">
    <w:name w:val="List 4"/>
    <w:basedOn w:val="BodyText"/>
    <w:rsid w:val="001E7B59"/>
    <w:pPr>
      <w:tabs>
        <w:tab w:val="left" w:pos="1361"/>
      </w:tabs>
      <w:spacing w:before="60" w:after="60"/>
      <w:ind w:left="1361" w:hanging="340"/>
    </w:pPr>
  </w:style>
  <w:style w:type="paragraph" w:styleId="List5">
    <w:name w:val="List 5"/>
    <w:basedOn w:val="BodyText"/>
    <w:rsid w:val="001E7B59"/>
    <w:pPr>
      <w:tabs>
        <w:tab w:val="left" w:pos="1701"/>
      </w:tabs>
      <w:spacing w:before="60" w:after="60"/>
      <w:ind w:left="1701" w:hanging="340"/>
    </w:pPr>
  </w:style>
  <w:style w:type="paragraph" w:styleId="ListBullet4">
    <w:name w:val="List Bullet 4"/>
    <w:basedOn w:val="List4"/>
    <w:rsid w:val="001E7B59"/>
    <w:pPr>
      <w:numPr>
        <w:numId w:val="4"/>
      </w:numPr>
      <w:tabs>
        <w:tab w:val="clear" w:pos="1361"/>
      </w:tabs>
    </w:pPr>
  </w:style>
  <w:style w:type="paragraph" w:styleId="ListBullet5">
    <w:name w:val="List Bullet 5"/>
    <w:basedOn w:val="List5"/>
    <w:rsid w:val="001E7B59"/>
    <w:pPr>
      <w:numPr>
        <w:numId w:val="5"/>
      </w:numPr>
    </w:pPr>
  </w:style>
  <w:style w:type="paragraph" w:styleId="ListContinue2">
    <w:name w:val="List Continue 2"/>
    <w:basedOn w:val="List2"/>
    <w:rsid w:val="001E7B59"/>
    <w:pPr>
      <w:ind w:firstLine="0"/>
    </w:pPr>
  </w:style>
  <w:style w:type="paragraph" w:styleId="ListContinue3">
    <w:name w:val="List Continue 3"/>
    <w:basedOn w:val="List3"/>
    <w:rsid w:val="001E7B59"/>
    <w:pPr>
      <w:ind w:left="1021" w:firstLine="0"/>
    </w:pPr>
  </w:style>
  <w:style w:type="paragraph" w:styleId="ListContinue4">
    <w:name w:val="List Continue 4"/>
    <w:basedOn w:val="List4"/>
    <w:rsid w:val="001E7B59"/>
    <w:pPr>
      <w:ind w:firstLine="0"/>
    </w:pPr>
  </w:style>
  <w:style w:type="paragraph" w:styleId="ListContinue5">
    <w:name w:val="List Continue 5"/>
    <w:basedOn w:val="List5"/>
    <w:rsid w:val="001E7B59"/>
    <w:pPr>
      <w:ind w:firstLine="0"/>
    </w:pPr>
  </w:style>
  <w:style w:type="paragraph" w:styleId="ListNumber3">
    <w:name w:val="List Number 3"/>
    <w:basedOn w:val="List3"/>
    <w:rsid w:val="001E7B59"/>
    <w:pPr>
      <w:numPr>
        <w:numId w:val="6"/>
      </w:numPr>
    </w:pPr>
  </w:style>
  <w:style w:type="paragraph" w:styleId="ListNumber4">
    <w:name w:val="List Number 4"/>
    <w:basedOn w:val="List4"/>
    <w:rsid w:val="001E7B59"/>
    <w:pPr>
      <w:numPr>
        <w:numId w:val="7"/>
      </w:numPr>
    </w:pPr>
  </w:style>
  <w:style w:type="paragraph" w:styleId="ListNumber5">
    <w:name w:val="List Number 5"/>
    <w:basedOn w:val="List5"/>
    <w:rsid w:val="001E7B59"/>
    <w:pPr>
      <w:numPr>
        <w:numId w:val="8"/>
      </w:numPr>
    </w:pPr>
  </w:style>
  <w:style w:type="paragraph" w:styleId="BlockText">
    <w:name w:val="Block Text"/>
    <w:basedOn w:val="Normal"/>
    <w:rsid w:val="001E7B59"/>
    <w:pPr>
      <w:spacing w:after="120"/>
      <w:ind w:left="1440" w:right="1440"/>
    </w:pPr>
  </w:style>
  <w:style w:type="character" w:customStyle="1" w:styleId="Subscript">
    <w:name w:val="Subscript"/>
    <w:basedOn w:val="DefaultParagraphFont"/>
    <w:rsid w:val="001E7B59"/>
    <w:rPr>
      <w:sz w:val="16"/>
      <w:vertAlign w:val="subscript"/>
    </w:rPr>
  </w:style>
  <w:style w:type="character" w:customStyle="1" w:styleId="Superscript">
    <w:name w:val="Superscript"/>
    <w:basedOn w:val="DefaultParagraphFont"/>
    <w:rsid w:val="001E7B59"/>
    <w:rPr>
      <w:sz w:val="16"/>
      <w:vertAlign w:val="superscript"/>
    </w:rPr>
  </w:style>
  <w:style w:type="character" w:customStyle="1" w:styleId="Symbols">
    <w:name w:val="Symbols"/>
    <w:basedOn w:val="DefaultParagraphFont"/>
    <w:rsid w:val="001E7B59"/>
    <w:rPr>
      <w:rFonts w:ascii="Symbol" w:hAnsi="Symbol"/>
    </w:rPr>
  </w:style>
  <w:style w:type="character" w:customStyle="1" w:styleId="MenuOptions">
    <w:name w:val="Menu Options"/>
    <w:basedOn w:val="DefaultParagraphFont"/>
    <w:rsid w:val="001E7B59"/>
    <w:rPr>
      <w:rFonts w:ascii="Arial Narrow" w:hAnsi="Arial Narrow"/>
      <w:smallCaps/>
    </w:rPr>
  </w:style>
  <w:style w:type="character" w:customStyle="1" w:styleId="Buttons">
    <w:name w:val="Buttons"/>
    <w:basedOn w:val="DefaultParagraphFont"/>
    <w:rsid w:val="001E7B59"/>
    <w:rPr>
      <w:b/>
    </w:rPr>
  </w:style>
  <w:style w:type="character" w:customStyle="1" w:styleId="Underlined">
    <w:name w:val="Underlined"/>
    <w:basedOn w:val="DefaultParagraphFont"/>
    <w:rsid w:val="001E7B59"/>
    <w:rPr>
      <w:u w:val="single"/>
    </w:rPr>
  </w:style>
  <w:style w:type="paragraph" w:customStyle="1" w:styleId="TableBodyTextRight">
    <w:name w:val="Table Body Text Right"/>
    <w:basedOn w:val="TableBodyText"/>
    <w:rsid w:val="001E7B59"/>
    <w:pPr>
      <w:widowControl w:val="0"/>
      <w:autoSpaceDE w:val="0"/>
      <w:autoSpaceDN w:val="0"/>
      <w:adjustRightInd w:val="0"/>
      <w:jc w:val="right"/>
    </w:pPr>
    <w:rPr>
      <w:rFonts w:cs="Arial"/>
      <w:szCs w:val="18"/>
    </w:rPr>
  </w:style>
  <w:style w:type="paragraph" w:customStyle="1" w:styleId="CopyrightText">
    <w:name w:val="Copyright Text"/>
    <w:basedOn w:val="BodyText"/>
    <w:rsid w:val="001E7B59"/>
    <w:rPr>
      <w:sz w:val="18"/>
    </w:rPr>
  </w:style>
  <w:style w:type="paragraph" w:customStyle="1" w:styleId="BodySmallRight">
    <w:name w:val="Body Small Right"/>
    <w:basedOn w:val="BodyTextRight"/>
    <w:rsid w:val="001E7B59"/>
    <w:rPr>
      <w:sz w:val="18"/>
      <w:szCs w:val="18"/>
    </w:rPr>
  </w:style>
  <w:style w:type="paragraph" w:customStyle="1" w:styleId="MarginEdition">
    <w:name w:val="Margin Edition"/>
    <w:basedOn w:val="MarginNote"/>
    <w:rsid w:val="001E7B59"/>
    <w:pPr>
      <w:spacing w:before="0" w:after="0"/>
    </w:pPr>
    <w:rPr>
      <w:rFonts w:ascii="Times New Roman" w:hAnsi="Times New Roman"/>
      <w:color w:val="999999"/>
    </w:rPr>
  </w:style>
  <w:style w:type="paragraph" w:customStyle="1" w:styleId="Spacer">
    <w:name w:val="Spacer"/>
    <w:basedOn w:val="Normal"/>
    <w:rsid w:val="001E7B59"/>
    <w:rPr>
      <w:sz w:val="2"/>
      <w:szCs w:val="2"/>
    </w:rPr>
  </w:style>
  <w:style w:type="character" w:customStyle="1" w:styleId="Small">
    <w:name w:val="Small"/>
    <w:basedOn w:val="DefaultParagraphFont"/>
    <w:rsid w:val="001E7B59"/>
    <w:rPr>
      <w:sz w:val="16"/>
    </w:rPr>
  </w:style>
  <w:style w:type="paragraph" w:customStyle="1" w:styleId="WideTable">
    <w:name w:val="Wide Table"/>
    <w:basedOn w:val="Normal"/>
    <w:rsid w:val="001E7B59"/>
    <w:pPr>
      <w:ind w:left="-1418"/>
    </w:pPr>
    <w:rPr>
      <w:sz w:val="2"/>
      <w:szCs w:val="2"/>
    </w:rPr>
  </w:style>
  <w:style w:type="character" w:styleId="PageNumber">
    <w:name w:val="page number"/>
    <w:basedOn w:val="DefaultParagraphFont"/>
    <w:rsid w:val="001E7B59"/>
  </w:style>
  <w:style w:type="paragraph" w:styleId="Quote">
    <w:name w:val="Quote"/>
    <w:basedOn w:val="Heading1"/>
    <w:link w:val="QuoteChar"/>
    <w:qFormat/>
    <w:rsid w:val="001E7B59"/>
    <w:rPr>
      <w:b w:val="0"/>
      <w:sz w:val="72"/>
      <w:szCs w:val="72"/>
      <w:lang w:val="en-NZ"/>
    </w:rPr>
  </w:style>
  <w:style w:type="character" w:customStyle="1" w:styleId="QuoteChar">
    <w:name w:val="Quote Char"/>
    <w:basedOn w:val="DefaultParagraphFont"/>
    <w:link w:val="Quote"/>
    <w:rsid w:val="001E7B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7B59"/>
    <w:pPr>
      <w:pageBreakBefore/>
    </w:pPr>
  </w:style>
  <w:style w:type="paragraph" w:customStyle="1" w:styleId="Border">
    <w:name w:val="Border"/>
    <w:basedOn w:val="Normal"/>
    <w:qFormat/>
    <w:rsid w:val="001E7B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7B59"/>
    <w:rPr>
      <w:b/>
      <w:bCs/>
      <w:i/>
      <w:iCs/>
      <w:color w:val="auto"/>
    </w:rPr>
  </w:style>
  <w:style w:type="paragraph" w:styleId="IntenseQuote">
    <w:name w:val="Intense Quote"/>
    <w:basedOn w:val="Normal"/>
    <w:next w:val="Normal"/>
    <w:link w:val="IntenseQuoteChar"/>
    <w:uiPriority w:val="30"/>
    <w:qFormat/>
    <w:rsid w:val="001E7B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7B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7B59"/>
    <w:rPr>
      <w:smallCaps/>
      <w:color w:val="auto"/>
      <w:u w:val="single"/>
    </w:rPr>
  </w:style>
  <w:style w:type="character" w:styleId="IntenseReference">
    <w:name w:val="Intense Reference"/>
    <w:basedOn w:val="DefaultParagraphFont"/>
    <w:uiPriority w:val="32"/>
    <w:qFormat/>
    <w:rsid w:val="001E7B59"/>
    <w:rPr>
      <w:b/>
      <w:bCs/>
      <w:smallCaps/>
      <w:color w:val="auto"/>
      <w:spacing w:val="5"/>
      <w:u w:val="single"/>
    </w:rPr>
  </w:style>
  <w:style w:type="paragraph" w:customStyle="1" w:styleId="2ColumnHeading">
    <w:name w:val="2Column Heading"/>
    <w:basedOn w:val="BodyText"/>
    <w:qFormat/>
    <w:rsid w:val="001E7B59"/>
    <w:pPr>
      <w:spacing w:after="60"/>
      <w:ind w:left="-2268"/>
    </w:pPr>
    <w:rPr>
      <w:b/>
    </w:rPr>
  </w:style>
  <w:style w:type="paragraph" w:customStyle="1" w:styleId="Heading1TOC">
    <w:name w:val="Heading1 TOC"/>
    <w:basedOn w:val="Normal"/>
    <w:qFormat/>
    <w:rsid w:val="001E7B59"/>
    <w:pPr>
      <w:spacing w:before="240" w:after="120"/>
    </w:pPr>
    <w:rPr>
      <w:rFonts w:ascii="Times New Roman" w:hAnsi="Times New Roman"/>
      <w:b/>
      <w:sz w:val="32"/>
    </w:rPr>
  </w:style>
  <w:style w:type="paragraph" w:customStyle="1" w:styleId="Heading2TOC">
    <w:name w:val="Heading2 TOC"/>
    <w:basedOn w:val="Normal"/>
    <w:qFormat/>
    <w:rsid w:val="001E7B59"/>
    <w:pPr>
      <w:spacing w:before="240" w:after="60"/>
    </w:pPr>
    <w:rPr>
      <w:rFonts w:ascii="Times New Roman" w:hAnsi="Times New Roman"/>
      <w:b/>
      <w:sz w:val="28"/>
    </w:rPr>
  </w:style>
  <w:style w:type="character" w:customStyle="1" w:styleId="Underline">
    <w:name w:val="Underline"/>
    <w:basedOn w:val="DefaultParagraphFont"/>
    <w:qFormat/>
    <w:rsid w:val="001E7B59"/>
    <w:rPr>
      <w:u w:val="single"/>
    </w:rPr>
  </w:style>
  <w:style w:type="character" w:customStyle="1" w:styleId="BoldandItalics">
    <w:name w:val="Bold and Italics"/>
    <w:qFormat/>
    <w:rsid w:val="001E7B59"/>
    <w:rPr>
      <w:b/>
      <w:i/>
      <w:u w:val="none"/>
    </w:rPr>
  </w:style>
  <w:style w:type="paragraph" w:styleId="BalloonText">
    <w:name w:val="Balloon Text"/>
    <w:basedOn w:val="Normal"/>
    <w:link w:val="BalloonTextChar"/>
    <w:rsid w:val="001E7B59"/>
    <w:rPr>
      <w:rFonts w:ascii="Tahoma" w:hAnsi="Tahoma" w:cs="Tahoma"/>
      <w:sz w:val="16"/>
      <w:szCs w:val="16"/>
    </w:rPr>
  </w:style>
  <w:style w:type="character" w:customStyle="1" w:styleId="BalloonTextChar">
    <w:name w:val="Balloon Text Char"/>
    <w:basedOn w:val="DefaultParagraphFont"/>
    <w:link w:val="BalloonText"/>
    <w:rsid w:val="001E7B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7B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7B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7B59"/>
    <w:rPr>
      <w:b/>
      <w:color w:val="660033"/>
      <w:spacing w:val="0"/>
    </w:rPr>
  </w:style>
  <w:style w:type="paragraph" w:customStyle="1" w:styleId="Nameditemlist">
    <w:name w:val="Named item list"/>
    <w:basedOn w:val="BodyText"/>
    <w:qFormat/>
    <w:rsid w:val="001E7B59"/>
    <w:pPr>
      <w:tabs>
        <w:tab w:val="left" w:pos="2835"/>
      </w:tabs>
      <w:ind w:left="2835" w:hanging="2835"/>
    </w:pPr>
  </w:style>
  <w:style w:type="paragraph" w:customStyle="1" w:styleId="BodyTextnopadding">
    <w:name w:val="Body Text no padding"/>
    <w:basedOn w:val="BodyText"/>
    <w:qFormat/>
    <w:rsid w:val="001E7B59"/>
    <w:pPr>
      <w:spacing w:before="0" w:after="0"/>
    </w:pPr>
  </w:style>
  <w:style w:type="paragraph" w:customStyle="1" w:styleId="BodyTextBold">
    <w:name w:val="Body Text Bold"/>
    <w:basedOn w:val="BodyText"/>
    <w:qFormat/>
    <w:rsid w:val="001E7B59"/>
    <w:rPr>
      <w:b/>
    </w:rPr>
  </w:style>
  <w:style w:type="character" w:styleId="Hyperlink">
    <w:name w:val="Hyperlink"/>
    <w:basedOn w:val="DefaultParagraphFont"/>
    <w:uiPriority w:val="99"/>
    <w:unhideWhenUsed/>
    <w:rsid w:val="00534E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1151</Words>
  <Characters>7816</Characters>
  <Application>Microsoft Office Word</Application>
  <DocSecurity>0</DocSecurity>
  <Lines>217</Lines>
  <Paragraphs>117</Paragraphs>
  <ScaleCrop>false</ScaleCrop>
  <Company>Author-it Software Corporation Ltd.</Company>
  <LinksUpToDate>false</LinksUpToDate>
  <CharactersWithSpaces>8850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MEA131 Manage the custody, transfer and disposal of aircraft, aeronautical product and support equipment</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2025-03-01T08:17:00Z</dcterms:created>
  <dcterms:modified xsi:type="dcterms:W3CDTF">2025-03-01T08:17:00Z</dcterms:modified>
</cp:coreProperties>
</file>