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2FC" w:rsidP="003462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MEA131 Manage the custody, transfer and disposal of aircraft, aeronautical product and support equipment</w:t>
      </w:r>
      <w:r>
        <w:fldChar w:fldCharType="end"/>
      </w:r>
    </w:p>
    <w:p w:rsidR="003462FC" w:rsidP="003462FC">
      <w:pPr>
        <w:pStyle w:val="Version"/>
        <w:sectPr w:rsidSect="00B905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905A8" w:rsidP="00B905A8">
      <w:pPr>
        <w:pStyle w:val="SuperHeading"/>
      </w:pPr>
      <w:r w:rsidRPr="00B905A8">
        <w:t>Assessment Requirements for MEA131 Manage the custody, transfer and disposal of aircraft, aeronautical product and support equipment</w:t>
      </w:r>
    </w:p>
    <w:p w:rsidR="00000000" w:rsidRPr="00B905A8" w:rsidP="00B905A8">
      <w:pPr>
        <w:pStyle w:val="Heading1"/>
      </w:pPr>
      <w:bookmarkStart w:id="1" w:name="O_975131"/>
      <w:bookmarkEnd w:id="1"/>
      <w:r w:rsidRPr="00B905A8">
        <w:t>Modification History</w:t>
      </w:r>
    </w:p>
    <w:p w:rsidR="00000000" w:rsidRPr="00B905A8" w:rsidP="003462FC">
      <w:pPr>
        <w:pStyle w:val="BodyText"/>
      </w:pPr>
      <w:r w:rsidRPr="00B905A8">
        <w:t>Release 2. Equivalent to MEA131 Manage the custody, transfer and disposal of aircraft, aeronautical product and support equipment. Updated to meet training package policy requirements.</w:t>
      </w:r>
    </w:p>
    <w:p w:rsidR="00000000" w:rsidRPr="00B905A8" w:rsidP="00B905A8">
      <w:pPr>
        <w:pStyle w:val="Heading1"/>
      </w:pPr>
      <w:bookmarkStart w:id="2" w:name="O_975130"/>
      <w:bookmarkEnd w:id="2"/>
      <w:r w:rsidRPr="00B905A8">
        <w:t>Performance Evidence</w:t>
      </w:r>
    </w:p>
    <w:p w:rsidR="00000000" w:rsidRPr="00B905A8" w:rsidP="003462FC">
      <w:pPr>
        <w:pStyle w:val="BodyText"/>
      </w:pPr>
      <w:r w:rsidRPr="00B905A8">
        <w:t>There must be evidence the candid</w:t>
      </w:r>
      <w:r w:rsidRPr="00B905A8">
        <w:t>ate has completed the tasks outlined in the elements and performance criteria of this unit, which must include the ability to:</w:t>
      </w:r>
    </w:p>
    <w:p w:rsidR="00000000" w:rsidRPr="00B905A8" w:rsidP="00B905A8">
      <w:pPr>
        <w:pStyle w:val="ListBullet"/>
      </w:pPr>
      <w:r w:rsidRPr="00B905A8">
        <w:t>manage the custody, transfer and disposal of the following under the applicable airworthiness regulatory system:</w:t>
      </w:r>
    </w:p>
    <w:p w:rsidR="00000000" w:rsidRPr="00B905A8" w:rsidP="00B905A8">
      <w:pPr>
        <w:pStyle w:val="ListBullet2"/>
      </w:pPr>
      <w:r w:rsidRPr="00B905A8">
        <w:t>one aircraft</w:t>
      </w:r>
    </w:p>
    <w:p w:rsidR="00000000" w:rsidRPr="00B905A8" w:rsidP="00B905A8">
      <w:pPr>
        <w:pStyle w:val="ListBullet2"/>
      </w:pPr>
      <w:r w:rsidRPr="00B905A8">
        <w:t>o</w:t>
      </w:r>
      <w:r w:rsidRPr="00B905A8">
        <w:t>ne of each of the following three types of aeronautical product and support equipment:</w:t>
      </w:r>
    </w:p>
    <w:p w:rsidR="00000000" w:rsidRPr="00B905A8" w:rsidP="00B905A8">
      <w:pPr>
        <w:pStyle w:val="ListBullet3"/>
      </w:pPr>
      <w:r w:rsidRPr="00B905A8">
        <w:t>special test equipment: measuring equipment, non-destructive testing (NDT) equipment, system test box, test stand, or automatic test equipment</w:t>
      </w:r>
    </w:p>
    <w:p w:rsidR="00000000" w:rsidRPr="00B905A8" w:rsidP="00B905A8">
      <w:pPr>
        <w:pStyle w:val="ListBullet3"/>
      </w:pPr>
      <w:r w:rsidRPr="00B905A8">
        <w:t>ground support equipment: power cart, hydraulic rig, pneumatic rig, refuelling equipment, or towing equipment</w:t>
      </w:r>
    </w:p>
    <w:p w:rsidR="00000000" w:rsidRPr="00B905A8" w:rsidP="00B905A8">
      <w:pPr>
        <w:pStyle w:val="ListBullet3"/>
      </w:pPr>
      <w:r w:rsidRPr="00B905A8">
        <w:t>hazardous and controlled material: chemicals classified as hazardous; items, such as Halon fire-extinguishers, which require an Environmental Prot</w:t>
      </w:r>
      <w:r w:rsidRPr="00B905A8">
        <w:t>ection Authority (EPA) licence for storage; and materials that have EPA standards for storage and use.</w:t>
      </w:r>
    </w:p>
    <w:p w:rsidR="00000000" w:rsidRPr="00B905A8" w:rsidP="00B905A8">
      <w:pPr>
        <w:pStyle w:val="BodyText"/>
      </w:pPr>
    </w:p>
    <w:p w:rsidR="00000000" w:rsidRPr="00B905A8" w:rsidP="003462FC">
      <w:pPr>
        <w:pStyle w:val="BodyText"/>
      </w:pPr>
      <w:r w:rsidRPr="00B905A8">
        <w:t>In the course of the above work, the candidate must:</w:t>
      </w:r>
    </w:p>
    <w:p w:rsidR="00000000" w:rsidRPr="00B905A8" w:rsidP="00B905A8">
      <w:pPr>
        <w:pStyle w:val="ListBullet"/>
      </w:pPr>
      <w:r w:rsidRPr="00B905A8">
        <w:t>demonstrate administration and management skills</w:t>
      </w:r>
    </w:p>
    <w:p w:rsidR="00000000" w:rsidRPr="00B905A8" w:rsidP="00B905A8">
      <w:pPr>
        <w:pStyle w:val="ListBullet"/>
      </w:pPr>
      <w:r w:rsidRPr="00B905A8">
        <w:t>apply technical knowledge</w:t>
      </w:r>
    </w:p>
    <w:p w:rsidR="00000000" w:rsidRPr="00B905A8" w:rsidP="00B905A8">
      <w:pPr>
        <w:pStyle w:val="ListBullet"/>
      </w:pPr>
      <w:r w:rsidRPr="00B905A8">
        <w:t xml:space="preserve">comply with regulatory </w:t>
      </w:r>
      <w:r w:rsidRPr="00B905A8">
        <w:t>requirements and required organisational policy and procedures</w:t>
      </w:r>
    </w:p>
    <w:p w:rsidR="00000000" w:rsidRPr="00B905A8" w:rsidP="00B905A8">
      <w:pPr>
        <w:pStyle w:val="ListBullet"/>
      </w:pPr>
      <w:r w:rsidRPr="00B905A8">
        <w:t>comply with environmental protection requirements.</w:t>
      </w:r>
    </w:p>
    <w:p w:rsidR="00000000" w:rsidRPr="00B905A8" w:rsidP="00B905A8">
      <w:pPr>
        <w:pStyle w:val="AllowPageBreak"/>
      </w:pPr>
    </w:p>
    <w:p w:rsidR="00000000" w:rsidRPr="00B905A8" w:rsidP="00B905A8">
      <w:pPr>
        <w:pStyle w:val="Heading1"/>
      </w:pPr>
      <w:bookmarkStart w:id="3" w:name="O_975129"/>
      <w:bookmarkEnd w:id="3"/>
      <w:r w:rsidRPr="00B905A8">
        <w:t>Knowledge Evidence</w:t>
      </w:r>
    </w:p>
    <w:p w:rsidR="00000000" w:rsidRPr="00B905A8" w:rsidP="003462FC">
      <w:pPr>
        <w:pStyle w:val="BodyText"/>
      </w:pPr>
      <w:r w:rsidRPr="00B905A8">
        <w:t>There must be evidence the candidate has knowledge of:</w:t>
      </w:r>
    </w:p>
    <w:p w:rsidR="00000000" w:rsidRPr="00B905A8" w:rsidP="00B905A8">
      <w:pPr>
        <w:pStyle w:val="ListBullet"/>
      </w:pPr>
      <w:r w:rsidRPr="00B905A8">
        <w:t>key features of aircraft maintenance and aeronauti</w:t>
      </w:r>
      <w:r w:rsidRPr="00B905A8">
        <w:t>cal product maintenance requirements and instructions relating to the work described in the performance evidence</w:t>
      </w:r>
    </w:p>
    <w:p w:rsidR="00000000" w:rsidRPr="00B905A8" w:rsidP="00B905A8">
      <w:pPr>
        <w:pStyle w:val="ListBullet"/>
      </w:pPr>
      <w:r w:rsidRPr="00B905A8">
        <w:t>environmental protection requirements relating to the custody, transfer and disposal of aircraft, aeronautical product and support equipment de</w:t>
      </w:r>
      <w:r w:rsidRPr="00B905A8">
        <w:t>scribed in the performance evidence</w:t>
      </w:r>
    </w:p>
    <w:p w:rsidR="00000000" w:rsidRPr="00B905A8" w:rsidP="00B905A8">
      <w:pPr>
        <w:pStyle w:val="ListBullet"/>
      </w:pPr>
      <w:r w:rsidRPr="00B905A8">
        <w:t>key features of test equipment calibration requirements</w:t>
      </w:r>
    </w:p>
    <w:p w:rsidR="00000000" w:rsidRPr="00B905A8" w:rsidP="00B905A8">
      <w:pPr>
        <w:pStyle w:val="ListBullet"/>
      </w:pPr>
      <w:r w:rsidRPr="00B905A8">
        <w:t>regulatory requirements relating to the custody, transfer and disposal of aircraft, aeronautical product, support equipment and environmental protection, specified in:</w:t>
      </w:r>
    </w:p>
    <w:p w:rsidR="00000000" w:rsidRPr="00B905A8" w:rsidP="00B905A8">
      <w:pPr>
        <w:pStyle w:val="ListBullet2"/>
      </w:pPr>
      <w:r w:rsidRPr="00B905A8">
        <w:t>Civil Aviation Regulations (CARs) and associated Advisory Circulars (ACs)</w:t>
      </w:r>
    </w:p>
    <w:p w:rsidR="00000000" w:rsidRPr="00B905A8" w:rsidP="00B905A8">
      <w:pPr>
        <w:pStyle w:val="ListBullet2"/>
      </w:pPr>
      <w:r w:rsidRPr="00B905A8">
        <w:t>Civil Aviatio</w:t>
      </w:r>
      <w:r w:rsidRPr="00B905A8">
        <w:t>n Safety Regulations (CASRs), Manuals of Standards and associated Acceptable Means of Compliance and Guidance Material</w:t>
      </w:r>
    </w:p>
    <w:p w:rsidR="00000000" w:rsidRPr="00B905A8" w:rsidP="00B905A8">
      <w:pPr>
        <w:pStyle w:val="ListBullet2"/>
      </w:pPr>
      <w:r w:rsidRPr="00B905A8">
        <w:t>aviation maintenance organisation expositions</w:t>
      </w:r>
    </w:p>
    <w:p w:rsidR="00000000" w:rsidRPr="00B905A8" w:rsidP="00B905A8">
      <w:pPr>
        <w:pStyle w:val="ListBullet2"/>
      </w:pPr>
      <w:r w:rsidRPr="00B905A8">
        <w:t>continuing airworthiness management organisation expositions</w:t>
      </w:r>
    </w:p>
    <w:p w:rsidR="00000000" w:rsidRPr="00B905A8" w:rsidP="00B905A8">
      <w:pPr>
        <w:pStyle w:val="ListBullet2"/>
      </w:pPr>
      <w:r w:rsidRPr="00B905A8">
        <w:t>policy manuals</w:t>
      </w:r>
    </w:p>
    <w:p w:rsidR="00000000" w:rsidRPr="00B905A8" w:rsidP="00B905A8">
      <w:pPr>
        <w:pStyle w:val="ListBullet2"/>
      </w:pPr>
      <w:r w:rsidRPr="00B905A8">
        <w:t>procedures manu</w:t>
      </w:r>
      <w:r w:rsidRPr="00B905A8">
        <w:t>als</w:t>
      </w:r>
    </w:p>
    <w:p w:rsidR="00000000" w:rsidRPr="00B905A8" w:rsidP="00B905A8">
      <w:pPr>
        <w:pStyle w:val="ListBullet2"/>
      </w:pPr>
      <w:r w:rsidRPr="00B905A8">
        <w:t>AAP 7001.053 Technical Airworthiness Management Manual</w:t>
      </w:r>
    </w:p>
    <w:p w:rsidR="00000000" w:rsidRPr="00B905A8" w:rsidP="00B905A8">
      <w:pPr>
        <w:pStyle w:val="ListBullet2"/>
      </w:pPr>
      <w:r w:rsidRPr="00B905A8">
        <w:t>Defence Regulations and instructions</w:t>
      </w:r>
    </w:p>
    <w:p w:rsidR="00000000" w:rsidRPr="00B905A8" w:rsidP="00B905A8">
      <w:pPr>
        <w:pStyle w:val="ListBullet2"/>
      </w:pPr>
      <w:r w:rsidRPr="00B905A8">
        <w:t>maintenance management plans</w:t>
      </w:r>
    </w:p>
    <w:p w:rsidR="00000000" w:rsidRPr="00B905A8" w:rsidP="00B905A8">
      <w:pPr>
        <w:pStyle w:val="ListBullet2"/>
      </w:pPr>
      <w:r w:rsidRPr="00B905A8">
        <w:t>standing instructions</w:t>
      </w:r>
    </w:p>
    <w:p w:rsidR="00000000" w:rsidRPr="00B905A8" w:rsidP="00B905A8">
      <w:pPr>
        <w:pStyle w:val="ListBullet"/>
      </w:pPr>
      <w:r w:rsidRPr="00B905A8">
        <w:t>regulatory requirements and organisational policies and procedures relating to the custody, transfer and dis</w:t>
      </w:r>
      <w:r w:rsidRPr="00B905A8">
        <w:t>posal of the aircraft, aeronautical product and support equipment described in the performance evidence, including those relating to:</w:t>
      </w:r>
    </w:p>
    <w:p w:rsidR="00000000" w:rsidRPr="00B905A8" w:rsidP="00B905A8">
      <w:pPr>
        <w:pStyle w:val="ListBullet2"/>
      </w:pPr>
      <w:r w:rsidRPr="00B905A8">
        <w:t>maintaining, retaining and storing maintenance records and documentation</w:t>
      </w:r>
    </w:p>
    <w:p w:rsidR="00000000" w:rsidRPr="00B905A8" w:rsidP="00B905A8">
      <w:pPr>
        <w:pStyle w:val="ListBullet2"/>
      </w:pPr>
      <w:r w:rsidRPr="00B905A8">
        <w:t>maintaining and storing aircraft and aeronautica</w:t>
      </w:r>
      <w:r w:rsidRPr="00B905A8">
        <w:t>l product</w:t>
      </w:r>
    </w:p>
    <w:p w:rsidR="00000000" w:rsidRPr="00B905A8" w:rsidP="00B905A8">
      <w:pPr>
        <w:pStyle w:val="ListBullet2"/>
      </w:pPr>
      <w:r w:rsidRPr="00B905A8">
        <w:t>transferring aircraft, aeronautical product and support equipment between organisations</w:t>
      </w:r>
    </w:p>
    <w:p w:rsidR="00000000" w:rsidRPr="00B905A8" w:rsidP="00B905A8">
      <w:pPr>
        <w:pStyle w:val="ListBullet2"/>
      </w:pPr>
      <w:r w:rsidRPr="00B905A8">
        <w:t>transferring maintenance records and documentation between organisations</w:t>
      </w:r>
    </w:p>
    <w:p w:rsidR="00000000" w:rsidRPr="00B905A8" w:rsidP="00B905A8">
      <w:pPr>
        <w:pStyle w:val="ListBullet2"/>
      </w:pPr>
      <w:r w:rsidRPr="00B905A8">
        <w:t>classifying aircraft, items of aeronautical product and support equipment for disposal</w:t>
      </w:r>
    </w:p>
    <w:p w:rsidR="00000000" w:rsidRPr="00B905A8" w:rsidP="00B905A8">
      <w:pPr>
        <w:pStyle w:val="ListBullet2"/>
      </w:pPr>
      <w:r w:rsidRPr="00B905A8">
        <w:t>compiling disposal documentation.</w:t>
      </w:r>
    </w:p>
    <w:p w:rsidR="00000000" w:rsidRPr="00B905A8" w:rsidP="00B905A8">
      <w:pPr>
        <w:pStyle w:val="AllowPageBreak"/>
      </w:pPr>
    </w:p>
    <w:p w:rsidR="00000000" w:rsidRPr="00B905A8" w:rsidP="00B905A8">
      <w:pPr>
        <w:pStyle w:val="Heading1"/>
      </w:pPr>
      <w:bookmarkStart w:id="4" w:name="O_975128"/>
      <w:bookmarkEnd w:id="4"/>
      <w:r w:rsidRPr="00B905A8">
        <w:t>Assessment Conditions</w:t>
      </w:r>
    </w:p>
    <w:p w:rsidR="00000000" w:rsidRPr="00B905A8" w:rsidP="003462FC">
      <w:pPr>
        <w:pStyle w:val="BodyText"/>
      </w:pPr>
      <w:r w:rsidRPr="00B905A8">
        <w:t>The following conditions of assessment represent the requirements of the regulators (ADF and CAS</w:t>
      </w:r>
      <w:r w:rsidRPr="00B905A8">
        <w:t>A) and maintenance stakeholders and must be rigorously observed.</w:t>
      </w:r>
    </w:p>
    <w:p w:rsidR="00000000" w:rsidRPr="00B905A8" w:rsidP="003462FC">
      <w:pPr>
        <w:pStyle w:val="BodyText"/>
      </w:pPr>
      <w:r w:rsidRPr="00B905A8">
        <w:t xml:space="preserve">This unit may be assessed on the job, off the job or a combination of both. Where assessment occurs off the job, an appropriate simulation must be used where the range of conditions reflects </w:t>
      </w:r>
      <w:r w:rsidRPr="00B905A8">
        <w:t>realistic workplace situations that would be encountered in managing the custody, transfer and disposal of aircraft, aeronautical product and support equipment under the applicable airworthiness regulatory system.</w:t>
      </w:r>
    </w:p>
    <w:p w:rsidR="00000000" w:rsidRPr="00B905A8" w:rsidP="003462FC">
      <w:pPr>
        <w:pStyle w:val="BodyText"/>
      </w:pPr>
      <w:r w:rsidRPr="00B905A8">
        <w:t>The candidate must be permitted to refer t</w:t>
      </w:r>
      <w:r w:rsidRPr="00B905A8">
        <w:t>o relevant workplace procedures, product and manufacturing specifications, codes, standards, manuals, and reference materials.</w:t>
      </w:r>
    </w:p>
    <w:p w:rsidR="00000000" w:rsidRPr="00B905A8" w:rsidP="003462FC">
      <w:pPr>
        <w:pStyle w:val="BodyText"/>
      </w:pPr>
      <w:r w:rsidRPr="00B905A8">
        <w:t>The candidate must have access to:</w:t>
      </w:r>
    </w:p>
    <w:p w:rsidR="00000000" w:rsidRPr="00B905A8" w:rsidP="00B905A8">
      <w:pPr>
        <w:pStyle w:val="ListBullet"/>
      </w:pPr>
      <w:r w:rsidRPr="00B905A8">
        <w:t>tools, equipment, and materials required to demonstrate the performance evidence above.</w:t>
      </w:r>
    </w:p>
    <w:p w:rsidR="00000000" w:rsidRPr="00B905A8" w:rsidP="00B905A8">
      <w:pPr>
        <w:pStyle w:val="BodyText"/>
      </w:pPr>
    </w:p>
    <w:p w:rsidR="00000000" w:rsidRPr="00B905A8" w:rsidP="003462FC">
      <w:pPr>
        <w:pStyle w:val="BodyText"/>
      </w:pPr>
      <w:r w:rsidRPr="00B905A8">
        <w:t>Cand</w:t>
      </w:r>
      <w:r w:rsidRPr="00B905A8">
        <w:t>idate capability of providing the required performance and knowledge evidence must be established via the records in the Maintenance Management Competency Log. Where the individual does not have a Competency Log, evidence of capability can be gathered thro</w:t>
      </w:r>
      <w:r w:rsidRPr="00B905A8">
        <w:t>ugh direct observation, supervisor’s reports, project work, samples and questioning.</w:t>
      </w:r>
    </w:p>
    <w:p w:rsidR="00000000" w:rsidRPr="00B905A8" w:rsidP="003462FC">
      <w:pPr>
        <w:pStyle w:val="BodyText"/>
      </w:pPr>
      <w:r w:rsidRPr="00B905A8">
        <w:t>Assessors of this unit must satisfy the assessor requirements in applicable vocational education and training legislation, frameworks and/or standards.</w:t>
      </w:r>
    </w:p>
    <w:p w:rsidR="00000000" w:rsidRPr="00B905A8" w:rsidP="003462FC">
      <w:pPr>
        <w:pStyle w:val="BodyText"/>
      </w:pPr>
      <w:r w:rsidRPr="00B905A8">
        <w:t>Where the unit is to be used for CASA licensing purposes the Assessor must also meet the criteria specified in the CASR Part 147 Manual of Standards.</w:t>
      </w:r>
    </w:p>
    <w:p w:rsidR="00000000" w:rsidRPr="00B905A8" w:rsidP="00B905A8">
      <w:pPr>
        <w:pStyle w:val="Heading1"/>
      </w:pPr>
      <w:bookmarkStart w:id="5" w:name="O_975143"/>
      <w:bookmarkEnd w:id="5"/>
      <w:r w:rsidRPr="00B905A8">
        <w:t>Links</w:t>
      </w:r>
    </w:p>
    <w:p w:rsidR="00000000" w:rsidRPr="00B905A8" w:rsidP="003462FC">
      <w:pPr>
        <w:pStyle w:val="BodyText"/>
      </w:pPr>
      <w:r w:rsidRPr="00B905A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C82B88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B905A8" w:rsidP="00B905A8"/>
    <w:sectPr w:rsidSect="00B905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5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5A8" w:rsidRPr="003462FC" w:rsidP="003462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5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2FC" w:rsidP="00B905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62FC" w:rsidP="00B905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462FC" w:rsidP="00B905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5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2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05A8" w:rsidRPr="003462FC" w:rsidP="003462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5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2FC" w:rsidRPr="002D2AF8" w:rsidP="00B905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MEA131 Manage the custody, transfer and disposal of aircraft, aeronautical product and support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3462FC" w:rsidP="00B905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4E98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3CBB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4C30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5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05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05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05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05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05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05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05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05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05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05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05A8"/>
  </w:style>
  <w:style w:type="character" w:customStyle="1" w:styleId="Heading1Char">
    <w:name w:val="Heading 1 Char"/>
    <w:basedOn w:val="DefaultParagraphFont"/>
    <w:link w:val="Heading1"/>
    <w:rsid w:val="00B905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05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05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05A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05A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05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05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905A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905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05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05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0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0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0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0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05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05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05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05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05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05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05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05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05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05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05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05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05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05A8"/>
    <w:rPr>
      <w:b/>
      <w:spacing w:val="0"/>
    </w:rPr>
  </w:style>
  <w:style w:type="paragraph" w:customStyle="1" w:styleId="SuperTitle">
    <w:name w:val="SuperTitle"/>
    <w:basedOn w:val="Title"/>
    <w:rsid w:val="00B905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05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05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05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05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05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05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05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05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05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05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05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05A8"/>
    <w:rPr>
      <w:i/>
    </w:rPr>
  </w:style>
  <w:style w:type="paragraph" w:styleId="Caption">
    <w:name w:val="caption"/>
    <w:basedOn w:val="BodyText"/>
    <w:next w:val="Normal"/>
    <w:qFormat/>
    <w:rsid w:val="00B905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05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05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05A8"/>
  </w:style>
  <w:style w:type="paragraph" w:styleId="TableofFigures">
    <w:name w:val="table of figures"/>
    <w:basedOn w:val="Normal"/>
    <w:next w:val="Normal"/>
    <w:semiHidden/>
    <w:rsid w:val="00B905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05A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905A8"/>
    <w:rPr>
      <w:rFonts w:ascii="Wingdings" w:hAnsi="Wingdings"/>
    </w:rPr>
  </w:style>
  <w:style w:type="paragraph" w:customStyle="1" w:styleId="TableHeading">
    <w:name w:val="Table Heading"/>
    <w:basedOn w:val="HeadingBase"/>
    <w:rsid w:val="00B905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05A8"/>
    <w:rPr>
      <w:color w:val="0033CC"/>
      <w:u w:val="none"/>
    </w:rPr>
  </w:style>
  <w:style w:type="paragraph" w:customStyle="1" w:styleId="BodyTextRight">
    <w:name w:val="Body Text Right"/>
    <w:basedOn w:val="BodyText"/>
    <w:rsid w:val="00B905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05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05A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05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05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05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05A8"/>
    <w:rPr>
      <w:sz w:val="32"/>
    </w:rPr>
  </w:style>
  <w:style w:type="paragraph" w:customStyle="1" w:styleId="HeadingProcedure">
    <w:name w:val="Heading Procedure"/>
    <w:basedOn w:val="HeadingBase"/>
    <w:next w:val="Normal"/>
    <w:rsid w:val="00B905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05A8"/>
    <w:pPr>
      <w:spacing w:before="60" w:after="60"/>
    </w:pPr>
  </w:style>
  <w:style w:type="paragraph" w:styleId="ListContinue">
    <w:name w:val="List Continue"/>
    <w:basedOn w:val="List"/>
    <w:rsid w:val="00B905A8"/>
    <w:pPr>
      <w:ind w:firstLine="0"/>
    </w:pPr>
  </w:style>
  <w:style w:type="paragraph" w:customStyle="1" w:styleId="ListNote">
    <w:name w:val="List Note"/>
    <w:basedOn w:val="List"/>
    <w:rsid w:val="00B905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05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05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05A8"/>
    <w:rPr>
      <w:rFonts w:ascii="Courier New" w:hAnsi="Courier New"/>
    </w:rPr>
  </w:style>
  <w:style w:type="paragraph" w:customStyle="1" w:styleId="NoteBullet">
    <w:name w:val="Note Bullet"/>
    <w:basedOn w:val="Note"/>
    <w:rsid w:val="00B905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05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05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05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05A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05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05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05A8"/>
    <w:rPr>
      <w:b/>
      <w:smallCaps/>
    </w:rPr>
  </w:style>
  <w:style w:type="paragraph" w:customStyle="1" w:styleId="TableListNumber">
    <w:name w:val="Table List Number"/>
    <w:basedOn w:val="ListNumber"/>
    <w:rsid w:val="00B905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05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05A8"/>
    <w:pPr>
      <w:numPr>
        <w:numId w:val="10"/>
      </w:numPr>
    </w:pPr>
  </w:style>
  <w:style w:type="paragraph" w:customStyle="1" w:styleId="ListAlpha2">
    <w:name w:val="List Alpha 2"/>
    <w:basedOn w:val="List2"/>
    <w:rsid w:val="00B905A8"/>
    <w:pPr>
      <w:numPr>
        <w:numId w:val="9"/>
      </w:numPr>
    </w:pPr>
  </w:style>
  <w:style w:type="paragraph" w:styleId="List2">
    <w:name w:val="List 2"/>
    <w:basedOn w:val="BodyText"/>
    <w:rsid w:val="00B905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05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05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05A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905A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905A8"/>
    <w:pPr>
      <w:numPr>
        <w:numId w:val="5"/>
      </w:numPr>
    </w:pPr>
  </w:style>
  <w:style w:type="paragraph" w:styleId="ListContinue2">
    <w:name w:val="List Continue 2"/>
    <w:basedOn w:val="List2"/>
    <w:rsid w:val="00B905A8"/>
    <w:pPr>
      <w:ind w:firstLine="0"/>
    </w:pPr>
  </w:style>
  <w:style w:type="paragraph" w:styleId="ListContinue3">
    <w:name w:val="List Continue 3"/>
    <w:basedOn w:val="List3"/>
    <w:rsid w:val="00B905A8"/>
    <w:pPr>
      <w:ind w:left="1021" w:firstLine="0"/>
    </w:pPr>
  </w:style>
  <w:style w:type="paragraph" w:styleId="ListContinue4">
    <w:name w:val="List Continue 4"/>
    <w:basedOn w:val="List4"/>
    <w:rsid w:val="00B905A8"/>
    <w:pPr>
      <w:ind w:firstLine="0"/>
    </w:pPr>
  </w:style>
  <w:style w:type="paragraph" w:styleId="ListContinue5">
    <w:name w:val="List Continue 5"/>
    <w:basedOn w:val="List5"/>
    <w:rsid w:val="00B905A8"/>
    <w:pPr>
      <w:ind w:firstLine="0"/>
    </w:pPr>
  </w:style>
  <w:style w:type="paragraph" w:styleId="ListNumber3">
    <w:name w:val="List Number 3"/>
    <w:basedOn w:val="List3"/>
    <w:rsid w:val="00B905A8"/>
    <w:pPr>
      <w:numPr>
        <w:numId w:val="6"/>
      </w:numPr>
    </w:pPr>
  </w:style>
  <w:style w:type="paragraph" w:styleId="ListNumber4">
    <w:name w:val="List Number 4"/>
    <w:basedOn w:val="List4"/>
    <w:rsid w:val="00B905A8"/>
    <w:pPr>
      <w:numPr>
        <w:numId w:val="7"/>
      </w:numPr>
    </w:pPr>
  </w:style>
  <w:style w:type="paragraph" w:styleId="ListNumber5">
    <w:name w:val="List Number 5"/>
    <w:basedOn w:val="List5"/>
    <w:rsid w:val="00B905A8"/>
    <w:pPr>
      <w:numPr>
        <w:numId w:val="8"/>
      </w:numPr>
    </w:pPr>
  </w:style>
  <w:style w:type="paragraph" w:styleId="BlockText">
    <w:name w:val="Block Text"/>
    <w:basedOn w:val="Normal"/>
    <w:rsid w:val="00B905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05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05A8"/>
    <w:rPr>
      <w:sz w:val="16"/>
      <w:vertAlign w:val="superscript"/>
    </w:rPr>
  </w:style>
  <w:style w:type="character" w:customStyle="1" w:styleId="Symbols">
    <w:name w:val="Symbols"/>
    <w:basedOn w:val="DefaultParagraphFont"/>
    <w:rsid w:val="00B905A8"/>
    <w:rPr>
      <w:rFonts w:ascii="Symbol" w:hAnsi="Symbol"/>
    </w:rPr>
  </w:style>
  <w:style w:type="character" w:customStyle="1" w:styleId="MenuOptions">
    <w:name w:val="Menu Options"/>
    <w:basedOn w:val="DefaultParagraphFont"/>
    <w:rsid w:val="00B905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05A8"/>
    <w:rPr>
      <w:b/>
    </w:rPr>
  </w:style>
  <w:style w:type="character" w:customStyle="1" w:styleId="Underlined">
    <w:name w:val="Underlined"/>
    <w:basedOn w:val="DefaultParagraphFont"/>
    <w:rsid w:val="00B905A8"/>
    <w:rPr>
      <w:u w:val="single"/>
    </w:rPr>
  </w:style>
  <w:style w:type="paragraph" w:customStyle="1" w:styleId="TableBodyTextRight">
    <w:name w:val="Table Body Text Right"/>
    <w:basedOn w:val="TableBodyText"/>
    <w:rsid w:val="00B905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05A8"/>
    <w:rPr>
      <w:sz w:val="18"/>
    </w:rPr>
  </w:style>
  <w:style w:type="paragraph" w:customStyle="1" w:styleId="BodySmallRight">
    <w:name w:val="Body Small Right"/>
    <w:basedOn w:val="BodyTextRight"/>
    <w:rsid w:val="00B905A8"/>
    <w:rPr>
      <w:sz w:val="18"/>
      <w:szCs w:val="18"/>
    </w:rPr>
  </w:style>
  <w:style w:type="paragraph" w:customStyle="1" w:styleId="MarginEdition">
    <w:name w:val="Margin Edition"/>
    <w:basedOn w:val="MarginNote"/>
    <w:rsid w:val="00B905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05A8"/>
    <w:rPr>
      <w:sz w:val="2"/>
      <w:szCs w:val="2"/>
    </w:rPr>
  </w:style>
  <w:style w:type="character" w:customStyle="1" w:styleId="Small">
    <w:name w:val="Small"/>
    <w:basedOn w:val="DefaultParagraphFont"/>
    <w:rsid w:val="00B905A8"/>
    <w:rPr>
      <w:sz w:val="16"/>
    </w:rPr>
  </w:style>
  <w:style w:type="paragraph" w:customStyle="1" w:styleId="WideTable">
    <w:name w:val="Wide Table"/>
    <w:basedOn w:val="Normal"/>
    <w:rsid w:val="00B905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05A8"/>
  </w:style>
  <w:style w:type="paragraph" w:styleId="Quote">
    <w:name w:val="Quote"/>
    <w:basedOn w:val="Heading1"/>
    <w:link w:val="QuoteChar"/>
    <w:qFormat/>
    <w:rsid w:val="00B905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05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05A8"/>
    <w:pPr>
      <w:pageBreakBefore/>
    </w:pPr>
  </w:style>
  <w:style w:type="paragraph" w:customStyle="1" w:styleId="Border">
    <w:name w:val="Border"/>
    <w:basedOn w:val="Normal"/>
    <w:qFormat/>
    <w:rsid w:val="00B905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05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5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5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05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05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05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05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05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05A8"/>
    <w:rPr>
      <w:u w:val="single"/>
    </w:rPr>
  </w:style>
  <w:style w:type="character" w:customStyle="1" w:styleId="BoldandItalics">
    <w:name w:val="Bold and Italics"/>
    <w:qFormat/>
    <w:rsid w:val="00B905A8"/>
    <w:rPr>
      <w:b/>
      <w:i/>
      <w:u w:val="none"/>
    </w:rPr>
  </w:style>
  <w:style w:type="paragraph" w:styleId="BalloonText">
    <w:name w:val="Balloon Text"/>
    <w:basedOn w:val="Normal"/>
    <w:link w:val="BalloonTextChar"/>
    <w:rsid w:val="00B905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05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05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05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05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05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05A8"/>
    <w:pPr>
      <w:spacing w:before="0" w:after="0"/>
    </w:pPr>
  </w:style>
  <w:style w:type="paragraph" w:customStyle="1" w:styleId="BodyTextBold">
    <w:name w:val="Body Text Bold"/>
    <w:basedOn w:val="BodyText"/>
    <w:qFormat/>
    <w:rsid w:val="00B905A8"/>
    <w:rPr>
      <w:b/>
    </w:rPr>
  </w:style>
  <w:style w:type="character" w:styleId="Hyperlink">
    <w:name w:val="Hyperlink"/>
    <w:basedOn w:val="DefaultParagraphFont"/>
    <w:uiPriority w:val="99"/>
    <w:unhideWhenUsed/>
    <w:rsid w:val="003462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678</Words>
  <Characters>4626</Characters>
  <Application>Microsoft Office Word</Application>
  <DocSecurity>0</DocSecurity>
  <Lines>98</Lines>
  <Paragraphs>60</Paragraphs>
  <ScaleCrop>false</ScaleCrop>
  <Company>Author-it Software Corporation Ltd.</Company>
  <LinksUpToDate>false</LinksUpToDate>
  <CharactersWithSpaces>5244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MEA131 Manage the custody, transfer and disposal of aircraft, aeronautical product and support equipment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2019-09-30T08:44:00Z</dcterms:created>
  <dcterms:modified xsi:type="dcterms:W3CDTF">2019-09-30T08:44:00Z</dcterms:modified>
</cp:coreProperties>
</file>