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DBF" w:rsidP="005A2DBF">
      <w:pPr>
        <w:pStyle w:val="Title"/>
      </w:pPr>
      <w:r>
        <w:fldChar w:fldCharType="begin"/>
      </w:r>
      <w:r>
        <w:instrText xml:space="preserve"> TITLE   \* MERGEFORMAT </w:instrText>
      </w:r>
      <w:r>
        <w:fldChar w:fldCharType="separate"/>
      </w:r>
      <w:r>
        <w:t>MEA124 Coordinate change programs in the aviation maintenance environment</w:t>
      </w:r>
      <w:r>
        <w:fldChar w:fldCharType="end"/>
      </w:r>
    </w:p>
    <w:p w:rsidR="005A2DBF" w:rsidP="005A2DBF">
      <w:pPr>
        <w:pStyle w:val="Version"/>
        <w:sectPr w:rsidSect="00D570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0CE" w:rsidP="00D570CE">
      <w:pPr>
        <w:pStyle w:val="SuperHeading"/>
      </w:pPr>
      <w:r w:rsidRPr="00D570CE">
        <w:t>MEA124 Coordinate change programs in the aviation maintenance environment</w:t>
      </w:r>
    </w:p>
    <w:p w:rsidR="00000000" w:rsidRPr="00D570CE" w:rsidP="00D570CE">
      <w:pPr>
        <w:pStyle w:val="Heading1"/>
      </w:pPr>
      <w:bookmarkStart w:id="1" w:name="O_719137"/>
      <w:bookmarkEnd w:id="1"/>
      <w:r w:rsidRPr="00D570CE">
        <w:t>Modification History</w:t>
      </w:r>
    </w:p>
    <w:p w:rsidR="00000000" w:rsidRPr="00D570CE" w:rsidP="00D570CE">
      <w:pPr>
        <w:pStyle w:val="BodyText"/>
      </w:pPr>
      <w:r w:rsidRPr="00D570CE">
        <w:t>Release 1 - New unit of competency</w:t>
      </w:r>
    </w:p>
    <w:p w:rsidR="00000000" w:rsidRPr="00D570CE" w:rsidP="00D570CE">
      <w:pPr>
        <w:pStyle w:val="AllowPageBreak"/>
      </w:pPr>
    </w:p>
    <w:p w:rsidR="00000000" w:rsidRPr="00D570CE" w:rsidP="00D570CE">
      <w:pPr>
        <w:pStyle w:val="Heading1"/>
      </w:pPr>
      <w:bookmarkStart w:id="2" w:name="O_719145"/>
      <w:bookmarkEnd w:id="2"/>
      <w:r w:rsidRPr="00D570CE">
        <w:t>Application</w:t>
      </w:r>
    </w:p>
    <w:p w:rsidR="00000000" w:rsidRPr="00D570CE" w:rsidP="00D570CE">
      <w:pPr>
        <w:pStyle w:val="BodyText"/>
      </w:pPr>
      <w:r w:rsidRPr="00D570CE">
        <w:t>This unit of competency requi</w:t>
      </w:r>
      <w:r w:rsidRPr="00D570CE">
        <w:t>res application of management processes that promote and initiate desirable changes that will improve individual and organisational effectiveness in the aviation maintenance environment during scheduled or unscheduled maintenance. Work may be performed ind</w:t>
      </w:r>
      <w:r w:rsidRPr="00D570CE">
        <w:t>ividually or as part of a team.</w:t>
      </w:r>
    </w:p>
    <w:p w:rsidR="00000000" w:rsidRPr="00D570CE" w:rsidP="00D570CE">
      <w:pPr>
        <w:pStyle w:val="BodyText"/>
      </w:pPr>
    </w:p>
    <w:p w:rsidR="00000000" w:rsidRPr="00D570CE" w:rsidP="00D570CE">
      <w:pPr>
        <w:pStyle w:val="BodyText"/>
      </w:pPr>
      <w:r w:rsidRPr="00D570CE">
        <w:t>The unit is part of the Aeroskills Advanced Diploma training pathways. It is used in workplaces that operate under the airworthiness regulatory systems of the Australian Defence Force (ADF) and the Civil Aviation Safety Aut</w:t>
      </w:r>
      <w:r w:rsidRPr="00D570CE">
        <w:t>hority (CASA).</w:t>
      </w:r>
    </w:p>
    <w:p w:rsidR="00000000" w:rsidRPr="00D570CE" w:rsidP="00D570CE">
      <w:pPr>
        <w:pStyle w:val="AllowPageBreak"/>
      </w:pPr>
    </w:p>
    <w:p w:rsidR="00000000" w:rsidRPr="00D570CE" w:rsidP="00D570CE">
      <w:pPr>
        <w:pStyle w:val="Heading1"/>
      </w:pPr>
      <w:bookmarkStart w:id="3" w:name="O_719144"/>
      <w:bookmarkEnd w:id="3"/>
      <w:r w:rsidRPr="00D570CE">
        <w:t>Pre-requisite Unit</w:t>
      </w:r>
    </w:p>
    <w:p w:rsidR="00000000" w:rsidRPr="00D570CE" w:rsidP="00D570CE">
      <w:pPr>
        <w:pStyle w:val="Heading1"/>
      </w:pPr>
      <w:bookmarkStart w:id="4" w:name="O_719143"/>
      <w:bookmarkEnd w:id="4"/>
      <w:r w:rsidRPr="00D570CE">
        <w:t>Competency Field</w:t>
      </w:r>
    </w:p>
    <w:p w:rsidR="00000000" w:rsidRPr="00D570CE" w:rsidP="00D570CE">
      <w:pPr>
        <w:pStyle w:val="BodyText"/>
      </w:pPr>
      <w:r w:rsidRPr="00D570CE">
        <w:t>Aviation maintenance management</w:t>
      </w:r>
    </w:p>
    <w:p w:rsidR="00000000" w:rsidRPr="00D570CE" w:rsidP="00D570CE">
      <w:pPr>
        <w:pStyle w:val="AllowPageBreak"/>
      </w:pPr>
    </w:p>
    <w:p w:rsidR="00000000" w:rsidRPr="00D570CE" w:rsidP="00D570CE">
      <w:pPr>
        <w:pStyle w:val="Heading1"/>
      </w:pPr>
      <w:bookmarkStart w:id="5" w:name="O_719142"/>
      <w:bookmarkEnd w:id="5"/>
      <w:r w:rsidRPr="00D570CE">
        <w:t>Unit Sector</w:t>
      </w:r>
    </w:p>
    <w:p w:rsidR="00000000" w:rsidRPr="00D570CE" w:rsidP="00D570CE">
      <w:pPr>
        <w:pStyle w:val="Heading1"/>
      </w:pPr>
      <w:bookmarkStart w:id="6" w:name="O_719141"/>
      <w:bookmarkEnd w:id="6"/>
      <w:r w:rsidRPr="00D570CE">
        <w:t>Elements and Performance Criteria</w:t>
      </w:r>
    </w:p>
    <w:tbl>
      <w:tblPr>
        <w:tblW w:w="9370" w:type="dxa"/>
        <w:tblLayout w:type="fixed"/>
        <w:tblCellMar>
          <w:left w:w="62" w:type="dxa"/>
          <w:right w:w="62" w:type="dxa"/>
        </w:tblCellMar>
        <w:tblLook w:val="0000"/>
      </w:tblPr>
      <w:tblGrid>
        <w:gridCol w:w="630"/>
        <w:gridCol w:w="2250"/>
        <w:gridCol w:w="706"/>
        <w:gridCol w:w="5594"/>
        <w:gridCol w:w="190"/>
      </w:tblGrid>
      <w:tr w:rsidTr="00D570CE">
        <w:tblPrEx>
          <w:tblW w:w="93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Elements describe the essential outcomes.</w:t>
            </w:r>
          </w:p>
        </w:tc>
        <w:tc>
          <w:tcPr>
            <w:tcW w:w="6490" w:type="dxa"/>
            <w:gridSpan w:val="3"/>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Performance criter</w:t>
            </w:r>
            <w:r w:rsidRPr="00D570CE">
              <w:t xml:space="preserve">ia describe the performance needed to demonstrate achievement of the element. </w:t>
            </w:r>
          </w:p>
        </w:tc>
      </w:tr>
      <w:tr w:rsidTr="00D570CE">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1.</w:t>
            </w:r>
          </w:p>
        </w:tc>
        <w:tc>
          <w:tcPr>
            <w:tcW w:w="225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Promote change within workplace practices</w:t>
            </w:r>
          </w:p>
        </w:tc>
        <w:tc>
          <w:tcPr>
            <w:tcW w:w="706"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1.1</w:t>
            </w:r>
          </w:p>
        </w:tc>
        <w:tc>
          <w:tcPr>
            <w:tcW w:w="5594"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Change is promoted as an opportunity for improving individual and organisational effectiveness</w:t>
            </w:r>
          </w:p>
        </w:tc>
      </w:tr>
      <w:tr w:rsidTr="00D570CE">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1.2</w:t>
            </w:r>
          </w:p>
        </w:tc>
        <w:tc>
          <w:tcPr>
            <w:tcW w:w="5594"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Personnel are encouraged to adopt changes which make improvements in individual and organisational effectiveness</w:t>
            </w:r>
          </w:p>
        </w:tc>
      </w:tr>
      <w:tr w:rsidTr="00D570CE">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1.3</w:t>
            </w:r>
          </w:p>
        </w:tc>
        <w:tc>
          <w:tcPr>
            <w:tcW w:w="5594"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Opportunities and threats presented by change are identified and appropriate responses are planned</w:t>
            </w:r>
          </w:p>
        </w:tc>
      </w:tr>
      <w:tr w:rsidTr="00D570CE">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1.4</w:t>
            </w:r>
          </w:p>
        </w:tc>
        <w:tc>
          <w:tcPr>
            <w:tcW w:w="5594"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 xml:space="preserve">Personnel are involved in designing and implementing </w:t>
            </w:r>
            <w:r w:rsidRPr="00D570CE">
              <w:t>change within organisational and regulatory guidelines</w:t>
            </w:r>
          </w:p>
        </w:tc>
      </w:tr>
      <w:tr w:rsidTr="00D570CE">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2.</w:t>
            </w:r>
          </w:p>
        </w:tc>
        <w:tc>
          <w:tcPr>
            <w:tcW w:w="225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Initiate change where necessary</w:t>
            </w:r>
          </w:p>
        </w:tc>
        <w:tc>
          <w:tcPr>
            <w:tcW w:w="706"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2.1</w:t>
            </w:r>
          </w:p>
        </w:tc>
        <w:tc>
          <w:tcPr>
            <w:tcW w:w="5594"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The proposed initiatives for bringing about improvements are supported within the organisation</w:t>
            </w:r>
          </w:p>
        </w:tc>
      </w:tr>
      <w:tr w:rsidTr="00D570CE">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2.2</w:t>
            </w:r>
          </w:p>
        </w:tc>
        <w:tc>
          <w:tcPr>
            <w:tcW w:w="5594"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Change</w:t>
            </w:r>
            <w:r w:rsidRPr="00D570CE">
              <w:t xml:space="preserve"> for the better is initiated where necessary and is managed in a planned and constructive manner</w:t>
            </w:r>
          </w:p>
        </w:tc>
      </w:tr>
      <w:tr w:rsidTr="00D570CE">
        <w:tblPrEx>
          <w:tblW w:w="9370" w:type="dxa"/>
          <w:tblLayout w:type="fixed"/>
          <w:tblCellMar>
            <w:left w:w="62" w:type="dxa"/>
            <w:right w:w="62" w:type="dxa"/>
          </w:tblCellMar>
          <w:tblLook w:val="0000"/>
        </w:tblPrEx>
        <w:trPr>
          <w:gridAfter w:val="1"/>
          <w:wAfter w:w="190" w:type="dxa"/>
        </w:trPr>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2.3</w:t>
            </w:r>
          </w:p>
        </w:tc>
        <w:tc>
          <w:tcPr>
            <w:tcW w:w="5594" w:type="dxa"/>
            <w:tcBorders>
              <w:top w:val="nil"/>
              <w:left w:val="nil"/>
              <w:bottom w:val="nil"/>
              <w:right w:val="nil"/>
            </w:tcBorders>
            <w:tcMar>
              <w:top w:w="0" w:type="dxa"/>
              <w:left w:w="62" w:type="dxa"/>
              <w:bottom w:w="0" w:type="dxa"/>
              <w:right w:w="62" w:type="dxa"/>
            </w:tcMar>
          </w:tcPr>
          <w:p w:rsidR="00000000" w:rsidRPr="00D570CE" w:rsidP="00D570CE">
            <w:pPr>
              <w:pStyle w:val="BodyText"/>
            </w:pPr>
            <w:r w:rsidRPr="00D570CE">
              <w:t>Consultative processes are initiated</w:t>
            </w:r>
          </w:p>
        </w:tc>
      </w:tr>
    </w:tbl>
    <w:p w:rsidR="00000000" w:rsidRPr="00D570CE" w:rsidP="00D570CE">
      <w:pPr>
        <w:pStyle w:val="BodyText"/>
      </w:pPr>
    </w:p>
    <w:p w:rsidR="00000000" w:rsidRPr="00D570CE" w:rsidP="00D570CE">
      <w:pPr>
        <w:pStyle w:val="AllowPageBreak"/>
      </w:pPr>
    </w:p>
    <w:p w:rsidR="00000000" w:rsidRPr="00D570CE" w:rsidP="00D570CE">
      <w:pPr>
        <w:pStyle w:val="Heading1"/>
      </w:pPr>
      <w:bookmarkStart w:id="7" w:name="O_719140"/>
      <w:bookmarkEnd w:id="7"/>
      <w:r w:rsidRPr="00D570CE">
        <w:t>Foundation Skills</w:t>
      </w:r>
    </w:p>
    <w:p w:rsidR="00000000" w:rsidRPr="00D570CE" w:rsidP="00D570CE">
      <w:pPr>
        <w:pStyle w:val="BodyText"/>
      </w:pPr>
      <w:r w:rsidRPr="00D570CE">
        <w:t>Foundation skills essential to performance are explicit in the performance criteria of this unit of competency.</w:t>
      </w:r>
    </w:p>
    <w:p w:rsidR="00000000" w:rsidRPr="00D570CE" w:rsidP="00D570CE">
      <w:pPr>
        <w:pStyle w:val="AllowPageBreak"/>
      </w:pPr>
    </w:p>
    <w:p w:rsidR="00000000" w:rsidRPr="00D570CE" w:rsidP="00D570CE">
      <w:pPr>
        <w:pStyle w:val="Heading1"/>
      </w:pPr>
      <w:bookmarkStart w:id="8" w:name="O_719139"/>
      <w:bookmarkEnd w:id="8"/>
      <w:r w:rsidRPr="00D570CE">
        <w:t>Range of Conditions</w:t>
      </w:r>
    </w:p>
    <w:tbl>
      <w:tblPr>
        <w:tblW w:w="0" w:type="auto"/>
        <w:tblLayout w:type="fixed"/>
        <w:tblCellMar>
          <w:left w:w="62" w:type="dxa"/>
          <w:right w:w="62" w:type="dxa"/>
        </w:tblCellMar>
        <w:tblLook w:val="0000"/>
      </w:tblPr>
      <w:tblGrid>
        <w:gridCol w:w="2970"/>
        <w:gridCol w:w="6102"/>
      </w:tblGrid>
      <w:tr w:rsidTr="00D570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t>This field allows for different work environments and conditions that may affect performance. Essential ope</w:t>
            </w:r>
            <w:r w:rsidRPr="00D570CE">
              <w:t>rating conditions that may be present (depending on the work situation, needs of the candidate, accessibility of the item, and local industry and regional contexts) are included.</w:t>
            </w:r>
          </w:p>
        </w:tc>
      </w:tr>
      <w:tr w:rsidTr="00D570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rPr>
                <w:rStyle w:val="SpecialBold"/>
              </w:rPr>
              <w:t>Change results from:</w:t>
            </w:r>
          </w:p>
        </w:tc>
        <w:tc>
          <w:tcPr>
            <w:tcW w:w="6102" w:type="dxa"/>
            <w:tcBorders>
              <w:top w:val="nil"/>
              <w:left w:val="nil"/>
              <w:bottom w:val="nil"/>
              <w:right w:val="nil"/>
            </w:tcBorders>
            <w:tcMar>
              <w:top w:w="0" w:type="dxa"/>
              <w:left w:w="62" w:type="dxa"/>
              <w:bottom w:w="0" w:type="dxa"/>
              <w:right w:w="62" w:type="dxa"/>
            </w:tcMar>
          </w:tcPr>
          <w:p w:rsidR="00000000" w:rsidRPr="00D570CE" w:rsidP="00D570CE">
            <w:pPr>
              <w:pStyle w:val="ListBullet"/>
            </w:pPr>
            <w:r w:rsidRPr="00D570CE">
              <w:t>Technology</w:t>
            </w:r>
          </w:p>
          <w:p w:rsidR="00000000" w:rsidRPr="00D570CE" w:rsidP="00D570CE">
            <w:pPr>
              <w:pStyle w:val="ListBullet"/>
            </w:pPr>
            <w:r w:rsidRPr="00D570CE">
              <w:t>Procedures</w:t>
            </w:r>
          </w:p>
          <w:p w:rsidR="00000000" w:rsidRPr="00D570CE" w:rsidP="00D570CE">
            <w:pPr>
              <w:pStyle w:val="ListBullet"/>
            </w:pPr>
            <w:r w:rsidRPr="00D570CE">
              <w:t>Policy</w:t>
            </w:r>
          </w:p>
          <w:p w:rsidR="00000000" w:rsidRPr="00D570CE" w:rsidP="00D570CE">
            <w:pPr>
              <w:pStyle w:val="ListBullet"/>
            </w:pPr>
            <w:r w:rsidRPr="00D570CE">
              <w:t>Government legislation</w:t>
            </w:r>
          </w:p>
          <w:p w:rsidR="00000000" w:rsidRPr="00D570CE" w:rsidP="00D570CE">
            <w:pPr>
              <w:pStyle w:val="ListBullet"/>
            </w:pPr>
            <w:r w:rsidRPr="00D570CE">
              <w:t>Regulations</w:t>
            </w:r>
          </w:p>
          <w:p w:rsidR="00000000" w:rsidRPr="00D570CE" w:rsidP="00D570CE">
            <w:pPr>
              <w:pStyle w:val="ListBullet"/>
            </w:pPr>
            <w:r w:rsidRPr="00D570CE">
              <w:t>Personnel</w:t>
            </w:r>
          </w:p>
          <w:p w:rsidR="00000000" w:rsidRPr="00D570CE" w:rsidP="00D570CE">
            <w:pPr>
              <w:pStyle w:val="ListBullet"/>
            </w:pPr>
            <w:r w:rsidRPr="00D570CE">
              <w:t>Finance</w:t>
            </w:r>
          </w:p>
          <w:p w:rsidR="00000000" w:rsidP="00D570CE">
            <w:pPr>
              <w:pStyle w:val="ListBullet"/>
              <w:rPr>
                <w:lang w:val="en-NZ"/>
              </w:rPr>
            </w:pPr>
            <w:r w:rsidRPr="00D570CE">
              <w:t>Ongoing evaluation and feedback</w:t>
            </w:r>
          </w:p>
        </w:tc>
      </w:tr>
      <w:tr w:rsidTr="00D570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rPr>
                <w:rStyle w:val="SpecialBold"/>
              </w:rPr>
              <w:t>Opportunities include:</w:t>
            </w:r>
          </w:p>
        </w:tc>
        <w:tc>
          <w:tcPr>
            <w:tcW w:w="6102" w:type="dxa"/>
            <w:tcBorders>
              <w:top w:val="nil"/>
              <w:left w:val="nil"/>
              <w:bottom w:val="nil"/>
              <w:right w:val="nil"/>
            </w:tcBorders>
            <w:tcMar>
              <w:top w:w="0" w:type="dxa"/>
              <w:left w:w="62" w:type="dxa"/>
              <w:bottom w:w="0" w:type="dxa"/>
              <w:right w:w="62" w:type="dxa"/>
            </w:tcMar>
          </w:tcPr>
          <w:p w:rsidR="00000000" w:rsidRPr="00D570CE" w:rsidP="00D570CE">
            <w:pPr>
              <w:pStyle w:val="ListBullet"/>
            </w:pPr>
            <w:r w:rsidRPr="00D570CE">
              <w:t>Improved maintenance procedures that decrease maintenance times and/or man-hours</w:t>
            </w:r>
          </w:p>
          <w:p w:rsidR="00000000" w:rsidRPr="00D570CE" w:rsidP="00D570CE">
            <w:pPr>
              <w:pStyle w:val="ListBullet"/>
            </w:pPr>
            <w:r w:rsidRPr="00D570CE">
              <w:t>Improved procedures for the management of maintenance or logistic support activities</w:t>
            </w:r>
          </w:p>
          <w:p w:rsidR="00000000" w:rsidRPr="00D570CE" w:rsidP="00D570CE">
            <w:pPr>
              <w:pStyle w:val="ListBullet"/>
            </w:pPr>
            <w:r w:rsidRPr="00D570CE">
              <w:t>Imp</w:t>
            </w:r>
            <w:r w:rsidRPr="00D570CE">
              <w:t>rovements in physical working conditions</w:t>
            </w:r>
          </w:p>
          <w:p w:rsidR="00000000" w:rsidRPr="00D570CE" w:rsidP="00D570CE">
            <w:pPr>
              <w:pStyle w:val="ListBullet"/>
            </w:pPr>
            <w:r w:rsidRPr="00D570CE">
              <w:t>Adoption of more effective tooling or support equipment</w:t>
            </w:r>
          </w:p>
          <w:p w:rsidR="00000000" w:rsidP="00D570CE">
            <w:pPr>
              <w:pStyle w:val="ListBullet"/>
              <w:rPr>
                <w:lang w:val="en-NZ"/>
              </w:rPr>
            </w:pPr>
            <w:r w:rsidRPr="00D570CE">
              <w:t>Improvements to maintenance data</w:t>
            </w:r>
          </w:p>
        </w:tc>
      </w:tr>
      <w:tr w:rsidTr="00D570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rPr>
                <w:rStyle w:val="SpecialBold"/>
              </w:rPr>
              <w:t>Threats include:</w:t>
            </w:r>
          </w:p>
        </w:tc>
        <w:tc>
          <w:tcPr>
            <w:tcW w:w="6102" w:type="dxa"/>
            <w:tcBorders>
              <w:top w:val="nil"/>
              <w:left w:val="nil"/>
              <w:bottom w:val="nil"/>
              <w:right w:val="nil"/>
            </w:tcBorders>
            <w:tcMar>
              <w:top w:w="0" w:type="dxa"/>
              <w:left w:w="62" w:type="dxa"/>
              <w:bottom w:w="0" w:type="dxa"/>
              <w:right w:w="62" w:type="dxa"/>
            </w:tcMar>
          </w:tcPr>
          <w:p w:rsidR="00000000" w:rsidRPr="00D570CE" w:rsidP="00D570CE">
            <w:pPr>
              <w:pStyle w:val="ListBullet"/>
            </w:pPr>
            <w:r w:rsidRPr="00D570CE">
              <w:t>Adoption of changes that are in violation of regulatory requirements</w:t>
            </w:r>
          </w:p>
          <w:p w:rsidR="00000000" w:rsidRPr="00D570CE" w:rsidP="00D570CE">
            <w:pPr>
              <w:pStyle w:val="ListBullet"/>
            </w:pPr>
            <w:r w:rsidRPr="00D570CE">
              <w:t>Adoption of changes that are in violat</w:t>
            </w:r>
            <w:r w:rsidRPr="00D570CE">
              <w:t>ion of organisational policy or procedures</w:t>
            </w:r>
          </w:p>
          <w:p w:rsidR="00000000" w:rsidRPr="00D570CE" w:rsidP="00D570CE">
            <w:pPr>
              <w:pStyle w:val="ListBullet"/>
            </w:pPr>
            <w:r w:rsidRPr="00D570CE">
              <w:t>Failure to recognise additional training or authorisation requirements</w:t>
            </w:r>
          </w:p>
          <w:p w:rsidR="00000000" w:rsidRPr="00D570CE" w:rsidP="00D570CE">
            <w:pPr>
              <w:pStyle w:val="ListBullet"/>
            </w:pPr>
            <w:r w:rsidRPr="00D570CE">
              <w:t>Failure to fully comply with relevant work health and safety (WHS) legislation</w:t>
            </w:r>
          </w:p>
          <w:p w:rsidR="00000000" w:rsidRPr="00D570CE" w:rsidP="00D570CE">
            <w:pPr>
              <w:pStyle w:val="ListBullet"/>
            </w:pPr>
            <w:r w:rsidRPr="00D570CE">
              <w:t>Failure to get the full support of all stakeholders, including those in other parts of the overall maintenance and logistic support organisation</w:t>
            </w:r>
          </w:p>
          <w:p w:rsidR="00000000" w:rsidP="00D570CE">
            <w:pPr>
              <w:pStyle w:val="ListBullet"/>
              <w:rPr>
                <w:lang w:val="en-NZ"/>
              </w:rPr>
            </w:pPr>
            <w:r w:rsidRPr="00D570CE">
              <w:t>Failure to recognise a need for changes to industrial awards or agreements</w:t>
            </w:r>
          </w:p>
        </w:tc>
      </w:tr>
      <w:tr w:rsidTr="00D570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rPr>
                <w:rStyle w:val="SpecialBold"/>
              </w:rPr>
              <w:t>Organisational and regulatory guide</w:t>
            </w:r>
            <w:r w:rsidRPr="00D570CE">
              <w:rPr>
                <w:rStyle w:val="SpecialBold"/>
              </w:rPr>
              <w:t>lines include:</w:t>
            </w:r>
          </w:p>
        </w:tc>
        <w:tc>
          <w:tcPr>
            <w:tcW w:w="6102" w:type="dxa"/>
            <w:tcBorders>
              <w:top w:val="nil"/>
              <w:left w:val="nil"/>
              <w:bottom w:val="nil"/>
              <w:right w:val="nil"/>
            </w:tcBorders>
            <w:tcMar>
              <w:top w:w="0" w:type="dxa"/>
              <w:left w:w="62" w:type="dxa"/>
              <w:bottom w:w="0" w:type="dxa"/>
              <w:right w:w="62" w:type="dxa"/>
            </w:tcMar>
          </w:tcPr>
          <w:p w:rsidR="00000000" w:rsidRPr="00D570CE" w:rsidP="00D570CE">
            <w:pPr>
              <w:pStyle w:val="ListBullet"/>
            </w:pPr>
            <w:r w:rsidRPr="00D570CE">
              <w:t>Civil Aviation Regulations (CARs) and associated Advisory Circulars (ACs)</w:t>
            </w:r>
          </w:p>
          <w:p w:rsidR="00000000" w:rsidRPr="00D570CE" w:rsidP="00D570CE">
            <w:pPr>
              <w:pStyle w:val="ListBullet"/>
            </w:pPr>
            <w:r w:rsidRPr="00D570CE">
              <w:t>Civil Aviation Safety Regulations (CASRs), Manuals of Standards and associated Acceptable Means of Compliance and Guidance Material</w:t>
            </w:r>
          </w:p>
          <w:p w:rsidR="00000000" w:rsidRPr="00D570CE" w:rsidP="00D570CE">
            <w:pPr>
              <w:pStyle w:val="ListBullet"/>
            </w:pPr>
            <w:r w:rsidRPr="00D570CE">
              <w:t>AAP 7001.053 Technical Airworthine</w:t>
            </w:r>
            <w:r w:rsidRPr="00D570CE">
              <w:t>ss Management Manual</w:t>
            </w:r>
          </w:p>
          <w:p w:rsidR="00000000" w:rsidRPr="00D570CE" w:rsidP="00D570CE">
            <w:pPr>
              <w:pStyle w:val="ListBullet"/>
            </w:pPr>
            <w:r w:rsidRPr="00D570CE">
              <w:t>Defence regulations and instructions</w:t>
            </w:r>
          </w:p>
          <w:p w:rsidR="00000000" w:rsidRPr="00D570CE" w:rsidP="00D570CE">
            <w:pPr>
              <w:pStyle w:val="ListBullet"/>
            </w:pPr>
            <w:r w:rsidRPr="00D570CE">
              <w:t>Maintenance organisation expositions</w:t>
            </w:r>
          </w:p>
          <w:p w:rsidR="00000000" w:rsidRPr="00D570CE" w:rsidP="00D570CE">
            <w:pPr>
              <w:pStyle w:val="ListBullet"/>
            </w:pPr>
            <w:r w:rsidRPr="00D570CE">
              <w:t>Continuing airworthiness management organisation expositions</w:t>
            </w:r>
          </w:p>
          <w:p w:rsidR="00000000" w:rsidRPr="00D570CE" w:rsidP="00D570CE">
            <w:pPr>
              <w:pStyle w:val="ListBullet"/>
            </w:pPr>
            <w:r w:rsidRPr="00D570CE">
              <w:t>Quality manuals</w:t>
            </w:r>
          </w:p>
          <w:p w:rsidR="00000000" w:rsidRPr="00D570CE" w:rsidP="00D570CE">
            <w:pPr>
              <w:pStyle w:val="ListBullet"/>
            </w:pPr>
            <w:r w:rsidRPr="00D570CE">
              <w:t>Procedures manuals</w:t>
            </w:r>
          </w:p>
          <w:p w:rsidR="00000000" w:rsidRPr="00D570CE" w:rsidP="00D570CE">
            <w:pPr>
              <w:pStyle w:val="ListBullet"/>
            </w:pPr>
            <w:r w:rsidRPr="00D570CE">
              <w:t>Standing instructions</w:t>
            </w:r>
          </w:p>
          <w:p w:rsidR="00000000" w:rsidRPr="00D570CE" w:rsidP="00D570CE">
            <w:pPr>
              <w:pStyle w:val="ListBullet"/>
            </w:pPr>
            <w:r w:rsidRPr="00D570CE">
              <w:t>Work instructions</w:t>
            </w:r>
          </w:p>
          <w:p w:rsidR="00000000" w:rsidP="00D570CE">
            <w:pPr>
              <w:pStyle w:val="ListBullet"/>
              <w:rPr>
                <w:lang w:val="en-NZ"/>
              </w:rPr>
            </w:pPr>
            <w:r w:rsidRPr="00D570CE">
              <w:t>WHS legislation (state/territory and Commonwealth)</w:t>
            </w:r>
          </w:p>
        </w:tc>
      </w:tr>
      <w:tr w:rsidTr="00D570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rPr>
                <w:rStyle w:val="SpecialBold"/>
              </w:rPr>
              <w:t>Initiatives for bringing about improvements arise from:</w:t>
            </w:r>
          </w:p>
        </w:tc>
        <w:tc>
          <w:tcPr>
            <w:tcW w:w="6102" w:type="dxa"/>
            <w:tcBorders>
              <w:top w:val="nil"/>
              <w:left w:val="nil"/>
              <w:bottom w:val="nil"/>
              <w:right w:val="nil"/>
            </w:tcBorders>
            <w:tcMar>
              <w:top w:w="0" w:type="dxa"/>
              <w:left w:w="62" w:type="dxa"/>
              <w:bottom w:w="0" w:type="dxa"/>
              <w:right w:w="62" w:type="dxa"/>
            </w:tcMar>
          </w:tcPr>
          <w:p w:rsidR="00000000" w:rsidRPr="00D570CE" w:rsidP="00D570CE">
            <w:pPr>
              <w:pStyle w:val="ListBullet"/>
            </w:pPr>
            <w:r w:rsidRPr="00D570CE">
              <w:t>Changes to organisational policy and procedures</w:t>
            </w:r>
          </w:p>
          <w:p w:rsidR="00000000" w:rsidRPr="00D570CE" w:rsidP="00D570CE">
            <w:pPr>
              <w:pStyle w:val="ListBullet"/>
            </w:pPr>
            <w:r w:rsidRPr="00D570CE">
              <w:t>Reform of regulations</w:t>
            </w:r>
          </w:p>
          <w:p w:rsidR="00000000" w:rsidRPr="00D570CE" w:rsidP="00D570CE">
            <w:pPr>
              <w:pStyle w:val="ListBullet"/>
            </w:pPr>
            <w:r w:rsidRPr="00D570CE">
              <w:t>Changes to training and authorisation requirements</w:t>
            </w:r>
          </w:p>
          <w:p w:rsidR="00000000" w:rsidRPr="00D570CE" w:rsidP="00D570CE">
            <w:pPr>
              <w:pStyle w:val="ListBullet"/>
            </w:pPr>
            <w:r w:rsidRPr="00D570CE">
              <w:t>Management review processe</w:t>
            </w:r>
            <w:r w:rsidRPr="00D570CE">
              <w:t>s</w:t>
            </w:r>
          </w:p>
          <w:p w:rsidR="00000000" w:rsidRPr="00D570CE" w:rsidP="00D570CE">
            <w:pPr>
              <w:pStyle w:val="ListBullet"/>
            </w:pPr>
            <w:r w:rsidRPr="00D570CE">
              <w:t>Suggestions from individual stakeholders</w:t>
            </w:r>
          </w:p>
          <w:p w:rsidR="00000000" w:rsidRPr="00D570CE" w:rsidP="00D570CE">
            <w:pPr>
              <w:pStyle w:val="ListBullet"/>
            </w:pPr>
            <w:r w:rsidRPr="00D570CE">
              <w:t>Availability of new tools or support equipment</w:t>
            </w:r>
          </w:p>
          <w:p w:rsidR="00000000" w:rsidRPr="00D570CE" w:rsidP="00D570CE">
            <w:pPr>
              <w:pStyle w:val="ListBullet"/>
            </w:pPr>
            <w:r w:rsidRPr="00D570CE">
              <w:t>Availability of new management technology</w:t>
            </w:r>
          </w:p>
          <w:p w:rsidR="00000000" w:rsidRPr="00D570CE" w:rsidP="00D570CE">
            <w:pPr>
              <w:pStyle w:val="ListBullet"/>
            </w:pPr>
            <w:r w:rsidRPr="00D570CE">
              <w:t>Industry or original equipment manufacturer periodicals and newsletters</w:t>
            </w:r>
          </w:p>
          <w:p w:rsidR="00000000" w:rsidP="00D570CE">
            <w:pPr>
              <w:pStyle w:val="ListBullet"/>
              <w:rPr>
                <w:lang w:val="en-NZ"/>
              </w:rPr>
            </w:pPr>
            <w:r w:rsidRPr="00D570CE">
              <w:t>Feedback from other operators of the aircraft type o</w:t>
            </w:r>
            <w:r w:rsidRPr="00D570CE">
              <w:t>r item of aeronautical product</w:t>
            </w:r>
          </w:p>
        </w:tc>
      </w:tr>
      <w:tr w:rsidTr="00D570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570CE">
            <w:pPr>
              <w:pStyle w:val="BodyText"/>
              <w:rPr>
                <w:lang w:val="en-NZ"/>
              </w:rPr>
            </w:pPr>
            <w:r w:rsidRPr="00D570CE">
              <w:rPr>
                <w:rStyle w:val="SpecialBold"/>
              </w:rPr>
              <w:t>Consultative processes include:</w:t>
            </w:r>
          </w:p>
        </w:tc>
        <w:tc>
          <w:tcPr>
            <w:tcW w:w="6102" w:type="dxa"/>
            <w:tcBorders>
              <w:top w:val="nil"/>
              <w:left w:val="nil"/>
              <w:bottom w:val="nil"/>
              <w:right w:val="nil"/>
            </w:tcBorders>
            <w:tcMar>
              <w:top w:w="0" w:type="dxa"/>
              <w:left w:w="62" w:type="dxa"/>
              <w:bottom w:w="0" w:type="dxa"/>
              <w:right w:w="62" w:type="dxa"/>
            </w:tcMar>
          </w:tcPr>
          <w:p w:rsidR="00000000" w:rsidRPr="00D570CE" w:rsidP="00D570CE">
            <w:pPr>
              <w:pStyle w:val="ListBullet"/>
            </w:pPr>
            <w:r w:rsidRPr="00D570CE">
              <w:t>Consultation with regulators where the change has a regulatory component</w:t>
            </w:r>
          </w:p>
          <w:p w:rsidR="00000000" w:rsidRPr="00D570CE" w:rsidP="00D570CE">
            <w:pPr>
              <w:pStyle w:val="ListBullet"/>
            </w:pPr>
            <w:r w:rsidRPr="00D570CE">
              <w:t>Consultation with higher management where organisational policy and procedures are involved</w:t>
            </w:r>
          </w:p>
          <w:p w:rsidR="00000000" w:rsidRPr="00D570CE" w:rsidP="00D570CE">
            <w:pPr>
              <w:pStyle w:val="ListBullet"/>
            </w:pPr>
            <w:r w:rsidRPr="00D570CE">
              <w:t>Consultation with stakeholders elsewhere in the logistic support network</w:t>
            </w:r>
          </w:p>
          <w:p w:rsidR="00000000" w:rsidRPr="00D570CE" w:rsidP="00D570CE">
            <w:pPr>
              <w:pStyle w:val="ListBullet"/>
            </w:pPr>
            <w:r w:rsidRPr="00D570CE">
              <w:t>Consultation at all levels in the relevant area of the aviation maintenance environment</w:t>
            </w:r>
          </w:p>
          <w:p w:rsidR="00000000" w:rsidRPr="00D570CE" w:rsidP="00D570CE">
            <w:pPr>
              <w:pStyle w:val="ListBullet"/>
            </w:pPr>
            <w:r w:rsidRPr="00D570CE">
              <w:t>Consultation with stakeholders in the industrial relations system</w:t>
            </w:r>
          </w:p>
          <w:p w:rsidR="00000000" w:rsidRPr="00D570CE" w:rsidP="00D570CE">
            <w:pPr>
              <w:pStyle w:val="ListBullet"/>
            </w:pPr>
            <w:r w:rsidRPr="00D570CE">
              <w:t>Consultation with suppliers o</w:t>
            </w:r>
            <w:r w:rsidRPr="00D570CE">
              <w:t>f management systems, tooling or support equipment</w:t>
            </w:r>
          </w:p>
        </w:tc>
      </w:tr>
    </w:tbl>
    <w:p w:rsidR="00000000" w:rsidRPr="00D570CE" w:rsidP="00D570CE">
      <w:pPr>
        <w:pStyle w:val="BodyText"/>
      </w:pPr>
    </w:p>
    <w:p w:rsidR="00000000" w:rsidRPr="00D570CE" w:rsidP="00D570CE">
      <w:pPr>
        <w:pStyle w:val="AllowPageBreak"/>
      </w:pPr>
    </w:p>
    <w:p w:rsidR="00000000" w:rsidRPr="00D570CE" w:rsidP="00D570CE">
      <w:pPr>
        <w:pStyle w:val="Heading1"/>
      </w:pPr>
      <w:bookmarkStart w:id="9" w:name="O_719138"/>
      <w:bookmarkEnd w:id="9"/>
      <w:r w:rsidRPr="00D570CE">
        <w:t>Unit Mapping Information</w:t>
      </w:r>
    </w:p>
    <w:p w:rsidR="00000000" w:rsidRPr="00D570CE" w:rsidP="00D570CE">
      <w:pPr>
        <w:pStyle w:val="BodyText"/>
      </w:pPr>
      <w:r w:rsidRPr="00D570CE">
        <w:t>Release 1 – equivalent to MEA124B Coordinate change programs in the aviation maintenance environment</w:t>
      </w:r>
    </w:p>
    <w:p w:rsidR="00000000" w:rsidRPr="00D570CE" w:rsidP="00D570CE">
      <w:pPr>
        <w:pStyle w:val="AllowPageBreak"/>
      </w:pPr>
    </w:p>
    <w:p w:rsidR="00000000" w:rsidRPr="00D570CE" w:rsidP="00D570CE">
      <w:pPr>
        <w:pStyle w:val="Heading1"/>
      </w:pPr>
      <w:bookmarkStart w:id="10" w:name="O_719131"/>
      <w:bookmarkEnd w:id="10"/>
      <w:r w:rsidRPr="00D570CE">
        <w:t>Links</w:t>
      </w:r>
    </w:p>
    <w:p w:rsidR="00000000" w:rsidRPr="00D570CE" w:rsidP="00D570CE">
      <w:pPr>
        <w:pStyle w:val="BodyText"/>
      </w:pPr>
      <w:r w:rsidRPr="00D570CE">
        <w:t>Companion Volume implementation guide</w:t>
      </w:r>
      <w:r w:rsidRPr="00D570CE">
        <w:t>s are found in VETNet - https://vetnet.education.gov.au/Pages/TrainingDocs.aspx?q=ce216c9c-04d5-4b3b-9bcf-4e81d0950371</w:t>
      </w:r>
    </w:p>
    <w:p w:rsidR="00000000" w:rsidRPr="00D570CE" w:rsidP="00D570CE"/>
    <w:sectPr w:rsidSect="00D570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CE" w:rsidRPr="005A2DBF" w:rsidP="005A2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BF" w:rsidP="00D57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A2DBF" w:rsidP="00D570C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2DBF" w:rsidP="00D570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0CE" w:rsidRPr="005A2DBF" w:rsidP="005A2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BF" w:rsidRPr="002D2AF8" w:rsidP="00D570CE">
    <w:pPr>
      <w:pStyle w:val="Header"/>
      <w:framePr w:wrap="around"/>
    </w:pPr>
    <w:r>
      <w:fldChar w:fldCharType="begin"/>
    </w:r>
    <w:r>
      <w:instrText xml:space="preserve"> TITLE   \* MERGEFORMAT </w:instrText>
    </w:r>
    <w:r>
      <w:fldChar w:fldCharType="separate"/>
    </w:r>
    <w:r>
      <w:t>MEA124 Coordinate change programs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5A2DBF" w:rsidP="00D57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7EE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4F2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0CE"/>
    <w:pPr>
      <w:spacing w:before="360" w:after="60"/>
      <w:outlineLvl w:val="0"/>
    </w:pPr>
    <w:rPr>
      <w:sz w:val="32"/>
    </w:rPr>
  </w:style>
  <w:style w:type="paragraph" w:styleId="Heading2">
    <w:name w:val="heading 2"/>
    <w:basedOn w:val="HeadingBase"/>
    <w:next w:val="BodyText"/>
    <w:link w:val="Heading2Char"/>
    <w:qFormat/>
    <w:rsid w:val="00D570CE"/>
    <w:pPr>
      <w:keepLines/>
      <w:spacing w:before="240" w:after="120"/>
      <w:outlineLvl w:val="1"/>
    </w:pPr>
    <w:rPr>
      <w:sz w:val="28"/>
      <w:szCs w:val="40"/>
    </w:rPr>
  </w:style>
  <w:style w:type="paragraph" w:styleId="Heading3">
    <w:name w:val="heading 3"/>
    <w:basedOn w:val="HeadingBase"/>
    <w:next w:val="BodyText"/>
    <w:link w:val="Heading3Char"/>
    <w:qFormat/>
    <w:rsid w:val="00D570CE"/>
    <w:pPr>
      <w:spacing w:before="180" w:after="120"/>
      <w:outlineLvl w:val="2"/>
    </w:pPr>
    <w:rPr>
      <w:spacing w:val="-10"/>
      <w:kern w:val="32"/>
    </w:rPr>
  </w:style>
  <w:style w:type="paragraph" w:styleId="Heading4">
    <w:name w:val="heading 4"/>
    <w:basedOn w:val="HeadingBase"/>
    <w:next w:val="BodyText"/>
    <w:link w:val="Heading4Char"/>
    <w:qFormat/>
    <w:rsid w:val="00D570CE"/>
    <w:pPr>
      <w:spacing w:before="160" w:after="120"/>
      <w:outlineLvl w:val="3"/>
    </w:pPr>
    <w:rPr>
      <w:sz w:val="22"/>
    </w:rPr>
  </w:style>
  <w:style w:type="paragraph" w:styleId="Heading5">
    <w:name w:val="heading 5"/>
    <w:basedOn w:val="HeadingBase"/>
    <w:next w:val="Normal"/>
    <w:link w:val="Heading5Char"/>
    <w:qFormat/>
    <w:rsid w:val="00D570CE"/>
    <w:pPr>
      <w:spacing w:before="80"/>
      <w:outlineLvl w:val="4"/>
    </w:pPr>
    <w:rPr>
      <w:color w:val="918585"/>
      <w:sz w:val="20"/>
    </w:rPr>
  </w:style>
  <w:style w:type="paragraph" w:styleId="Heading6">
    <w:name w:val="heading 6"/>
    <w:basedOn w:val="HeadingBase"/>
    <w:next w:val="Normal"/>
    <w:link w:val="Heading6Char"/>
    <w:qFormat/>
    <w:rsid w:val="00D570CE"/>
    <w:pPr>
      <w:spacing w:before="60"/>
      <w:outlineLvl w:val="5"/>
    </w:pPr>
    <w:rPr>
      <w:color w:val="918585"/>
      <w:sz w:val="20"/>
    </w:rPr>
  </w:style>
  <w:style w:type="paragraph" w:styleId="Heading7">
    <w:name w:val="heading 7"/>
    <w:basedOn w:val="Normal"/>
    <w:next w:val="Normal"/>
    <w:link w:val="Heading7Char"/>
    <w:qFormat/>
    <w:rsid w:val="00D570CE"/>
    <w:pPr>
      <w:ind w:left="720"/>
      <w:outlineLvl w:val="6"/>
    </w:pPr>
    <w:rPr>
      <w:i/>
    </w:rPr>
  </w:style>
  <w:style w:type="paragraph" w:styleId="Heading8">
    <w:name w:val="heading 8"/>
    <w:basedOn w:val="Normal"/>
    <w:next w:val="Normal"/>
    <w:link w:val="Heading8Char"/>
    <w:qFormat/>
    <w:rsid w:val="00D570CE"/>
    <w:pPr>
      <w:ind w:left="720"/>
      <w:outlineLvl w:val="7"/>
    </w:pPr>
    <w:rPr>
      <w:i/>
    </w:rPr>
  </w:style>
  <w:style w:type="paragraph" w:styleId="Heading9">
    <w:name w:val="heading 9"/>
    <w:basedOn w:val="Normal"/>
    <w:next w:val="Normal"/>
    <w:link w:val="Heading9Char"/>
    <w:qFormat/>
    <w:rsid w:val="00D570CE"/>
    <w:pPr>
      <w:ind w:left="720"/>
      <w:outlineLvl w:val="8"/>
    </w:pPr>
    <w:rPr>
      <w:i/>
    </w:rPr>
  </w:style>
  <w:style w:type="character" w:default="1" w:styleId="DefaultParagraphFont">
    <w:name w:val="Default Paragraph Font"/>
    <w:uiPriority w:val="1"/>
    <w:unhideWhenUsed/>
    <w:rsid w:val="00D57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0CE"/>
  </w:style>
  <w:style w:type="character" w:customStyle="1" w:styleId="Heading1Char">
    <w:name w:val="Heading 1 Char"/>
    <w:basedOn w:val="DefaultParagraphFont"/>
    <w:link w:val="Heading1"/>
    <w:rsid w:val="00D570CE"/>
    <w:rPr>
      <w:rFonts w:ascii="Times New Roman" w:eastAsia="Times New Roman" w:hAnsi="Times New Roman" w:cs="Times New Roman"/>
      <w:b/>
      <w:sz w:val="32"/>
      <w:szCs w:val="20"/>
      <w:lang w:eastAsia="en-US"/>
    </w:rPr>
  </w:style>
  <w:style w:type="paragraph" w:styleId="BodyText">
    <w:name w:val="Body Text"/>
    <w:basedOn w:val="Normal"/>
    <w:link w:val="BodyTextChar"/>
    <w:rsid w:val="00D570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0CE"/>
    <w:rPr>
      <w:rFonts w:ascii="Times New Roman" w:eastAsia="Times New Roman" w:hAnsi="Times New Roman" w:cs="Times New Roman"/>
      <w:sz w:val="24"/>
      <w:lang w:eastAsia="en-US"/>
    </w:rPr>
  </w:style>
  <w:style w:type="paragraph" w:styleId="ListBullet">
    <w:name w:val="List Bullet"/>
    <w:basedOn w:val="List"/>
    <w:rsid w:val="00D570CE"/>
    <w:pPr>
      <w:numPr>
        <w:numId w:val="12"/>
      </w:numPr>
      <w:tabs>
        <w:tab w:val="clear" w:pos="340"/>
      </w:tabs>
      <w:spacing w:before="40" w:after="40"/>
    </w:pPr>
  </w:style>
  <w:style w:type="character" w:customStyle="1" w:styleId="SpecialBold">
    <w:name w:val="Special Bold"/>
    <w:basedOn w:val="DefaultParagraphFont"/>
    <w:rsid w:val="00D570CE"/>
    <w:rPr>
      <w:b/>
      <w:spacing w:val="0"/>
    </w:rPr>
  </w:style>
  <w:style w:type="paragraph" w:customStyle="1" w:styleId="SuperHeading">
    <w:name w:val="SuperHeading"/>
    <w:basedOn w:val="Normal"/>
    <w:rsid w:val="00D570CE"/>
    <w:pPr>
      <w:spacing w:before="240" w:after="120"/>
      <w:outlineLvl w:val="0"/>
    </w:pPr>
    <w:rPr>
      <w:rFonts w:ascii="Times New Roman" w:hAnsi="Times New Roman"/>
      <w:b/>
      <w:sz w:val="32"/>
    </w:rPr>
  </w:style>
  <w:style w:type="paragraph" w:customStyle="1" w:styleId="AllowPageBreak">
    <w:name w:val="AllowPageBreak"/>
    <w:rsid w:val="00D570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0CE"/>
    <w:rPr>
      <w:rFonts w:ascii="Courier New" w:eastAsia="Times New Roman" w:hAnsi="Courier New" w:cs="Times New Roman"/>
      <w:i/>
      <w:szCs w:val="20"/>
      <w:lang w:eastAsia="en-US"/>
    </w:rPr>
  </w:style>
  <w:style w:type="paragraph" w:customStyle="1" w:styleId="HeadingBase">
    <w:name w:val="Heading Base"/>
    <w:rsid w:val="00D57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0CE"/>
    <w:pPr>
      <w:tabs>
        <w:tab w:val="right" w:leader="dot" w:pos="9072"/>
      </w:tabs>
      <w:ind w:left="567"/>
    </w:pPr>
    <w:rPr>
      <w:szCs w:val="22"/>
    </w:rPr>
  </w:style>
  <w:style w:type="paragraph" w:customStyle="1" w:styleId="TOCBase">
    <w:name w:val="TOC Base"/>
    <w:rsid w:val="00D57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0CE"/>
    <w:pPr>
      <w:tabs>
        <w:tab w:val="right" w:leader="dot" w:pos="9072"/>
      </w:tabs>
      <w:spacing w:before="40" w:after="40"/>
      <w:ind w:left="284"/>
    </w:pPr>
    <w:rPr>
      <w:rFonts w:ascii="Times New Roman" w:hAnsi="Times New Roman"/>
    </w:rPr>
  </w:style>
  <w:style w:type="paragraph" w:styleId="TOC1">
    <w:name w:val="toc 1"/>
    <w:basedOn w:val="TOCBase"/>
    <w:next w:val="Normal"/>
    <w:rsid w:val="00D57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0CE"/>
    <w:rPr>
      <w:rFonts w:ascii="Times New Roman" w:eastAsia="Times New Roman" w:hAnsi="Times New Roman" w:cs="Times New Roman"/>
      <w:sz w:val="16"/>
      <w:lang w:eastAsia="en-US"/>
    </w:rPr>
  </w:style>
  <w:style w:type="paragraph" w:styleId="Title">
    <w:name w:val="Title"/>
    <w:basedOn w:val="HeadingBase"/>
    <w:link w:val="TitleChar"/>
    <w:qFormat/>
    <w:rsid w:val="00D570CE"/>
    <w:pPr>
      <w:spacing w:before="5040"/>
      <w:jc w:val="center"/>
    </w:pPr>
    <w:rPr>
      <w:sz w:val="48"/>
      <w:szCs w:val="72"/>
      <w:lang w:val="en-US"/>
    </w:rPr>
  </w:style>
  <w:style w:type="character" w:customStyle="1" w:styleId="TitleChar">
    <w:name w:val="Title Char"/>
    <w:basedOn w:val="DefaultParagraphFont"/>
    <w:link w:val="Title"/>
    <w:rsid w:val="00D57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0CE"/>
    <w:pPr>
      <w:tabs>
        <w:tab w:val="left" w:pos="3600"/>
        <w:tab w:val="left" w:pos="3958"/>
      </w:tabs>
    </w:pPr>
  </w:style>
  <w:style w:type="paragraph" w:styleId="List">
    <w:name w:val="List"/>
    <w:basedOn w:val="BodyText"/>
    <w:next w:val="BodyText"/>
    <w:rsid w:val="00D570CE"/>
    <w:pPr>
      <w:tabs>
        <w:tab w:val="left" w:pos="340"/>
      </w:tabs>
      <w:spacing w:before="60" w:after="60"/>
      <w:ind w:left="340" w:hanging="340"/>
    </w:pPr>
  </w:style>
  <w:style w:type="paragraph" w:customStyle="1" w:styleId="Note">
    <w:name w:val="Note"/>
    <w:basedOn w:val="BodyText"/>
    <w:rsid w:val="00D57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0CE"/>
    <w:pPr>
      <w:framePr w:wrap="auto" w:hAnchor="text" w:y="6049"/>
    </w:pPr>
    <w:rPr>
      <w:color w:val="000000"/>
      <w:sz w:val="40"/>
    </w:rPr>
  </w:style>
  <w:style w:type="paragraph" w:customStyle="1" w:styleId="TOCTitle">
    <w:name w:val="TOCTitle"/>
    <w:basedOn w:val="Heading1"/>
    <w:rsid w:val="00D570CE"/>
    <w:pPr>
      <w:spacing w:after="240"/>
      <w:jc w:val="center"/>
      <w:outlineLvl w:val="9"/>
    </w:pPr>
    <w:rPr>
      <w:caps/>
    </w:rPr>
  </w:style>
  <w:style w:type="paragraph" w:customStyle="1" w:styleId="Version">
    <w:name w:val="Version"/>
    <w:rsid w:val="00D570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70CE"/>
    <w:pPr>
      <w:numPr>
        <w:numId w:val="13"/>
      </w:numPr>
      <w:tabs>
        <w:tab w:val="clear" w:pos="680"/>
      </w:tabs>
    </w:pPr>
  </w:style>
  <w:style w:type="paragraph" w:styleId="Index1">
    <w:name w:val="index 1"/>
    <w:basedOn w:val="Normal"/>
    <w:next w:val="Normal"/>
    <w:semiHidden/>
    <w:rsid w:val="00D570CE"/>
    <w:pPr>
      <w:keepNext w:val="0"/>
      <w:tabs>
        <w:tab w:val="right" w:pos="4176"/>
      </w:tabs>
      <w:ind w:left="198" w:hanging="198"/>
    </w:pPr>
    <w:rPr>
      <w:rFonts w:ascii="Garamond" w:hAnsi="Garamond"/>
    </w:rPr>
  </w:style>
  <w:style w:type="paragraph" w:styleId="IndexHeading">
    <w:name w:val="index heading"/>
    <w:basedOn w:val="Normal"/>
    <w:next w:val="Index1"/>
    <w:semiHidden/>
    <w:rsid w:val="00D570CE"/>
    <w:pPr>
      <w:spacing w:before="120" w:after="120"/>
    </w:pPr>
    <w:rPr>
      <w:rFonts w:ascii="Arial" w:hAnsi="Arial"/>
      <w:b/>
      <w:color w:val="918585"/>
      <w:sz w:val="24"/>
    </w:rPr>
  </w:style>
  <w:style w:type="paragraph" w:styleId="Header">
    <w:name w:val="header"/>
    <w:basedOn w:val="Normal"/>
    <w:link w:val="HeaderChar"/>
    <w:rsid w:val="00D57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0CE"/>
    <w:rPr>
      <w:rFonts w:ascii="Times New Roman" w:eastAsia="Times New Roman" w:hAnsi="Times New Roman" w:cs="Times New Roman"/>
      <w:sz w:val="16"/>
      <w:szCs w:val="20"/>
      <w:lang w:val="en-GB" w:eastAsia="en-US"/>
    </w:rPr>
  </w:style>
  <w:style w:type="paragraph" w:customStyle="1" w:styleId="Chapter">
    <w:name w:val="Chapter"/>
    <w:basedOn w:val="Normal"/>
    <w:rsid w:val="00D570CE"/>
    <w:pPr>
      <w:spacing w:before="240"/>
    </w:pPr>
    <w:rPr>
      <w:rFonts w:ascii="Times New Roman" w:hAnsi="Times New Roman"/>
      <w:smallCaps/>
      <w:spacing w:val="80"/>
      <w:sz w:val="28"/>
    </w:rPr>
  </w:style>
  <w:style w:type="paragraph" w:customStyle="1" w:styleId="InChapter">
    <w:name w:val="InChapter"/>
    <w:basedOn w:val="Heading3"/>
    <w:rsid w:val="00D570CE"/>
    <w:pPr>
      <w:spacing w:after="240"/>
      <w:outlineLvl w:val="9"/>
    </w:pPr>
    <w:rPr>
      <w:noProof/>
    </w:rPr>
  </w:style>
  <w:style w:type="paragraph" w:styleId="Index2">
    <w:name w:val="index 2"/>
    <w:basedOn w:val="Normal"/>
    <w:next w:val="Normal"/>
    <w:semiHidden/>
    <w:rsid w:val="00D570CE"/>
    <w:pPr>
      <w:tabs>
        <w:tab w:val="right" w:pos="4176"/>
      </w:tabs>
      <w:ind w:left="568" w:hanging="284"/>
    </w:pPr>
    <w:rPr>
      <w:rFonts w:ascii="Garamond" w:hAnsi="Garamond"/>
    </w:rPr>
  </w:style>
  <w:style w:type="paragraph" w:customStyle="1" w:styleId="Byline">
    <w:name w:val="Byline"/>
    <w:rsid w:val="00D57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0CE"/>
    <w:pPr>
      <w:tabs>
        <w:tab w:val="clear" w:pos="3600"/>
        <w:tab w:val="clear" w:pos="3958"/>
      </w:tabs>
      <w:jc w:val="right"/>
    </w:pPr>
  </w:style>
  <w:style w:type="character" w:styleId="Emphasis">
    <w:name w:val="Emphasis"/>
    <w:basedOn w:val="DefaultParagraphFont"/>
    <w:qFormat/>
    <w:rsid w:val="00D570CE"/>
    <w:rPr>
      <w:i/>
    </w:rPr>
  </w:style>
  <w:style w:type="paragraph" w:styleId="Caption">
    <w:name w:val="caption"/>
    <w:basedOn w:val="BodyText"/>
    <w:next w:val="Normal"/>
    <w:qFormat/>
    <w:rsid w:val="00D570CE"/>
    <w:pPr>
      <w:framePr w:w="2268" w:hSpace="181" w:vSpace="181" w:wrap="around" w:vAnchor="text" w:hAnchor="page" w:x="1135" w:y="285" w:anchorLock="1"/>
    </w:pPr>
    <w:rPr>
      <w:i/>
    </w:rPr>
  </w:style>
  <w:style w:type="paragraph" w:customStyle="1" w:styleId="MiniTOCTitle">
    <w:name w:val="MiniTOCTitle"/>
    <w:basedOn w:val="Heading4"/>
    <w:rsid w:val="00D570CE"/>
    <w:pPr>
      <w:spacing w:before="240"/>
      <w:outlineLvl w:val="9"/>
    </w:pPr>
    <w:rPr>
      <w:noProof/>
      <w:sz w:val="24"/>
    </w:rPr>
  </w:style>
  <w:style w:type="paragraph" w:customStyle="1" w:styleId="MiniTOCItem">
    <w:name w:val="MiniTOCItem"/>
    <w:basedOn w:val="ListBullet"/>
    <w:rsid w:val="00D570CE"/>
    <w:pPr>
      <w:numPr>
        <w:numId w:val="0"/>
      </w:numPr>
      <w:tabs>
        <w:tab w:val="right" w:leader="dot" w:pos="6521"/>
      </w:tabs>
      <w:spacing w:before="0" w:after="0"/>
    </w:pPr>
  </w:style>
  <w:style w:type="paragraph" w:customStyle="1" w:styleId="TOFTitle">
    <w:name w:val="TOFTitle"/>
    <w:basedOn w:val="TOCTitle"/>
    <w:rsid w:val="00D570CE"/>
  </w:style>
  <w:style w:type="paragraph" w:styleId="TableofFigures">
    <w:name w:val="table of figures"/>
    <w:basedOn w:val="Normal"/>
    <w:next w:val="Normal"/>
    <w:semiHidden/>
    <w:rsid w:val="00D570CE"/>
    <w:pPr>
      <w:tabs>
        <w:tab w:val="right" w:leader="dot" w:pos="9072"/>
      </w:tabs>
      <w:ind w:left="970" w:hanging="403"/>
    </w:pPr>
    <w:rPr>
      <w:rFonts w:ascii="Times New Roman" w:hAnsi="Times New Roman"/>
      <w:b/>
    </w:rPr>
  </w:style>
  <w:style w:type="paragraph" w:styleId="ListNumber">
    <w:name w:val="List Number"/>
    <w:basedOn w:val="List"/>
    <w:rsid w:val="00D570CE"/>
    <w:pPr>
      <w:numPr>
        <w:numId w:val="10"/>
      </w:numPr>
    </w:pPr>
  </w:style>
  <w:style w:type="character" w:customStyle="1" w:styleId="WingdingSymbols">
    <w:name w:val="Wingding Symbols"/>
    <w:rsid w:val="00D570CE"/>
    <w:rPr>
      <w:rFonts w:ascii="Wingdings" w:hAnsi="Wingdings"/>
    </w:rPr>
  </w:style>
  <w:style w:type="paragraph" w:customStyle="1" w:styleId="TableHeading">
    <w:name w:val="Table Heading"/>
    <w:basedOn w:val="HeadingBase"/>
    <w:rsid w:val="00D570CE"/>
    <w:pPr>
      <w:keepLines/>
      <w:pBdr>
        <w:bottom w:val="single" w:sz="6" w:space="1" w:color="918585"/>
      </w:pBdr>
      <w:spacing w:before="240"/>
    </w:pPr>
  </w:style>
  <w:style w:type="character" w:customStyle="1" w:styleId="HotSpot">
    <w:name w:val="HotSpot"/>
    <w:rsid w:val="00D570CE"/>
    <w:rPr>
      <w:color w:val="0033CC"/>
      <w:u w:val="none"/>
    </w:rPr>
  </w:style>
  <w:style w:type="paragraph" w:customStyle="1" w:styleId="BodyTextRight">
    <w:name w:val="Body Text Right"/>
    <w:basedOn w:val="BodyText"/>
    <w:rsid w:val="00D570CE"/>
    <w:pPr>
      <w:spacing w:before="0" w:after="0"/>
      <w:jc w:val="right"/>
    </w:pPr>
  </w:style>
  <w:style w:type="paragraph" w:styleId="Index3">
    <w:name w:val="index 3"/>
    <w:basedOn w:val="ListNumber2"/>
    <w:next w:val="Normal"/>
    <w:semiHidden/>
    <w:rsid w:val="00D570CE"/>
    <w:pPr>
      <w:numPr>
        <w:numId w:val="0"/>
      </w:numPr>
      <w:tabs>
        <w:tab w:val="right" w:leader="dot" w:pos="4176"/>
      </w:tabs>
    </w:pPr>
  </w:style>
  <w:style w:type="paragraph" w:styleId="ListNumber2">
    <w:name w:val="List Number 2"/>
    <w:basedOn w:val="List2"/>
    <w:rsid w:val="00D570CE"/>
    <w:pPr>
      <w:numPr>
        <w:numId w:val="9"/>
      </w:numPr>
      <w:tabs>
        <w:tab w:val="clear" w:pos="1060"/>
      </w:tabs>
    </w:pPr>
  </w:style>
  <w:style w:type="paragraph" w:customStyle="1" w:styleId="MarginNote">
    <w:name w:val="Margin Note"/>
    <w:basedOn w:val="BodyText"/>
    <w:rsid w:val="00D57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0CE"/>
    <w:rPr>
      <w:sz w:val="32"/>
    </w:rPr>
  </w:style>
  <w:style w:type="paragraph" w:customStyle="1" w:styleId="HeadingProcedure">
    <w:name w:val="Heading Procedure"/>
    <w:basedOn w:val="HeadingBase"/>
    <w:next w:val="Normal"/>
    <w:rsid w:val="00D570CE"/>
    <w:pPr>
      <w:tabs>
        <w:tab w:val="left" w:pos="0"/>
      </w:tabs>
      <w:spacing w:before="120" w:after="60"/>
    </w:pPr>
    <w:rPr>
      <w:i/>
      <w:color w:val="918585"/>
      <w:sz w:val="22"/>
    </w:rPr>
  </w:style>
  <w:style w:type="paragraph" w:customStyle="1" w:styleId="TableBodyText">
    <w:name w:val="Table Body Text"/>
    <w:basedOn w:val="BodyText"/>
    <w:rsid w:val="00D570CE"/>
    <w:pPr>
      <w:spacing w:before="60" w:after="60"/>
    </w:pPr>
  </w:style>
  <w:style w:type="paragraph" w:styleId="ListContinue">
    <w:name w:val="List Continue"/>
    <w:basedOn w:val="List"/>
    <w:rsid w:val="00D570CE"/>
    <w:pPr>
      <w:ind w:firstLine="0"/>
    </w:pPr>
  </w:style>
  <w:style w:type="paragraph" w:customStyle="1" w:styleId="ListNote">
    <w:name w:val="List Note"/>
    <w:basedOn w:val="List"/>
    <w:rsid w:val="00D570CE"/>
    <w:pPr>
      <w:pBdr>
        <w:top w:val="single" w:sz="6" w:space="2" w:color="918585"/>
        <w:bottom w:val="single" w:sz="6" w:space="2" w:color="918585"/>
      </w:pBdr>
      <w:tabs>
        <w:tab w:val="left" w:pos="1021"/>
      </w:tabs>
      <w:ind w:firstLine="0"/>
    </w:pPr>
  </w:style>
  <w:style w:type="paragraph" w:customStyle="1" w:styleId="Warning">
    <w:name w:val="Warning"/>
    <w:basedOn w:val="BodyText"/>
    <w:rsid w:val="00D570CE"/>
    <w:pPr>
      <w:shd w:val="clear" w:color="auto" w:fill="D9D9D9"/>
      <w:tabs>
        <w:tab w:val="left" w:pos="992"/>
      </w:tabs>
      <w:ind w:left="119" w:right="119"/>
    </w:pPr>
    <w:rPr>
      <w:sz w:val="20"/>
    </w:rPr>
  </w:style>
  <w:style w:type="paragraph" w:customStyle="1" w:styleId="MarginIcons">
    <w:name w:val="Margin Icons"/>
    <w:basedOn w:val="BodyText"/>
    <w:rsid w:val="00D57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0CE"/>
    <w:rPr>
      <w:rFonts w:ascii="Courier New" w:hAnsi="Courier New"/>
    </w:rPr>
  </w:style>
  <w:style w:type="paragraph" w:customStyle="1" w:styleId="NoteBullet">
    <w:name w:val="Note Bullet"/>
    <w:basedOn w:val="Note"/>
    <w:rsid w:val="00D570CE"/>
    <w:pPr>
      <w:tabs>
        <w:tab w:val="clear" w:pos="680"/>
      </w:tabs>
      <w:spacing w:before="60" w:after="60"/>
    </w:pPr>
  </w:style>
  <w:style w:type="paragraph" w:customStyle="1" w:styleId="SubHeading2">
    <w:name w:val="SubHeading2"/>
    <w:basedOn w:val="HeadingBase"/>
    <w:rsid w:val="00D570CE"/>
    <w:pPr>
      <w:spacing w:before="240" w:after="60"/>
    </w:pPr>
    <w:rPr>
      <w:sz w:val="20"/>
    </w:rPr>
  </w:style>
  <w:style w:type="paragraph" w:customStyle="1" w:styleId="SubHeading1">
    <w:name w:val="SubHeading1"/>
    <w:basedOn w:val="HeadingBase"/>
    <w:rsid w:val="00D570CE"/>
    <w:pPr>
      <w:spacing w:before="240" w:after="60"/>
    </w:pPr>
    <w:rPr>
      <w:color w:val="918585"/>
      <w:sz w:val="22"/>
    </w:rPr>
  </w:style>
  <w:style w:type="paragraph" w:customStyle="1" w:styleId="SideHeading">
    <w:name w:val="Side Heading"/>
    <w:basedOn w:val="HeadingBase"/>
    <w:rsid w:val="00D57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0CE"/>
    <w:pPr>
      <w:tabs>
        <w:tab w:val="num" w:pos="360"/>
      </w:tabs>
    </w:pPr>
  </w:style>
  <w:style w:type="paragraph" w:styleId="PlainText">
    <w:name w:val="Plain Text"/>
    <w:basedOn w:val="Normal"/>
    <w:link w:val="PlainTextChar"/>
    <w:rsid w:val="00D570CE"/>
    <w:rPr>
      <w:sz w:val="20"/>
    </w:rPr>
  </w:style>
  <w:style w:type="character" w:customStyle="1" w:styleId="PlainTextChar">
    <w:name w:val="Plain Text Char"/>
    <w:basedOn w:val="DefaultParagraphFont"/>
    <w:link w:val="PlainText"/>
    <w:rsid w:val="00D570CE"/>
    <w:rPr>
      <w:rFonts w:ascii="Courier New" w:eastAsia="Times New Roman" w:hAnsi="Courier New" w:cs="Times New Roman"/>
      <w:sz w:val="20"/>
      <w:szCs w:val="20"/>
      <w:lang w:eastAsia="en-US"/>
    </w:rPr>
  </w:style>
  <w:style w:type="character" w:customStyle="1" w:styleId="MenuOption">
    <w:name w:val="Menu Option"/>
    <w:basedOn w:val="DefaultParagraphFont"/>
    <w:rsid w:val="00D570CE"/>
    <w:rPr>
      <w:b/>
      <w:smallCaps/>
    </w:rPr>
  </w:style>
  <w:style w:type="paragraph" w:customStyle="1" w:styleId="TableListNumber">
    <w:name w:val="Table List Number"/>
    <w:basedOn w:val="ListNumber"/>
    <w:rsid w:val="00D570CE"/>
    <w:pPr>
      <w:numPr>
        <w:numId w:val="0"/>
      </w:numPr>
    </w:pPr>
  </w:style>
  <w:style w:type="paragraph" w:styleId="TOC4">
    <w:name w:val="toc 4"/>
    <w:basedOn w:val="TOCBase"/>
    <w:next w:val="Normal"/>
    <w:semiHidden/>
    <w:rsid w:val="00D570CE"/>
    <w:pPr>
      <w:tabs>
        <w:tab w:val="right" w:leader="dot" w:pos="9071"/>
      </w:tabs>
      <w:ind w:left="1701"/>
    </w:pPr>
  </w:style>
  <w:style w:type="paragraph" w:customStyle="1" w:styleId="ListAlpha">
    <w:name w:val="List Alpha"/>
    <w:basedOn w:val="List"/>
    <w:rsid w:val="00D570CE"/>
    <w:pPr>
      <w:numPr>
        <w:numId w:val="8"/>
      </w:numPr>
    </w:pPr>
  </w:style>
  <w:style w:type="paragraph" w:customStyle="1" w:styleId="ListAlpha2">
    <w:name w:val="List Alpha 2"/>
    <w:basedOn w:val="List2"/>
    <w:rsid w:val="00D570CE"/>
    <w:pPr>
      <w:numPr>
        <w:numId w:val="7"/>
      </w:numPr>
    </w:pPr>
  </w:style>
  <w:style w:type="paragraph" w:styleId="List2">
    <w:name w:val="List 2"/>
    <w:basedOn w:val="BodyText"/>
    <w:rsid w:val="00D570CE"/>
    <w:pPr>
      <w:tabs>
        <w:tab w:val="left" w:pos="680"/>
      </w:tabs>
      <w:spacing w:before="60" w:after="60"/>
      <w:ind w:left="680" w:hanging="340"/>
    </w:pPr>
  </w:style>
  <w:style w:type="paragraph" w:styleId="List3">
    <w:name w:val="List 3"/>
    <w:basedOn w:val="BodyText"/>
    <w:rsid w:val="00D570CE"/>
    <w:pPr>
      <w:tabs>
        <w:tab w:val="left" w:pos="1021"/>
      </w:tabs>
      <w:spacing w:before="60" w:after="60"/>
      <w:ind w:left="1020" w:hanging="340"/>
    </w:pPr>
  </w:style>
  <w:style w:type="paragraph" w:styleId="List4">
    <w:name w:val="List 4"/>
    <w:basedOn w:val="BodyText"/>
    <w:rsid w:val="00D570CE"/>
    <w:pPr>
      <w:tabs>
        <w:tab w:val="left" w:pos="1361"/>
      </w:tabs>
      <w:spacing w:before="60" w:after="60"/>
      <w:ind w:left="1361" w:hanging="340"/>
    </w:pPr>
  </w:style>
  <w:style w:type="paragraph" w:styleId="List5">
    <w:name w:val="List 5"/>
    <w:basedOn w:val="BodyText"/>
    <w:rsid w:val="00D570CE"/>
    <w:pPr>
      <w:tabs>
        <w:tab w:val="left" w:pos="1701"/>
      </w:tabs>
      <w:spacing w:before="60" w:after="60"/>
      <w:ind w:left="1701" w:hanging="340"/>
    </w:pPr>
  </w:style>
  <w:style w:type="paragraph" w:styleId="ListBullet3">
    <w:name w:val="List Bullet 3"/>
    <w:basedOn w:val="List3"/>
    <w:rsid w:val="00D570CE"/>
    <w:pPr>
      <w:numPr>
        <w:numId w:val="14"/>
      </w:numPr>
      <w:tabs>
        <w:tab w:val="clear" w:pos="1021"/>
      </w:tabs>
      <w:ind w:left="1037" w:hanging="357"/>
    </w:pPr>
  </w:style>
  <w:style w:type="paragraph" w:styleId="ListBullet4">
    <w:name w:val="List Bullet 4"/>
    <w:basedOn w:val="List4"/>
    <w:rsid w:val="00D570CE"/>
    <w:pPr>
      <w:numPr>
        <w:numId w:val="2"/>
      </w:numPr>
      <w:tabs>
        <w:tab w:val="clear" w:pos="1361"/>
      </w:tabs>
    </w:pPr>
  </w:style>
  <w:style w:type="paragraph" w:styleId="ListBullet5">
    <w:name w:val="List Bullet 5"/>
    <w:basedOn w:val="List5"/>
    <w:rsid w:val="00D570CE"/>
    <w:pPr>
      <w:numPr>
        <w:numId w:val="3"/>
      </w:numPr>
    </w:pPr>
  </w:style>
  <w:style w:type="paragraph" w:styleId="ListContinue2">
    <w:name w:val="List Continue 2"/>
    <w:basedOn w:val="List2"/>
    <w:rsid w:val="00D570CE"/>
    <w:pPr>
      <w:ind w:firstLine="0"/>
    </w:pPr>
  </w:style>
  <w:style w:type="paragraph" w:styleId="ListContinue3">
    <w:name w:val="List Continue 3"/>
    <w:basedOn w:val="List3"/>
    <w:rsid w:val="00D570CE"/>
    <w:pPr>
      <w:ind w:left="1021" w:firstLine="0"/>
    </w:pPr>
  </w:style>
  <w:style w:type="paragraph" w:styleId="ListContinue4">
    <w:name w:val="List Continue 4"/>
    <w:basedOn w:val="List4"/>
    <w:rsid w:val="00D570CE"/>
    <w:pPr>
      <w:ind w:firstLine="0"/>
    </w:pPr>
  </w:style>
  <w:style w:type="paragraph" w:styleId="ListContinue5">
    <w:name w:val="List Continue 5"/>
    <w:basedOn w:val="List5"/>
    <w:rsid w:val="00D570CE"/>
    <w:pPr>
      <w:ind w:firstLine="0"/>
    </w:pPr>
  </w:style>
  <w:style w:type="paragraph" w:styleId="ListNumber3">
    <w:name w:val="List Number 3"/>
    <w:basedOn w:val="List3"/>
    <w:rsid w:val="00D570CE"/>
    <w:pPr>
      <w:numPr>
        <w:numId w:val="4"/>
      </w:numPr>
    </w:pPr>
  </w:style>
  <w:style w:type="paragraph" w:styleId="ListNumber4">
    <w:name w:val="List Number 4"/>
    <w:basedOn w:val="List4"/>
    <w:rsid w:val="00D570CE"/>
    <w:pPr>
      <w:numPr>
        <w:numId w:val="5"/>
      </w:numPr>
    </w:pPr>
  </w:style>
  <w:style w:type="paragraph" w:styleId="ListNumber5">
    <w:name w:val="List Number 5"/>
    <w:basedOn w:val="List5"/>
    <w:rsid w:val="00D570CE"/>
    <w:pPr>
      <w:numPr>
        <w:numId w:val="6"/>
      </w:numPr>
    </w:pPr>
  </w:style>
  <w:style w:type="paragraph" w:styleId="BlockText">
    <w:name w:val="Block Text"/>
    <w:basedOn w:val="Normal"/>
    <w:rsid w:val="00D570CE"/>
    <w:pPr>
      <w:spacing w:after="120"/>
      <w:ind w:left="1440" w:right="1440"/>
    </w:pPr>
  </w:style>
  <w:style w:type="character" w:customStyle="1" w:styleId="Subscript">
    <w:name w:val="Subscript"/>
    <w:basedOn w:val="DefaultParagraphFont"/>
    <w:rsid w:val="00D570CE"/>
    <w:rPr>
      <w:sz w:val="16"/>
      <w:vertAlign w:val="subscript"/>
    </w:rPr>
  </w:style>
  <w:style w:type="character" w:customStyle="1" w:styleId="Superscript">
    <w:name w:val="Superscript"/>
    <w:basedOn w:val="DefaultParagraphFont"/>
    <w:rsid w:val="00D570CE"/>
    <w:rPr>
      <w:sz w:val="16"/>
      <w:vertAlign w:val="superscript"/>
    </w:rPr>
  </w:style>
  <w:style w:type="character" w:customStyle="1" w:styleId="Symbols">
    <w:name w:val="Symbols"/>
    <w:basedOn w:val="DefaultParagraphFont"/>
    <w:rsid w:val="00D570CE"/>
    <w:rPr>
      <w:rFonts w:ascii="Symbol" w:hAnsi="Symbol"/>
    </w:rPr>
  </w:style>
  <w:style w:type="character" w:customStyle="1" w:styleId="MenuOptions">
    <w:name w:val="Menu Options"/>
    <w:basedOn w:val="DefaultParagraphFont"/>
    <w:rsid w:val="00D570CE"/>
    <w:rPr>
      <w:rFonts w:ascii="Arial Narrow" w:hAnsi="Arial Narrow"/>
      <w:smallCaps/>
    </w:rPr>
  </w:style>
  <w:style w:type="character" w:customStyle="1" w:styleId="Buttons">
    <w:name w:val="Buttons"/>
    <w:basedOn w:val="DefaultParagraphFont"/>
    <w:rsid w:val="00D570CE"/>
    <w:rPr>
      <w:b/>
    </w:rPr>
  </w:style>
  <w:style w:type="character" w:customStyle="1" w:styleId="Underlined">
    <w:name w:val="Underlined"/>
    <w:basedOn w:val="DefaultParagraphFont"/>
    <w:rsid w:val="00D570CE"/>
    <w:rPr>
      <w:u w:val="single"/>
    </w:rPr>
  </w:style>
  <w:style w:type="paragraph" w:customStyle="1" w:styleId="TableBodyTextRight">
    <w:name w:val="Table Body Text Right"/>
    <w:basedOn w:val="TableBodyText"/>
    <w:rsid w:val="00D570CE"/>
    <w:pPr>
      <w:widowControl w:val="0"/>
      <w:autoSpaceDE w:val="0"/>
      <w:autoSpaceDN w:val="0"/>
      <w:adjustRightInd w:val="0"/>
      <w:jc w:val="right"/>
    </w:pPr>
    <w:rPr>
      <w:rFonts w:cs="Arial"/>
      <w:szCs w:val="18"/>
    </w:rPr>
  </w:style>
  <w:style w:type="paragraph" w:customStyle="1" w:styleId="CopyrightText">
    <w:name w:val="Copyright Text"/>
    <w:basedOn w:val="BodyText"/>
    <w:rsid w:val="00D570CE"/>
    <w:rPr>
      <w:sz w:val="18"/>
    </w:rPr>
  </w:style>
  <w:style w:type="paragraph" w:customStyle="1" w:styleId="BodySmallRight">
    <w:name w:val="Body Small Right"/>
    <w:basedOn w:val="BodyTextRight"/>
    <w:rsid w:val="00D570CE"/>
    <w:rPr>
      <w:sz w:val="18"/>
      <w:szCs w:val="18"/>
    </w:rPr>
  </w:style>
  <w:style w:type="paragraph" w:customStyle="1" w:styleId="MarginEdition">
    <w:name w:val="Margin Edition"/>
    <w:basedOn w:val="MarginNote"/>
    <w:rsid w:val="00D570CE"/>
    <w:pPr>
      <w:spacing w:before="0" w:after="0"/>
    </w:pPr>
    <w:rPr>
      <w:rFonts w:ascii="Times New Roman" w:hAnsi="Times New Roman"/>
      <w:color w:val="999999"/>
    </w:rPr>
  </w:style>
  <w:style w:type="paragraph" w:customStyle="1" w:styleId="Spacer">
    <w:name w:val="Spacer"/>
    <w:basedOn w:val="Normal"/>
    <w:rsid w:val="00D570CE"/>
    <w:rPr>
      <w:sz w:val="2"/>
      <w:szCs w:val="2"/>
    </w:rPr>
  </w:style>
  <w:style w:type="character" w:customStyle="1" w:styleId="Small">
    <w:name w:val="Small"/>
    <w:basedOn w:val="DefaultParagraphFont"/>
    <w:rsid w:val="00D570CE"/>
    <w:rPr>
      <w:sz w:val="16"/>
    </w:rPr>
  </w:style>
  <w:style w:type="paragraph" w:customStyle="1" w:styleId="WideTable">
    <w:name w:val="Wide Table"/>
    <w:basedOn w:val="Normal"/>
    <w:rsid w:val="00D570CE"/>
    <w:pPr>
      <w:ind w:left="-1418"/>
    </w:pPr>
    <w:rPr>
      <w:sz w:val="2"/>
      <w:szCs w:val="2"/>
    </w:rPr>
  </w:style>
  <w:style w:type="character" w:styleId="PageNumber">
    <w:name w:val="page number"/>
    <w:basedOn w:val="DefaultParagraphFont"/>
    <w:rsid w:val="00D570CE"/>
  </w:style>
  <w:style w:type="paragraph" w:styleId="Quote">
    <w:name w:val="Quote"/>
    <w:basedOn w:val="Heading1"/>
    <w:link w:val="QuoteChar"/>
    <w:qFormat/>
    <w:rsid w:val="00D570CE"/>
    <w:rPr>
      <w:b w:val="0"/>
      <w:sz w:val="72"/>
      <w:szCs w:val="72"/>
      <w:lang w:val="en-NZ"/>
    </w:rPr>
  </w:style>
  <w:style w:type="character" w:customStyle="1" w:styleId="QuoteChar">
    <w:name w:val="Quote Char"/>
    <w:basedOn w:val="DefaultParagraphFont"/>
    <w:link w:val="Quote"/>
    <w:rsid w:val="00D57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0CE"/>
    <w:pPr>
      <w:pageBreakBefore/>
    </w:pPr>
  </w:style>
  <w:style w:type="paragraph" w:customStyle="1" w:styleId="Border">
    <w:name w:val="Border"/>
    <w:basedOn w:val="Normal"/>
    <w:qFormat/>
    <w:rsid w:val="00D57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0CE"/>
    <w:rPr>
      <w:b/>
      <w:bCs/>
      <w:i/>
      <w:iCs/>
      <w:color w:val="auto"/>
    </w:rPr>
  </w:style>
  <w:style w:type="paragraph" w:styleId="IntenseQuote">
    <w:name w:val="Intense Quote"/>
    <w:basedOn w:val="Normal"/>
    <w:next w:val="Normal"/>
    <w:link w:val="IntenseQuoteChar"/>
    <w:uiPriority w:val="30"/>
    <w:qFormat/>
    <w:rsid w:val="00D57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0CE"/>
    <w:rPr>
      <w:smallCaps/>
      <w:color w:val="auto"/>
      <w:u w:val="single"/>
    </w:rPr>
  </w:style>
  <w:style w:type="character" w:styleId="IntenseReference">
    <w:name w:val="Intense Reference"/>
    <w:basedOn w:val="DefaultParagraphFont"/>
    <w:uiPriority w:val="32"/>
    <w:qFormat/>
    <w:rsid w:val="00D570CE"/>
    <w:rPr>
      <w:b/>
      <w:bCs/>
      <w:smallCaps/>
      <w:color w:val="auto"/>
      <w:spacing w:val="5"/>
      <w:u w:val="single"/>
    </w:rPr>
  </w:style>
  <w:style w:type="paragraph" w:customStyle="1" w:styleId="2ColumnHeading">
    <w:name w:val="2Column Heading"/>
    <w:basedOn w:val="BodyText"/>
    <w:qFormat/>
    <w:rsid w:val="00D570CE"/>
    <w:pPr>
      <w:spacing w:after="60"/>
      <w:ind w:left="-2268"/>
    </w:pPr>
    <w:rPr>
      <w:b/>
    </w:rPr>
  </w:style>
  <w:style w:type="paragraph" w:customStyle="1" w:styleId="Heading1TOC">
    <w:name w:val="Heading1 TOC"/>
    <w:basedOn w:val="Normal"/>
    <w:qFormat/>
    <w:rsid w:val="00D570CE"/>
    <w:pPr>
      <w:spacing w:before="240" w:after="120"/>
    </w:pPr>
    <w:rPr>
      <w:rFonts w:ascii="Times New Roman" w:hAnsi="Times New Roman"/>
      <w:b/>
      <w:sz w:val="32"/>
    </w:rPr>
  </w:style>
  <w:style w:type="paragraph" w:customStyle="1" w:styleId="Heading2TOC">
    <w:name w:val="Heading2 TOC"/>
    <w:basedOn w:val="Normal"/>
    <w:qFormat/>
    <w:rsid w:val="00D570CE"/>
    <w:pPr>
      <w:spacing w:before="240" w:after="60"/>
    </w:pPr>
    <w:rPr>
      <w:rFonts w:ascii="Times New Roman" w:hAnsi="Times New Roman"/>
      <w:b/>
      <w:sz w:val="28"/>
    </w:rPr>
  </w:style>
  <w:style w:type="character" w:customStyle="1" w:styleId="Underline">
    <w:name w:val="Underline"/>
    <w:basedOn w:val="DefaultParagraphFont"/>
    <w:qFormat/>
    <w:rsid w:val="00D570CE"/>
    <w:rPr>
      <w:u w:val="single"/>
    </w:rPr>
  </w:style>
  <w:style w:type="character" w:customStyle="1" w:styleId="BoldandItalics">
    <w:name w:val="Bold and Italics"/>
    <w:qFormat/>
    <w:rsid w:val="00D570CE"/>
    <w:rPr>
      <w:b/>
      <w:i/>
      <w:u w:val="none"/>
    </w:rPr>
  </w:style>
  <w:style w:type="paragraph" w:styleId="BalloonText">
    <w:name w:val="Balloon Text"/>
    <w:basedOn w:val="Normal"/>
    <w:link w:val="BalloonTextChar"/>
    <w:rsid w:val="00D570CE"/>
    <w:rPr>
      <w:rFonts w:ascii="Tahoma" w:hAnsi="Tahoma" w:cs="Tahoma"/>
      <w:sz w:val="16"/>
      <w:szCs w:val="16"/>
    </w:rPr>
  </w:style>
  <w:style w:type="character" w:customStyle="1" w:styleId="BalloonTextChar">
    <w:name w:val="Balloon Text Char"/>
    <w:basedOn w:val="DefaultParagraphFont"/>
    <w:link w:val="BalloonText"/>
    <w:rsid w:val="00D57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0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0CE"/>
    <w:rPr>
      <w:b/>
      <w:color w:val="660033"/>
      <w:spacing w:val="0"/>
    </w:rPr>
  </w:style>
  <w:style w:type="paragraph" w:customStyle="1" w:styleId="Nameditemlist">
    <w:name w:val="Named item list"/>
    <w:basedOn w:val="BodyText"/>
    <w:qFormat/>
    <w:rsid w:val="00D570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4469</Characters>
  <Application>Microsoft Office Word</Application>
  <DocSecurity>0</DocSecurity>
  <Lines>166</Lines>
  <Paragraphs>92</Paragraphs>
  <ScaleCrop>false</ScaleCrop>
  <Company>Author-it Software Corporation Ltd.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MEA124 Coordinate change programs in the aviation maintenance environment</dc:title>
  <dc:subject>Approved</dc:subject>
  <dc:creator>Manufacturing Skills Australia</dc:creator>
  <cp:keywords>Release: 1</cp:keywords>
  <dc:description>Review Date: 12 April 2008</dc:description>
  <cp:lastModifiedBy>TPCMS</cp:lastModifiedBy>
  <cp:revision>3</cp:revision>
  <dcterms:created xsi:type="dcterms:W3CDTF">2016-12-22T23:28:00Z</dcterms:created>
  <dcterms:modified xsi:type="dcterms:W3CDTF">2016-12-22T23:28:00Z</dcterms:modified>
</cp:coreProperties>
</file>