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611A" w:rsidP="00C5611A">
      <w:pPr>
        <w:pStyle w:val="Title"/>
      </w:pPr>
      <w:r>
        <w:fldChar w:fldCharType="begin"/>
      </w:r>
      <w:r>
        <w:instrText xml:space="preserve"> TITLE   \* MERGEFORMAT </w:instrText>
      </w:r>
      <w:r>
        <w:fldChar w:fldCharType="separate"/>
      </w:r>
      <w:r>
        <w:t>MEA124 Coordinate change programs in the aviation maintenance environment</w:t>
      </w:r>
      <w:r>
        <w:fldChar w:fldCharType="end"/>
      </w:r>
    </w:p>
    <w:p w:rsidR="00C5611A" w:rsidP="00C5611A">
      <w:pPr>
        <w:pStyle w:val="Version"/>
        <w:sectPr w:rsidSect="00F831C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31C9" w:rsidP="00F831C9">
      <w:pPr>
        <w:pStyle w:val="SuperHeading"/>
      </w:pPr>
      <w:r w:rsidRPr="00F831C9">
        <w:t>MEA124 Coordi</w:t>
      </w:r>
      <w:r w:rsidRPr="00F831C9">
        <w:t>nate change programs in the aviation maintenance environment</w:t>
      </w:r>
    </w:p>
    <w:p w:rsidR="00000000" w:rsidRPr="00F831C9" w:rsidP="00F831C9">
      <w:pPr>
        <w:pStyle w:val="Heading1"/>
      </w:pPr>
      <w:bookmarkStart w:id="1" w:name="O_719137"/>
      <w:bookmarkEnd w:id="1"/>
      <w:r w:rsidRPr="00F831C9">
        <w:t>Modification History</w:t>
      </w:r>
    </w:p>
    <w:p w:rsidR="00000000" w:rsidRPr="00F831C9" w:rsidP="00C5611A">
      <w:pPr>
        <w:pStyle w:val="BodyText"/>
      </w:pPr>
      <w:r w:rsidRPr="00F831C9">
        <w:t>Release 1 - New unit of competency</w:t>
      </w:r>
    </w:p>
    <w:p w:rsidR="00000000" w:rsidRPr="00F831C9" w:rsidP="00F831C9">
      <w:pPr>
        <w:pStyle w:val="Heading1"/>
      </w:pPr>
      <w:bookmarkStart w:id="2" w:name="O_719145"/>
      <w:bookmarkEnd w:id="2"/>
      <w:r w:rsidRPr="00F831C9">
        <w:t>Application</w:t>
      </w:r>
    </w:p>
    <w:p w:rsidR="00000000" w:rsidRPr="00F831C9" w:rsidP="00C5611A">
      <w:pPr>
        <w:pStyle w:val="BodyText"/>
      </w:pPr>
      <w:r w:rsidRPr="00F831C9">
        <w:t>This unit of competency requires application of management processes that promote and initiate desirable changes that will improve individual and organisational effectiveness in the aviation maintenance environment during scheduled or unscheduled maintenan</w:t>
      </w:r>
      <w:r w:rsidRPr="00F831C9">
        <w:t>ce. Work may be performed individually or as part of a team.</w:t>
      </w:r>
    </w:p>
    <w:p w:rsidR="00000000" w:rsidRPr="00F831C9" w:rsidP="00C5611A">
      <w:pPr>
        <w:pStyle w:val="BodyText"/>
      </w:pPr>
      <w:r w:rsidRPr="00F831C9">
        <w:t xml:space="preserve">The unit is part of the Aeroskills Advanced Diploma training pathways. It is used in workplaces that operate under the airworthiness regulatory systems of the Australian Defence Force (ADF) and </w:t>
      </w:r>
      <w:r w:rsidRPr="00F831C9">
        <w:t>the Civil Aviation Safety Authority (CASA).</w:t>
      </w:r>
    </w:p>
    <w:p w:rsidR="00000000" w:rsidRPr="00F831C9" w:rsidP="00F831C9">
      <w:pPr>
        <w:pStyle w:val="Heading1"/>
      </w:pPr>
      <w:bookmarkStart w:id="3" w:name="O_719144"/>
      <w:bookmarkEnd w:id="3"/>
      <w:r w:rsidRPr="00F831C9">
        <w:t>Pre-requisite Unit</w:t>
      </w:r>
    </w:p>
    <w:p w:rsidR="00000000" w:rsidRPr="00F831C9" w:rsidP="00F831C9">
      <w:pPr>
        <w:pStyle w:val="Heading1"/>
      </w:pPr>
      <w:bookmarkStart w:id="4" w:name="O_719143"/>
      <w:bookmarkEnd w:id="4"/>
      <w:r w:rsidRPr="00F831C9">
        <w:t>Competency Field</w:t>
      </w:r>
    </w:p>
    <w:p w:rsidR="00000000" w:rsidRPr="00F831C9" w:rsidP="00C5611A">
      <w:pPr>
        <w:pStyle w:val="BodyText"/>
      </w:pPr>
      <w:r w:rsidRPr="00F831C9">
        <w:t>Aviation maintenance management</w:t>
      </w:r>
    </w:p>
    <w:p w:rsidR="00000000" w:rsidRPr="00F831C9" w:rsidP="00F831C9">
      <w:pPr>
        <w:pStyle w:val="Heading1"/>
      </w:pPr>
      <w:bookmarkStart w:id="5" w:name="O_719142"/>
      <w:bookmarkEnd w:id="5"/>
      <w:r w:rsidRPr="00F831C9">
        <w:t>Unit Sector</w:t>
      </w:r>
    </w:p>
    <w:p w:rsidR="00000000" w:rsidRPr="00F831C9" w:rsidP="00F831C9">
      <w:pPr>
        <w:pStyle w:val="Heading1"/>
      </w:pPr>
      <w:bookmarkStart w:id="6" w:name="O_719141"/>
      <w:bookmarkEnd w:id="6"/>
      <w:r w:rsidRPr="00F831C9">
        <w:t>Elements and Performance Criteria</w:t>
      </w:r>
    </w:p>
    <w:tbl>
      <w:tblPr>
        <w:tblW w:w="9370" w:type="dxa"/>
        <w:tblLayout w:type="fixed"/>
        <w:tblCellMar>
          <w:left w:w="62" w:type="dxa"/>
          <w:right w:w="62" w:type="dxa"/>
        </w:tblCellMar>
        <w:tblLook w:val="0000"/>
      </w:tblPr>
      <w:tblGrid>
        <w:gridCol w:w="630"/>
        <w:gridCol w:w="2250"/>
        <w:gridCol w:w="706"/>
        <w:gridCol w:w="5594"/>
        <w:gridCol w:w="190"/>
      </w:tblGrid>
      <w:tr w:rsidTr="00F831C9">
        <w:tblPrEx>
          <w:tblW w:w="9370" w:type="dxa"/>
          <w:tblLayout w:type="fixed"/>
          <w:tblCellMar>
            <w:left w:w="62" w:type="dxa"/>
            <w:right w:w="62" w:type="dxa"/>
          </w:tblCellMar>
          <w:tblLook w:val="0000"/>
        </w:tblPrEx>
        <w:tc>
          <w:tcPr>
            <w:tcW w:w="2880" w:type="dxa"/>
            <w:gridSpan w:val="2"/>
            <w:tcBorders>
              <w:top w:val="nil"/>
              <w:left w:val="nil"/>
              <w:bottom w:val="nil"/>
              <w:right w:val="nil"/>
            </w:tcBorders>
            <w:tcMar>
              <w:top w:w="0" w:type="dxa"/>
              <w:left w:w="62" w:type="dxa"/>
              <w:bottom w:w="0" w:type="dxa"/>
              <w:right w:w="62" w:type="dxa"/>
            </w:tcMar>
          </w:tcPr>
          <w:p w:rsidR="00000000" w:rsidP="00F831C9">
            <w:pPr>
              <w:pStyle w:val="BodyText"/>
              <w:rPr>
                <w:lang w:val="en-NZ"/>
              </w:rPr>
            </w:pPr>
            <w:r w:rsidRPr="00F831C9">
              <w:t xml:space="preserve">Elements describe the essential </w:t>
            </w:r>
            <w:r w:rsidRPr="00F831C9">
              <w:t>outcomes.</w:t>
            </w:r>
          </w:p>
        </w:tc>
        <w:tc>
          <w:tcPr>
            <w:tcW w:w="6490" w:type="dxa"/>
            <w:gridSpan w:val="3"/>
            <w:tcBorders>
              <w:top w:val="nil"/>
              <w:left w:val="nil"/>
              <w:bottom w:val="nil"/>
              <w:right w:val="nil"/>
            </w:tcBorders>
            <w:tcMar>
              <w:top w:w="0" w:type="dxa"/>
              <w:left w:w="62" w:type="dxa"/>
              <w:bottom w:w="0" w:type="dxa"/>
              <w:right w:w="62" w:type="dxa"/>
            </w:tcMar>
          </w:tcPr>
          <w:p w:rsidR="00000000" w:rsidP="00F831C9">
            <w:pPr>
              <w:pStyle w:val="BodyText"/>
              <w:rPr>
                <w:lang w:val="en-NZ"/>
              </w:rPr>
            </w:pPr>
            <w:r w:rsidRPr="00F831C9">
              <w:t xml:space="preserve">Performance criteria describe the performance needed to demonstrate achievement of the element. </w:t>
            </w:r>
          </w:p>
        </w:tc>
      </w:tr>
      <w:tr w:rsidTr="00F831C9">
        <w:tblPrEx>
          <w:tblW w:w="9370" w:type="dxa"/>
          <w:tblLayout w:type="fixed"/>
          <w:tblCellMar>
            <w:left w:w="62" w:type="dxa"/>
            <w:right w:w="62" w:type="dxa"/>
          </w:tblCellMar>
          <w:tblLook w:val="0000"/>
        </w:tblPrEx>
        <w:trPr>
          <w:gridAfter w:val="1"/>
          <w:wAfter w:w="190" w:type="dxa"/>
        </w:trPr>
        <w:tc>
          <w:tcPr>
            <w:tcW w:w="630" w:type="dxa"/>
            <w:tcBorders>
              <w:top w:val="nil"/>
              <w:left w:val="nil"/>
              <w:bottom w:val="nil"/>
              <w:right w:val="nil"/>
            </w:tcBorders>
            <w:tcMar>
              <w:top w:w="0" w:type="dxa"/>
              <w:left w:w="62" w:type="dxa"/>
              <w:bottom w:w="0" w:type="dxa"/>
              <w:right w:w="62" w:type="dxa"/>
            </w:tcMar>
          </w:tcPr>
          <w:p w:rsidR="00000000" w:rsidP="00F831C9">
            <w:pPr>
              <w:pStyle w:val="BodyText"/>
              <w:rPr>
                <w:lang w:val="en-NZ"/>
              </w:rPr>
            </w:pPr>
            <w:r w:rsidRPr="00F831C9">
              <w:t>1.</w:t>
            </w:r>
          </w:p>
        </w:tc>
        <w:tc>
          <w:tcPr>
            <w:tcW w:w="2250" w:type="dxa"/>
            <w:tcBorders>
              <w:top w:val="nil"/>
              <w:left w:val="nil"/>
              <w:bottom w:val="nil"/>
              <w:right w:val="nil"/>
            </w:tcBorders>
            <w:tcMar>
              <w:top w:w="0" w:type="dxa"/>
              <w:left w:w="62" w:type="dxa"/>
              <w:bottom w:w="0" w:type="dxa"/>
              <w:right w:w="62" w:type="dxa"/>
            </w:tcMar>
          </w:tcPr>
          <w:p w:rsidR="00000000" w:rsidP="00F831C9">
            <w:pPr>
              <w:pStyle w:val="BodyText"/>
              <w:rPr>
                <w:lang w:val="en-NZ"/>
              </w:rPr>
            </w:pPr>
            <w:r w:rsidRPr="00F831C9">
              <w:t>Promote change within workplace practices</w:t>
            </w:r>
          </w:p>
        </w:tc>
        <w:tc>
          <w:tcPr>
            <w:tcW w:w="706" w:type="dxa"/>
            <w:tcBorders>
              <w:top w:val="nil"/>
              <w:left w:val="nil"/>
              <w:bottom w:val="nil"/>
              <w:right w:val="nil"/>
            </w:tcBorders>
            <w:tcMar>
              <w:top w:w="0" w:type="dxa"/>
              <w:left w:w="62" w:type="dxa"/>
              <w:bottom w:w="0" w:type="dxa"/>
              <w:right w:w="62" w:type="dxa"/>
            </w:tcMar>
          </w:tcPr>
          <w:p w:rsidR="00000000" w:rsidP="00F831C9">
            <w:pPr>
              <w:pStyle w:val="BodyText"/>
              <w:rPr>
                <w:lang w:val="en-NZ"/>
              </w:rPr>
            </w:pPr>
            <w:r w:rsidRPr="00F831C9">
              <w:t>1.1</w:t>
            </w:r>
          </w:p>
        </w:tc>
        <w:tc>
          <w:tcPr>
            <w:tcW w:w="5594" w:type="dxa"/>
            <w:tcBorders>
              <w:top w:val="nil"/>
              <w:left w:val="nil"/>
              <w:bottom w:val="nil"/>
              <w:right w:val="nil"/>
            </w:tcBorders>
            <w:tcMar>
              <w:top w:w="0" w:type="dxa"/>
              <w:left w:w="62" w:type="dxa"/>
              <w:bottom w:w="0" w:type="dxa"/>
              <w:right w:w="62" w:type="dxa"/>
            </w:tcMar>
          </w:tcPr>
          <w:p w:rsidR="00000000" w:rsidP="00F831C9">
            <w:pPr>
              <w:pStyle w:val="BodyText"/>
              <w:rPr>
                <w:lang w:val="en-NZ"/>
              </w:rPr>
            </w:pPr>
            <w:r w:rsidRPr="00F831C9">
              <w:t>Change is promoted as an opportunity for improving individual and organisational effectiveness</w:t>
            </w:r>
          </w:p>
        </w:tc>
      </w:tr>
      <w:tr w:rsidTr="00F831C9">
        <w:tblPrEx>
          <w:tblW w:w="9370" w:type="dxa"/>
          <w:tblLayout w:type="fixed"/>
          <w:tblCellMar>
            <w:left w:w="62" w:type="dxa"/>
            <w:right w:w="62" w:type="dxa"/>
          </w:tblCellMar>
          <w:tblLook w:val="0000"/>
        </w:tblPrEx>
        <w:trPr>
          <w:gridAfter w:val="1"/>
          <w:wAfter w:w="190" w:type="dxa"/>
        </w:trPr>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6" w:type="dxa"/>
            <w:tcBorders>
              <w:top w:val="nil"/>
              <w:left w:val="nil"/>
              <w:bottom w:val="nil"/>
              <w:right w:val="nil"/>
            </w:tcBorders>
            <w:tcMar>
              <w:top w:w="0" w:type="dxa"/>
              <w:left w:w="62" w:type="dxa"/>
              <w:bottom w:w="0" w:type="dxa"/>
              <w:right w:w="62" w:type="dxa"/>
            </w:tcMar>
          </w:tcPr>
          <w:p w:rsidR="00000000" w:rsidP="00F831C9">
            <w:pPr>
              <w:pStyle w:val="BodyText"/>
              <w:rPr>
                <w:lang w:val="en-NZ"/>
              </w:rPr>
            </w:pPr>
            <w:r w:rsidRPr="00F831C9">
              <w:t>1.2</w:t>
            </w:r>
          </w:p>
        </w:tc>
        <w:tc>
          <w:tcPr>
            <w:tcW w:w="5594" w:type="dxa"/>
            <w:tcBorders>
              <w:top w:val="nil"/>
              <w:left w:val="nil"/>
              <w:bottom w:val="nil"/>
              <w:right w:val="nil"/>
            </w:tcBorders>
            <w:tcMar>
              <w:top w:w="0" w:type="dxa"/>
              <w:left w:w="62" w:type="dxa"/>
              <w:bottom w:w="0" w:type="dxa"/>
              <w:right w:w="62" w:type="dxa"/>
            </w:tcMar>
          </w:tcPr>
          <w:p w:rsidR="00000000" w:rsidP="00F831C9">
            <w:pPr>
              <w:pStyle w:val="BodyText"/>
              <w:rPr>
                <w:lang w:val="en-NZ"/>
              </w:rPr>
            </w:pPr>
            <w:r w:rsidRPr="00F831C9">
              <w:t>Personnel are encouraged to adopt changes which make improvements in individual and organisational effectiveness</w:t>
            </w:r>
          </w:p>
        </w:tc>
      </w:tr>
      <w:tr w:rsidTr="00F831C9">
        <w:tblPrEx>
          <w:tblW w:w="9370" w:type="dxa"/>
          <w:tblLayout w:type="fixed"/>
          <w:tblCellMar>
            <w:left w:w="62" w:type="dxa"/>
            <w:right w:w="62" w:type="dxa"/>
          </w:tblCellMar>
          <w:tblLook w:val="0000"/>
        </w:tblPrEx>
        <w:trPr>
          <w:gridAfter w:val="1"/>
          <w:wAfter w:w="190" w:type="dxa"/>
        </w:trPr>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6" w:type="dxa"/>
            <w:tcBorders>
              <w:top w:val="nil"/>
              <w:left w:val="nil"/>
              <w:bottom w:val="nil"/>
              <w:right w:val="nil"/>
            </w:tcBorders>
            <w:tcMar>
              <w:top w:w="0" w:type="dxa"/>
              <w:left w:w="62" w:type="dxa"/>
              <w:bottom w:w="0" w:type="dxa"/>
              <w:right w:w="62" w:type="dxa"/>
            </w:tcMar>
          </w:tcPr>
          <w:p w:rsidR="00000000" w:rsidP="00F831C9">
            <w:pPr>
              <w:pStyle w:val="BodyText"/>
              <w:rPr>
                <w:lang w:val="en-NZ"/>
              </w:rPr>
            </w:pPr>
            <w:r w:rsidRPr="00F831C9">
              <w:t>1.3</w:t>
            </w:r>
          </w:p>
        </w:tc>
        <w:tc>
          <w:tcPr>
            <w:tcW w:w="5594" w:type="dxa"/>
            <w:tcBorders>
              <w:top w:val="nil"/>
              <w:left w:val="nil"/>
              <w:bottom w:val="nil"/>
              <w:right w:val="nil"/>
            </w:tcBorders>
            <w:tcMar>
              <w:top w:w="0" w:type="dxa"/>
              <w:left w:w="62" w:type="dxa"/>
              <w:bottom w:w="0" w:type="dxa"/>
              <w:right w:w="62" w:type="dxa"/>
            </w:tcMar>
          </w:tcPr>
          <w:p w:rsidR="00000000" w:rsidP="00F831C9">
            <w:pPr>
              <w:pStyle w:val="BodyText"/>
              <w:rPr>
                <w:lang w:val="en-NZ"/>
              </w:rPr>
            </w:pPr>
            <w:r w:rsidRPr="00F831C9">
              <w:t>Opportunities and threats presented by change are identified and appropriate responses are planned</w:t>
            </w:r>
          </w:p>
        </w:tc>
      </w:tr>
      <w:tr w:rsidTr="00F831C9">
        <w:tblPrEx>
          <w:tblW w:w="9370" w:type="dxa"/>
          <w:tblLayout w:type="fixed"/>
          <w:tblCellMar>
            <w:left w:w="62" w:type="dxa"/>
            <w:right w:w="62" w:type="dxa"/>
          </w:tblCellMar>
          <w:tblLook w:val="0000"/>
        </w:tblPrEx>
        <w:trPr>
          <w:gridAfter w:val="1"/>
          <w:wAfter w:w="190" w:type="dxa"/>
        </w:trPr>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6" w:type="dxa"/>
            <w:tcBorders>
              <w:top w:val="nil"/>
              <w:left w:val="nil"/>
              <w:bottom w:val="nil"/>
              <w:right w:val="nil"/>
            </w:tcBorders>
            <w:tcMar>
              <w:top w:w="0" w:type="dxa"/>
              <w:left w:w="62" w:type="dxa"/>
              <w:bottom w:w="0" w:type="dxa"/>
              <w:right w:w="62" w:type="dxa"/>
            </w:tcMar>
          </w:tcPr>
          <w:p w:rsidR="00000000" w:rsidP="00F831C9">
            <w:pPr>
              <w:pStyle w:val="BodyText"/>
              <w:rPr>
                <w:lang w:val="en-NZ"/>
              </w:rPr>
            </w:pPr>
            <w:r w:rsidRPr="00F831C9">
              <w:t>1.4</w:t>
            </w:r>
          </w:p>
        </w:tc>
        <w:tc>
          <w:tcPr>
            <w:tcW w:w="5594" w:type="dxa"/>
            <w:tcBorders>
              <w:top w:val="nil"/>
              <w:left w:val="nil"/>
              <w:bottom w:val="nil"/>
              <w:right w:val="nil"/>
            </w:tcBorders>
            <w:tcMar>
              <w:top w:w="0" w:type="dxa"/>
              <w:left w:w="62" w:type="dxa"/>
              <w:bottom w:w="0" w:type="dxa"/>
              <w:right w:w="62" w:type="dxa"/>
            </w:tcMar>
          </w:tcPr>
          <w:p w:rsidR="00000000" w:rsidP="00F831C9">
            <w:pPr>
              <w:pStyle w:val="BodyText"/>
              <w:rPr>
                <w:lang w:val="en-NZ"/>
              </w:rPr>
            </w:pPr>
            <w:r w:rsidRPr="00F831C9">
              <w:t xml:space="preserve">Personnel are involved in designing and implementing </w:t>
            </w:r>
            <w:r w:rsidRPr="00F831C9">
              <w:t>change within organisational and regulatory guidelines</w:t>
            </w:r>
          </w:p>
        </w:tc>
      </w:tr>
      <w:tr w:rsidTr="00F831C9">
        <w:tblPrEx>
          <w:tblW w:w="9370" w:type="dxa"/>
          <w:tblLayout w:type="fixed"/>
          <w:tblCellMar>
            <w:left w:w="62" w:type="dxa"/>
            <w:right w:w="62" w:type="dxa"/>
          </w:tblCellMar>
          <w:tblLook w:val="0000"/>
        </w:tblPrEx>
        <w:trPr>
          <w:gridAfter w:val="1"/>
          <w:wAfter w:w="190" w:type="dxa"/>
        </w:trPr>
        <w:tc>
          <w:tcPr>
            <w:tcW w:w="630" w:type="dxa"/>
            <w:tcBorders>
              <w:top w:val="nil"/>
              <w:left w:val="nil"/>
              <w:bottom w:val="nil"/>
              <w:right w:val="nil"/>
            </w:tcBorders>
            <w:tcMar>
              <w:top w:w="0" w:type="dxa"/>
              <w:left w:w="62" w:type="dxa"/>
              <w:bottom w:w="0" w:type="dxa"/>
              <w:right w:w="62" w:type="dxa"/>
            </w:tcMar>
          </w:tcPr>
          <w:p w:rsidR="00000000" w:rsidP="00F831C9">
            <w:pPr>
              <w:pStyle w:val="BodyText"/>
              <w:rPr>
                <w:lang w:val="en-NZ"/>
              </w:rPr>
            </w:pPr>
            <w:r w:rsidRPr="00F831C9">
              <w:t>2.</w:t>
            </w:r>
          </w:p>
        </w:tc>
        <w:tc>
          <w:tcPr>
            <w:tcW w:w="2250" w:type="dxa"/>
            <w:tcBorders>
              <w:top w:val="nil"/>
              <w:left w:val="nil"/>
              <w:bottom w:val="nil"/>
              <w:right w:val="nil"/>
            </w:tcBorders>
            <w:tcMar>
              <w:top w:w="0" w:type="dxa"/>
              <w:left w:w="62" w:type="dxa"/>
              <w:bottom w:w="0" w:type="dxa"/>
              <w:right w:w="62" w:type="dxa"/>
            </w:tcMar>
          </w:tcPr>
          <w:p w:rsidR="00000000" w:rsidP="00F831C9">
            <w:pPr>
              <w:pStyle w:val="BodyText"/>
              <w:rPr>
                <w:lang w:val="en-NZ"/>
              </w:rPr>
            </w:pPr>
            <w:r w:rsidRPr="00F831C9">
              <w:t>Initiate change where necessary</w:t>
            </w:r>
          </w:p>
        </w:tc>
        <w:tc>
          <w:tcPr>
            <w:tcW w:w="706" w:type="dxa"/>
            <w:tcBorders>
              <w:top w:val="nil"/>
              <w:left w:val="nil"/>
              <w:bottom w:val="nil"/>
              <w:right w:val="nil"/>
            </w:tcBorders>
            <w:tcMar>
              <w:top w:w="0" w:type="dxa"/>
              <w:left w:w="62" w:type="dxa"/>
              <w:bottom w:w="0" w:type="dxa"/>
              <w:right w:w="62" w:type="dxa"/>
            </w:tcMar>
          </w:tcPr>
          <w:p w:rsidR="00000000" w:rsidP="00F831C9">
            <w:pPr>
              <w:pStyle w:val="BodyText"/>
              <w:rPr>
                <w:lang w:val="en-NZ"/>
              </w:rPr>
            </w:pPr>
            <w:r w:rsidRPr="00F831C9">
              <w:t>2.1</w:t>
            </w:r>
          </w:p>
        </w:tc>
        <w:tc>
          <w:tcPr>
            <w:tcW w:w="5594" w:type="dxa"/>
            <w:tcBorders>
              <w:top w:val="nil"/>
              <w:left w:val="nil"/>
              <w:bottom w:val="nil"/>
              <w:right w:val="nil"/>
            </w:tcBorders>
            <w:tcMar>
              <w:top w:w="0" w:type="dxa"/>
              <w:left w:w="62" w:type="dxa"/>
              <w:bottom w:w="0" w:type="dxa"/>
              <w:right w:w="62" w:type="dxa"/>
            </w:tcMar>
          </w:tcPr>
          <w:p w:rsidR="00000000" w:rsidP="00F831C9">
            <w:pPr>
              <w:pStyle w:val="BodyText"/>
              <w:rPr>
                <w:lang w:val="en-NZ"/>
              </w:rPr>
            </w:pPr>
            <w:r w:rsidRPr="00F831C9">
              <w:t>The proposed initiatives for bringing about improvements are supported within the organisation</w:t>
            </w:r>
          </w:p>
        </w:tc>
      </w:tr>
      <w:tr w:rsidTr="00F831C9">
        <w:tblPrEx>
          <w:tblW w:w="9370" w:type="dxa"/>
          <w:tblLayout w:type="fixed"/>
          <w:tblCellMar>
            <w:left w:w="62" w:type="dxa"/>
            <w:right w:w="62" w:type="dxa"/>
          </w:tblCellMar>
          <w:tblLook w:val="0000"/>
        </w:tblPrEx>
        <w:trPr>
          <w:gridAfter w:val="1"/>
          <w:wAfter w:w="190" w:type="dxa"/>
        </w:trPr>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6" w:type="dxa"/>
            <w:tcBorders>
              <w:top w:val="nil"/>
              <w:left w:val="nil"/>
              <w:bottom w:val="nil"/>
              <w:right w:val="nil"/>
            </w:tcBorders>
            <w:tcMar>
              <w:top w:w="0" w:type="dxa"/>
              <w:left w:w="62" w:type="dxa"/>
              <w:bottom w:w="0" w:type="dxa"/>
              <w:right w:w="62" w:type="dxa"/>
            </w:tcMar>
          </w:tcPr>
          <w:p w:rsidR="00000000" w:rsidP="00F831C9">
            <w:pPr>
              <w:pStyle w:val="BodyText"/>
              <w:rPr>
                <w:lang w:val="en-NZ"/>
              </w:rPr>
            </w:pPr>
            <w:r w:rsidRPr="00F831C9">
              <w:t>2.2</w:t>
            </w:r>
          </w:p>
        </w:tc>
        <w:tc>
          <w:tcPr>
            <w:tcW w:w="5594" w:type="dxa"/>
            <w:tcBorders>
              <w:top w:val="nil"/>
              <w:left w:val="nil"/>
              <w:bottom w:val="nil"/>
              <w:right w:val="nil"/>
            </w:tcBorders>
            <w:tcMar>
              <w:top w:w="0" w:type="dxa"/>
              <w:left w:w="62" w:type="dxa"/>
              <w:bottom w:w="0" w:type="dxa"/>
              <w:right w:w="62" w:type="dxa"/>
            </w:tcMar>
          </w:tcPr>
          <w:p w:rsidR="00000000" w:rsidP="00F831C9">
            <w:pPr>
              <w:pStyle w:val="BodyText"/>
              <w:rPr>
                <w:lang w:val="en-NZ"/>
              </w:rPr>
            </w:pPr>
            <w:r w:rsidRPr="00F831C9">
              <w:t>Change</w:t>
            </w:r>
            <w:r w:rsidRPr="00F831C9">
              <w:t xml:space="preserve"> for the better is initiated where necessary and is managed in a planned and constructive manner</w:t>
            </w:r>
          </w:p>
        </w:tc>
      </w:tr>
      <w:tr w:rsidTr="00F831C9">
        <w:tblPrEx>
          <w:tblW w:w="9370" w:type="dxa"/>
          <w:tblLayout w:type="fixed"/>
          <w:tblCellMar>
            <w:left w:w="62" w:type="dxa"/>
            <w:right w:w="62" w:type="dxa"/>
          </w:tblCellMar>
          <w:tblLook w:val="0000"/>
        </w:tblPrEx>
        <w:trPr>
          <w:gridAfter w:val="1"/>
          <w:wAfter w:w="190" w:type="dxa"/>
        </w:trPr>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6" w:type="dxa"/>
            <w:tcBorders>
              <w:top w:val="nil"/>
              <w:left w:val="nil"/>
              <w:bottom w:val="nil"/>
              <w:right w:val="nil"/>
            </w:tcBorders>
            <w:tcMar>
              <w:top w:w="0" w:type="dxa"/>
              <w:left w:w="62" w:type="dxa"/>
              <w:bottom w:w="0" w:type="dxa"/>
              <w:right w:w="62" w:type="dxa"/>
            </w:tcMar>
          </w:tcPr>
          <w:p w:rsidR="00000000" w:rsidP="00F831C9">
            <w:pPr>
              <w:pStyle w:val="BodyText"/>
              <w:rPr>
                <w:lang w:val="en-NZ"/>
              </w:rPr>
            </w:pPr>
            <w:r w:rsidRPr="00F831C9">
              <w:t>2.3</w:t>
            </w:r>
          </w:p>
        </w:tc>
        <w:tc>
          <w:tcPr>
            <w:tcW w:w="5594" w:type="dxa"/>
            <w:tcBorders>
              <w:top w:val="nil"/>
              <w:left w:val="nil"/>
              <w:bottom w:val="nil"/>
              <w:right w:val="nil"/>
            </w:tcBorders>
            <w:tcMar>
              <w:top w:w="0" w:type="dxa"/>
              <w:left w:w="62" w:type="dxa"/>
              <w:bottom w:w="0" w:type="dxa"/>
              <w:right w:w="62" w:type="dxa"/>
            </w:tcMar>
          </w:tcPr>
          <w:p w:rsidR="00000000" w:rsidRPr="00F831C9" w:rsidP="00F831C9">
            <w:pPr>
              <w:pStyle w:val="BodyText"/>
            </w:pPr>
            <w:r w:rsidRPr="00F831C9">
              <w:t>Consultative processes are initiated</w:t>
            </w:r>
          </w:p>
        </w:tc>
      </w:tr>
    </w:tbl>
    <w:p w:rsidR="00000000" w:rsidRPr="00F831C9" w:rsidP="00F831C9">
      <w:pPr>
        <w:pStyle w:val="BodyText"/>
      </w:pPr>
    </w:p>
    <w:p w:rsidR="00000000" w:rsidRPr="00F831C9" w:rsidP="00F831C9">
      <w:pPr>
        <w:pStyle w:val="AllowPageBreak"/>
      </w:pPr>
    </w:p>
    <w:p w:rsidR="00000000" w:rsidRPr="00F831C9" w:rsidP="00F831C9">
      <w:pPr>
        <w:pStyle w:val="Heading1"/>
      </w:pPr>
      <w:bookmarkStart w:id="7" w:name="O_719140"/>
      <w:bookmarkEnd w:id="7"/>
      <w:r w:rsidRPr="00F831C9">
        <w:t>Foundation Skills</w:t>
      </w:r>
    </w:p>
    <w:p w:rsidR="00000000" w:rsidRPr="00F831C9" w:rsidP="00C5611A">
      <w:pPr>
        <w:pStyle w:val="BodyText"/>
      </w:pPr>
      <w:r w:rsidRPr="00F831C9">
        <w:t>Foundation skills essential to performance are explicit in the performance criteria of this unit of competency.</w:t>
      </w:r>
    </w:p>
    <w:p w:rsidR="00000000" w:rsidRPr="00F831C9" w:rsidP="00F831C9">
      <w:pPr>
        <w:pStyle w:val="Heading1"/>
      </w:pPr>
      <w:bookmarkStart w:id="8" w:name="O_719139"/>
      <w:bookmarkEnd w:id="8"/>
      <w:r w:rsidRPr="00F831C9">
        <w:t>Range of Conditions</w:t>
      </w:r>
    </w:p>
    <w:tbl>
      <w:tblPr>
        <w:tblW w:w="0" w:type="auto"/>
        <w:tblLayout w:type="fixed"/>
        <w:tblCellMar>
          <w:left w:w="62" w:type="dxa"/>
          <w:right w:w="62" w:type="dxa"/>
        </w:tblCellMar>
        <w:tblLook w:val="0000"/>
      </w:tblPr>
      <w:tblGrid>
        <w:gridCol w:w="2970"/>
        <w:gridCol w:w="6102"/>
      </w:tblGrid>
      <w:tr w:rsidTr="00F831C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831C9">
            <w:pPr>
              <w:pStyle w:val="BodyText"/>
              <w:rPr>
                <w:lang w:val="en-NZ"/>
              </w:rPr>
            </w:pPr>
            <w:r w:rsidRPr="00F831C9">
              <w:t>This field allows for different work environments and conditions that may affect performance. Essential ope</w:t>
            </w:r>
            <w:r w:rsidRPr="00F831C9">
              <w:t>rating conditions that may be present (depending on the work situation, needs of the candidate, accessibility of the item, and local industry and regional contexts) are included.</w:t>
            </w:r>
          </w:p>
        </w:tc>
      </w:tr>
      <w:tr w:rsidTr="00F831C9">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F831C9">
            <w:pPr>
              <w:pStyle w:val="BodyText"/>
              <w:rPr>
                <w:lang w:val="en-NZ"/>
              </w:rPr>
            </w:pPr>
            <w:r w:rsidRPr="00F831C9">
              <w:rPr>
                <w:rStyle w:val="SpecialBold"/>
              </w:rPr>
              <w:t>Change results from:</w:t>
            </w:r>
          </w:p>
        </w:tc>
        <w:tc>
          <w:tcPr>
            <w:tcW w:w="6102" w:type="dxa"/>
            <w:tcBorders>
              <w:top w:val="nil"/>
              <w:left w:val="nil"/>
              <w:bottom w:val="nil"/>
              <w:right w:val="nil"/>
            </w:tcBorders>
            <w:tcMar>
              <w:top w:w="0" w:type="dxa"/>
              <w:left w:w="62" w:type="dxa"/>
              <w:bottom w:w="0" w:type="dxa"/>
              <w:right w:w="62" w:type="dxa"/>
            </w:tcMar>
          </w:tcPr>
          <w:p w:rsidR="00000000" w:rsidRPr="00F831C9" w:rsidP="00F831C9">
            <w:pPr>
              <w:pStyle w:val="ListBullet"/>
            </w:pPr>
            <w:r w:rsidRPr="00F831C9">
              <w:t>Technology</w:t>
            </w:r>
          </w:p>
          <w:p w:rsidR="00000000" w:rsidRPr="00F831C9" w:rsidP="00F831C9">
            <w:pPr>
              <w:pStyle w:val="ListBullet"/>
            </w:pPr>
            <w:r w:rsidRPr="00F831C9">
              <w:t>Procedures</w:t>
            </w:r>
          </w:p>
          <w:p w:rsidR="00000000" w:rsidRPr="00F831C9" w:rsidP="00F831C9">
            <w:pPr>
              <w:pStyle w:val="ListBullet"/>
            </w:pPr>
            <w:r w:rsidRPr="00F831C9">
              <w:t>Policy</w:t>
            </w:r>
          </w:p>
          <w:p w:rsidR="00000000" w:rsidRPr="00F831C9" w:rsidP="00F831C9">
            <w:pPr>
              <w:pStyle w:val="ListBullet"/>
            </w:pPr>
            <w:r w:rsidRPr="00F831C9">
              <w:t>Government legislation</w:t>
            </w:r>
          </w:p>
          <w:p w:rsidR="00000000" w:rsidRPr="00F831C9" w:rsidP="00F831C9">
            <w:pPr>
              <w:pStyle w:val="ListBullet"/>
            </w:pPr>
            <w:r w:rsidRPr="00F831C9">
              <w:t>Regulations</w:t>
            </w:r>
          </w:p>
          <w:p w:rsidR="00000000" w:rsidRPr="00F831C9" w:rsidP="00F831C9">
            <w:pPr>
              <w:pStyle w:val="ListBullet"/>
            </w:pPr>
            <w:r w:rsidRPr="00F831C9">
              <w:t>Personnel</w:t>
            </w:r>
          </w:p>
          <w:p w:rsidR="00000000" w:rsidRPr="00F831C9" w:rsidP="00F831C9">
            <w:pPr>
              <w:pStyle w:val="ListBullet"/>
            </w:pPr>
            <w:r w:rsidRPr="00F831C9">
              <w:t>Finance</w:t>
            </w:r>
          </w:p>
          <w:p w:rsidR="00000000" w:rsidP="00F831C9">
            <w:pPr>
              <w:pStyle w:val="ListBullet"/>
              <w:rPr>
                <w:lang w:val="en-NZ"/>
              </w:rPr>
            </w:pPr>
            <w:r w:rsidRPr="00F831C9">
              <w:t>Ongoing evaluation and feedback</w:t>
            </w:r>
          </w:p>
        </w:tc>
      </w:tr>
      <w:tr w:rsidTr="00F831C9">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F831C9">
            <w:pPr>
              <w:pStyle w:val="BodyText"/>
              <w:rPr>
                <w:lang w:val="en-NZ"/>
              </w:rPr>
            </w:pPr>
            <w:r w:rsidRPr="00F831C9">
              <w:rPr>
                <w:rStyle w:val="SpecialBold"/>
              </w:rPr>
              <w:t>Opportunities include:</w:t>
            </w:r>
          </w:p>
        </w:tc>
        <w:tc>
          <w:tcPr>
            <w:tcW w:w="6102" w:type="dxa"/>
            <w:tcBorders>
              <w:top w:val="nil"/>
              <w:left w:val="nil"/>
              <w:bottom w:val="nil"/>
              <w:right w:val="nil"/>
            </w:tcBorders>
            <w:tcMar>
              <w:top w:w="0" w:type="dxa"/>
              <w:left w:w="62" w:type="dxa"/>
              <w:bottom w:w="0" w:type="dxa"/>
              <w:right w:w="62" w:type="dxa"/>
            </w:tcMar>
          </w:tcPr>
          <w:p w:rsidR="00000000" w:rsidRPr="00F831C9" w:rsidP="00F831C9">
            <w:pPr>
              <w:pStyle w:val="ListBullet"/>
            </w:pPr>
            <w:r w:rsidRPr="00F831C9">
              <w:t>Improved maintenance procedures that decrease maintenance times and/or man-hours</w:t>
            </w:r>
          </w:p>
          <w:p w:rsidR="00000000" w:rsidRPr="00F831C9" w:rsidP="00F831C9">
            <w:pPr>
              <w:pStyle w:val="ListBullet"/>
            </w:pPr>
            <w:r w:rsidRPr="00F831C9">
              <w:t>Improved procedures for the management of maintenance or logistic support activities</w:t>
            </w:r>
          </w:p>
          <w:p w:rsidR="00000000" w:rsidRPr="00F831C9" w:rsidP="00F831C9">
            <w:pPr>
              <w:pStyle w:val="ListBullet"/>
            </w:pPr>
            <w:r w:rsidRPr="00F831C9">
              <w:t>Imp</w:t>
            </w:r>
            <w:r w:rsidRPr="00F831C9">
              <w:t>rovements in physical working conditions</w:t>
            </w:r>
          </w:p>
          <w:p w:rsidR="00000000" w:rsidRPr="00F831C9" w:rsidP="00F831C9">
            <w:pPr>
              <w:pStyle w:val="ListBullet"/>
            </w:pPr>
            <w:r w:rsidRPr="00F831C9">
              <w:t>Adoption of more effective tooling or support equipment</w:t>
            </w:r>
          </w:p>
          <w:p w:rsidR="00000000" w:rsidP="00F831C9">
            <w:pPr>
              <w:pStyle w:val="ListBullet"/>
              <w:rPr>
                <w:lang w:val="en-NZ"/>
              </w:rPr>
            </w:pPr>
            <w:r w:rsidRPr="00F831C9">
              <w:t>Improvements to maintenance data</w:t>
            </w:r>
          </w:p>
        </w:tc>
      </w:tr>
      <w:tr w:rsidTr="00F831C9">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F831C9">
            <w:pPr>
              <w:pStyle w:val="BodyText"/>
              <w:rPr>
                <w:lang w:val="en-NZ"/>
              </w:rPr>
            </w:pPr>
            <w:r w:rsidRPr="00F831C9">
              <w:rPr>
                <w:rStyle w:val="SpecialBold"/>
              </w:rPr>
              <w:t>Threats include:</w:t>
            </w:r>
          </w:p>
        </w:tc>
        <w:tc>
          <w:tcPr>
            <w:tcW w:w="6102" w:type="dxa"/>
            <w:tcBorders>
              <w:top w:val="nil"/>
              <w:left w:val="nil"/>
              <w:bottom w:val="nil"/>
              <w:right w:val="nil"/>
            </w:tcBorders>
            <w:tcMar>
              <w:top w:w="0" w:type="dxa"/>
              <w:left w:w="62" w:type="dxa"/>
              <w:bottom w:w="0" w:type="dxa"/>
              <w:right w:w="62" w:type="dxa"/>
            </w:tcMar>
          </w:tcPr>
          <w:p w:rsidR="00000000" w:rsidRPr="00F831C9" w:rsidP="00F831C9">
            <w:pPr>
              <w:pStyle w:val="ListBullet"/>
            </w:pPr>
            <w:r w:rsidRPr="00F831C9">
              <w:t>Adoption of changes that are in violation of regulatory requirements</w:t>
            </w:r>
          </w:p>
          <w:p w:rsidR="00000000" w:rsidRPr="00F831C9" w:rsidP="00F831C9">
            <w:pPr>
              <w:pStyle w:val="ListBullet"/>
            </w:pPr>
            <w:r w:rsidRPr="00F831C9">
              <w:t>Adoption of changes that are in violation of organisational policy or procedures</w:t>
            </w:r>
          </w:p>
          <w:p w:rsidR="00000000" w:rsidRPr="00F831C9" w:rsidP="00F831C9">
            <w:pPr>
              <w:pStyle w:val="ListBullet"/>
            </w:pPr>
            <w:r w:rsidRPr="00F831C9">
              <w:t>Failure to recognise additional training or authorisation requirements</w:t>
            </w:r>
          </w:p>
          <w:p w:rsidR="00000000" w:rsidRPr="00F831C9" w:rsidP="00F831C9">
            <w:pPr>
              <w:pStyle w:val="ListBullet"/>
            </w:pPr>
            <w:r w:rsidRPr="00F831C9">
              <w:t>Failure to fully comply with relevant work health and safety (WHS) legislation</w:t>
            </w:r>
          </w:p>
          <w:p w:rsidR="00000000" w:rsidRPr="00F831C9" w:rsidP="00F831C9">
            <w:pPr>
              <w:pStyle w:val="ListBullet"/>
            </w:pPr>
            <w:r w:rsidRPr="00F831C9">
              <w:t>Failure to get the full s</w:t>
            </w:r>
            <w:r w:rsidRPr="00F831C9">
              <w:t>upport of all stakeholders, including those in other parts of the overall maintenance and logistic support organisation</w:t>
            </w:r>
          </w:p>
          <w:p w:rsidR="00000000" w:rsidP="00F831C9">
            <w:pPr>
              <w:pStyle w:val="ListBullet"/>
              <w:rPr>
                <w:lang w:val="en-NZ"/>
              </w:rPr>
            </w:pPr>
            <w:r w:rsidRPr="00F831C9">
              <w:t>Failure to recognise a need for changes to industrial awards or agreements</w:t>
            </w:r>
          </w:p>
        </w:tc>
      </w:tr>
      <w:tr w:rsidTr="00F831C9">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F831C9">
            <w:pPr>
              <w:pStyle w:val="BodyText"/>
              <w:rPr>
                <w:lang w:val="en-NZ"/>
              </w:rPr>
            </w:pPr>
            <w:r w:rsidRPr="00F831C9">
              <w:rPr>
                <w:rStyle w:val="SpecialBold"/>
              </w:rPr>
              <w:t>Organisational and regulatory guidelines include:</w:t>
            </w:r>
          </w:p>
        </w:tc>
        <w:tc>
          <w:tcPr>
            <w:tcW w:w="6102" w:type="dxa"/>
            <w:tcBorders>
              <w:top w:val="nil"/>
              <w:left w:val="nil"/>
              <w:bottom w:val="nil"/>
              <w:right w:val="nil"/>
            </w:tcBorders>
            <w:tcMar>
              <w:top w:w="0" w:type="dxa"/>
              <w:left w:w="62" w:type="dxa"/>
              <w:bottom w:w="0" w:type="dxa"/>
              <w:right w:w="62" w:type="dxa"/>
            </w:tcMar>
          </w:tcPr>
          <w:p w:rsidR="00000000" w:rsidRPr="00F831C9" w:rsidP="00F831C9">
            <w:pPr>
              <w:pStyle w:val="ListBullet"/>
            </w:pPr>
            <w:r w:rsidRPr="00F831C9">
              <w:t>Civil Avi</w:t>
            </w:r>
            <w:r w:rsidRPr="00F831C9">
              <w:t>ation Regulations (CARs) and associated Advisory Circulars (ACs)</w:t>
            </w:r>
          </w:p>
          <w:p w:rsidR="00000000" w:rsidRPr="00F831C9" w:rsidP="00F831C9">
            <w:pPr>
              <w:pStyle w:val="ListBullet"/>
            </w:pPr>
            <w:r w:rsidRPr="00F831C9">
              <w:t>Civil Aviation Safety Regulations (CASRs), Manuals of Standards and associated Acceptable Means of Compliance and Guidance Material</w:t>
            </w:r>
          </w:p>
          <w:p w:rsidR="00000000" w:rsidRPr="00F831C9" w:rsidP="00F831C9">
            <w:pPr>
              <w:pStyle w:val="ListBullet"/>
            </w:pPr>
            <w:r w:rsidRPr="00F831C9">
              <w:t>AAP 7001.053 Technical Airworthiness Management Manual</w:t>
            </w:r>
          </w:p>
          <w:p w:rsidR="00000000" w:rsidRPr="00F831C9" w:rsidP="00F831C9">
            <w:pPr>
              <w:pStyle w:val="ListBullet"/>
            </w:pPr>
            <w:r w:rsidRPr="00F831C9">
              <w:t>Defe</w:t>
            </w:r>
            <w:r w:rsidRPr="00F831C9">
              <w:t>nce regulations and instructions</w:t>
            </w:r>
          </w:p>
          <w:p w:rsidR="00000000" w:rsidRPr="00F831C9" w:rsidP="00F831C9">
            <w:pPr>
              <w:pStyle w:val="ListBullet"/>
            </w:pPr>
            <w:r w:rsidRPr="00F831C9">
              <w:t>Maintenance organisation expositions</w:t>
            </w:r>
          </w:p>
          <w:p w:rsidR="00000000" w:rsidRPr="00F831C9" w:rsidP="00F831C9">
            <w:pPr>
              <w:pStyle w:val="ListBullet"/>
            </w:pPr>
            <w:r w:rsidRPr="00F831C9">
              <w:t>Continuing airworthiness management organisation expositions</w:t>
            </w:r>
          </w:p>
          <w:p w:rsidR="00000000" w:rsidRPr="00F831C9" w:rsidP="00F831C9">
            <w:pPr>
              <w:pStyle w:val="ListBullet"/>
            </w:pPr>
            <w:r w:rsidRPr="00F831C9">
              <w:t>Quality manuals</w:t>
            </w:r>
          </w:p>
          <w:p w:rsidR="00000000" w:rsidRPr="00F831C9" w:rsidP="00F831C9">
            <w:pPr>
              <w:pStyle w:val="ListBullet"/>
            </w:pPr>
            <w:r w:rsidRPr="00F831C9">
              <w:t>Procedures manuals</w:t>
            </w:r>
          </w:p>
          <w:p w:rsidR="00000000" w:rsidRPr="00F831C9" w:rsidP="00F831C9">
            <w:pPr>
              <w:pStyle w:val="ListBullet"/>
            </w:pPr>
            <w:r w:rsidRPr="00F831C9">
              <w:t>Standing instructions</w:t>
            </w:r>
          </w:p>
          <w:p w:rsidR="00000000" w:rsidRPr="00F831C9" w:rsidP="00F831C9">
            <w:pPr>
              <w:pStyle w:val="ListBullet"/>
            </w:pPr>
            <w:r w:rsidRPr="00F831C9">
              <w:t>Work instructions</w:t>
            </w:r>
          </w:p>
          <w:p w:rsidR="00000000" w:rsidP="00F831C9">
            <w:pPr>
              <w:pStyle w:val="ListBullet"/>
              <w:rPr>
                <w:lang w:val="en-NZ"/>
              </w:rPr>
            </w:pPr>
            <w:r w:rsidRPr="00F831C9">
              <w:t>WHS legislation (state/territory and Commonwealth)</w:t>
            </w:r>
          </w:p>
        </w:tc>
      </w:tr>
      <w:tr w:rsidTr="00F831C9">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F831C9">
            <w:pPr>
              <w:pStyle w:val="BodyText"/>
              <w:rPr>
                <w:lang w:val="en-NZ"/>
              </w:rPr>
            </w:pPr>
            <w:r w:rsidRPr="00F831C9">
              <w:rPr>
                <w:rStyle w:val="SpecialBold"/>
              </w:rPr>
              <w:t>Initiatives for bringing about improvements arise from:</w:t>
            </w:r>
          </w:p>
        </w:tc>
        <w:tc>
          <w:tcPr>
            <w:tcW w:w="6102" w:type="dxa"/>
            <w:tcBorders>
              <w:top w:val="nil"/>
              <w:left w:val="nil"/>
              <w:bottom w:val="nil"/>
              <w:right w:val="nil"/>
            </w:tcBorders>
            <w:tcMar>
              <w:top w:w="0" w:type="dxa"/>
              <w:left w:w="62" w:type="dxa"/>
              <w:bottom w:w="0" w:type="dxa"/>
              <w:right w:w="62" w:type="dxa"/>
            </w:tcMar>
          </w:tcPr>
          <w:p w:rsidR="00000000" w:rsidRPr="00F831C9" w:rsidP="00F831C9">
            <w:pPr>
              <w:pStyle w:val="ListBullet"/>
            </w:pPr>
            <w:r w:rsidRPr="00F831C9">
              <w:t>Changes to organisational policy and procedures</w:t>
            </w:r>
          </w:p>
          <w:p w:rsidR="00000000" w:rsidRPr="00F831C9" w:rsidP="00F831C9">
            <w:pPr>
              <w:pStyle w:val="ListBullet"/>
            </w:pPr>
            <w:r w:rsidRPr="00F831C9">
              <w:t>Reform of regulations</w:t>
            </w:r>
          </w:p>
          <w:p w:rsidR="00000000" w:rsidRPr="00F831C9" w:rsidP="00F831C9">
            <w:pPr>
              <w:pStyle w:val="ListBullet"/>
            </w:pPr>
            <w:r w:rsidRPr="00F831C9">
              <w:t>Changes to training and authorisation requirements</w:t>
            </w:r>
          </w:p>
          <w:p w:rsidR="00000000" w:rsidRPr="00F831C9" w:rsidP="00F831C9">
            <w:pPr>
              <w:pStyle w:val="ListBullet"/>
            </w:pPr>
            <w:r w:rsidRPr="00F831C9">
              <w:t>Management review processes</w:t>
            </w:r>
          </w:p>
          <w:p w:rsidR="00000000" w:rsidRPr="00F831C9" w:rsidP="00F831C9">
            <w:pPr>
              <w:pStyle w:val="ListBullet"/>
            </w:pPr>
            <w:r w:rsidRPr="00F831C9">
              <w:t>Suggestions from individual stakeholders</w:t>
            </w:r>
          </w:p>
          <w:p w:rsidR="00000000" w:rsidRPr="00F831C9" w:rsidP="00F831C9">
            <w:pPr>
              <w:pStyle w:val="ListBullet"/>
            </w:pPr>
            <w:r w:rsidRPr="00F831C9">
              <w:t>Availab</w:t>
            </w:r>
            <w:r w:rsidRPr="00F831C9">
              <w:t>ility of new tools or support equipment</w:t>
            </w:r>
          </w:p>
          <w:p w:rsidR="00000000" w:rsidRPr="00F831C9" w:rsidP="00F831C9">
            <w:pPr>
              <w:pStyle w:val="ListBullet"/>
            </w:pPr>
            <w:r w:rsidRPr="00F831C9">
              <w:t>Availability of new management technology</w:t>
            </w:r>
          </w:p>
          <w:p w:rsidR="00000000" w:rsidRPr="00F831C9" w:rsidP="00F831C9">
            <w:pPr>
              <w:pStyle w:val="ListBullet"/>
            </w:pPr>
            <w:r w:rsidRPr="00F831C9">
              <w:t>Industry or original equipment manufacturer periodicals and newsletters</w:t>
            </w:r>
          </w:p>
          <w:p w:rsidR="00000000" w:rsidP="00F831C9">
            <w:pPr>
              <w:pStyle w:val="ListBullet"/>
              <w:rPr>
                <w:lang w:val="en-NZ"/>
              </w:rPr>
            </w:pPr>
            <w:r w:rsidRPr="00F831C9">
              <w:t>Feedback from other operators of the aircraft type or item of aeronautical product</w:t>
            </w:r>
          </w:p>
        </w:tc>
      </w:tr>
      <w:tr w:rsidTr="00F831C9">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F831C9">
            <w:pPr>
              <w:pStyle w:val="BodyText"/>
              <w:rPr>
                <w:lang w:val="en-NZ"/>
              </w:rPr>
            </w:pPr>
            <w:r w:rsidRPr="00F831C9">
              <w:rPr>
                <w:rStyle w:val="SpecialBold"/>
              </w:rPr>
              <w:t>Consultative processes include:</w:t>
            </w:r>
          </w:p>
        </w:tc>
        <w:tc>
          <w:tcPr>
            <w:tcW w:w="6102" w:type="dxa"/>
            <w:tcBorders>
              <w:top w:val="nil"/>
              <w:left w:val="nil"/>
              <w:bottom w:val="nil"/>
              <w:right w:val="nil"/>
            </w:tcBorders>
            <w:tcMar>
              <w:top w:w="0" w:type="dxa"/>
              <w:left w:w="62" w:type="dxa"/>
              <w:bottom w:w="0" w:type="dxa"/>
              <w:right w:w="62" w:type="dxa"/>
            </w:tcMar>
          </w:tcPr>
          <w:p w:rsidR="00000000" w:rsidRPr="00F831C9" w:rsidP="00F831C9">
            <w:pPr>
              <w:pStyle w:val="ListBullet"/>
            </w:pPr>
            <w:r w:rsidRPr="00F831C9">
              <w:t>Consultation with regulators where the change has a regulatory component</w:t>
            </w:r>
          </w:p>
          <w:p w:rsidR="00000000" w:rsidRPr="00F831C9" w:rsidP="00F831C9">
            <w:pPr>
              <w:pStyle w:val="ListBullet"/>
            </w:pPr>
            <w:r w:rsidRPr="00F831C9">
              <w:t>Consultation with higher management where organisational policy and procedures are involved</w:t>
            </w:r>
          </w:p>
          <w:p w:rsidR="00000000" w:rsidRPr="00F831C9" w:rsidP="00F831C9">
            <w:pPr>
              <w:pStyle w:val="ListBullet"/>
            </w:pPr>
            <w:r w:rsidRPr="00F831C9">
              <w:t>Consultation with stakeholders elsewhere in the logistic s</w:t>
            </w:r>
            <w:r w:rsidRPr="00F831C9">
              <w:t>upport network</w:t>
            </w:r>
          </w:p>
          <w:p w:rsidR="00000000" w:rsidRPr="00F831C9" w:rsidP="00F831C9">
            <w:pPr>
              <w:pStyle w:val="ListBullet"/>
            </w:pPr>
            <w:r w:rsidRPr="00F831C9">
              <w:t>Consultation at all levels in the relevant area of the aviation maintenance environment</w:t>
            </w:r>
          </w:p>
          <w:p w:rsidR="00000000" w:rsidRPr="00F831C9" w:rsidP="00F831C9">
            <w:pPr>
              <w:pStyle w:val="ListBullet"/>
            </w:pPr>
            <w:r w:rsidRPr="00F831C9">
              <w:t>Consultation with stakeholders in the industrial relations system</w:t>
            </w:r>
          </w:p>
          <w:p w:rsidR="00000000" w:rsidRPr="00F831C9" w:rsidP="00F831C9">
            <w:pPr>
              <w:pStyle w:val="ListBullet"/>
            </w:pPr>
            <w:r w:rsidRPr="00F831C9">
              <w:t>Consultation with suppliers of management systems, tooling or support equipment</w:t>
            </w:r>
          </w:p>
        </w:tc>
      </w:tr>
    </w:tbl>
    <w:p w:rsidR="00000000" w:rsidRPr="00F831C9" w:rsidP="00F831C9">
      <w:pPr>
        <w:pStyle w:val="BodyText"/>
      </w:pPr>
    </w:p>
    <w:p w:rsidR="00000000" w:rsidRPr="00F831C9" w:rsidP="00F831C9">
      <w:pPr>
        <w:pStyle w:val="AllowPageBreak"/>
      </w:pPr>
    </w:p>
    <w:p w:rsidR="00000000" w:rsidRPr="00F831C9" w:rsidP="00F831C9">
      <w:pPr>
        <w:pStyle w:val="Heading1"/>
      </w:pPr>
      <w:bookmarkStart w:id="9" w:name="O_719138"/>
      <w:bookmarkEnd w:id="9"/>
      <w:r w:rsidRPr="00F831C9">
        <w:t>Unit Mapping Information</w:t>
      </w:r>
    </w:p>
    <w:p w:rsidR="00000000" w:rsidRPr="00F831C9" w:rsidP="00C5611A">
      <w:pPr>
        <w:pStyle w:val="BodyText"/>
      </w:pPr>
      <w:r w:rsidRPr="00F831C9">
        <w:t>Release 1 – equivalent to MEA124B Coordinate change programs in the aviation maintenance environment</w:t>
      </w:r>
    </w:p>
    <w:p w:rsidR="00000000" w:rsidRPr="00F831C9" w:rsidP="00F831C9">
      <w:pPr>
        <w:pStyle w:val="Heading1"/>
      </w:pPr>
      <w:bookmarkStart w:id="10" w:name="O_719131"/>
      <w:bookmarkEnd w:id="10"/>
      <w:r w:rsidRPr="00F831C9">
        <w:t>Links</w:t>
      </w:r>
    </w:p>
    <w:p w:rsidR="00000000" w:rsidRPr="00F831C9" w:rsidP="00C5611A">
      <w:pPr>
        <w:pStyle w:val="BodyText"/>
      </w:pPr>
      <w:r w:rsidRPr="00F831C9">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F56F7D">
        <w:rPr>
          <w:rStyle w:val="Hyperlink"/>
        </w:rPr>
        <w:t>https://vetnet.gov.au/Pages/TrainingDocs.aspx?q=ce216c9c-04d5-4b3b-9bcf-4e81d0950371</w:t>
      </w:r>
      <w:r>
        <w:fldChar w:fldCharType="end"/>
      </w:r>
    </w:p>
    <w:p w:rsidR="00000000" w:rsidRPr="00F831C9" w:rsidP="00C5611A">
      <w:pPr>
        <w:pStyle w:val="BodyText"/>
        <w:sectPr w:rsidSect="00F831C9">
          <w:headerReference w:type="default" r:id="rId10"/>
          <w:footerReference w:type="default" r:id="rId11"/>
          <w:pgSz w:w="11908" w:h="16833"/>
          <w:pgMar w:top="1702" w:right="1418" w:bottom="1702" w:left="1418" w:header="992" w:footer="992" w:gutter="0"/>
          <w:cols w:space="720"/>
          <w:noEndnote/>
          <w:docGrid w:linePitch="299"/>
        </w:sectPr>
      </w:pPr>
    </w:p>
    <w:p w:rsidR="00000000" w:rsidRPr="00F831C9" w:rsidP="00F831C9">
      <w:pPr>
        <w:pStyle w:val="SuperHeading"/>
      </w:pPr>
      <w:r w:rsidRPr="00F831C9">
        <w:t>Assessment Requirements for MEA124 Coordinate change programs in the aviation maintenance environment</w:t>
      </w:r>
    </w:p>
    <w:p w:rsidR="00000000" w:rsidRPr="00F831C9" w:rsidP="00F831C9">
      <w:pPr>
        <w:pStyle w:val="Heading1"/>
      </w:pPr>
      <w:bookmarkStart w:id="11" w:name="O_719133"/>
      <w:bookmarkEnd w:id="11"/>
      <w:r w:rsidRPr="00F831C9">
        <w:t>Modification History</w:t>
      </w:r>
    </w:p>
    <w:p w:rsidR="00000000" w:rsidRPr="00F831C9" w:rsidP="00C5611A">
      <w:pPr>
        <w:pStyle w:val="BodyText"/>
      </w:pPr>
      <w:r w:rsidRPr="00F831C9">
        <w:t>Release 1 - New</w:t>
      </w:r>
      <w:r w:rsidRPr="00F831C9">
        <w:t xml:space="preserve"> unit of competency</w:t>
      </w:r>
    </w:p>
    <w:p w:rsidR="00000000" w:rsidRPr="00F831C9" w:rsidP="00F831C9">
      <w:pPr>
        <w:pStyle w:val="Heading1"/>
      </w:pPr>
      <w:bookmarkStart w:id="12" w:name="O_719136"/>
      <w:bookmarkEnd w:id="12"/>
      <w:r w:rsidRPr="00F831C9">
        <w:t>Performance Evidence</w:t>
      </w:r>
    </w:p>
    <w:p w:rsidR="00000000" w:rsidRPr="00F831C9" w:rsidP="00C5611A">
      <w:pPr>
        <w:pStyle w:val="BodyText"/>
      </w:pPr>
      <w:r w:rsidRPr="00F831C9">
        <w:t>Evidence required to demonstrate competency in this unit must be relevant to and satisfy all of the requirements of the elements and performance criteria under the specified conditions of assessment</w:t>
      </w:r>
      <w:r w:rsidRPr="00F831C9">
        <w:t xml:space="preserve"> on at least one occasion, and must include:</w:t>
      </w:r>
    </w:p>
    <w:p w:rsidR="00000000" w:rsidRPr="00F831C9" w:rsidP="00F831C9">
      <w:pPr>
        <w:pStyle w:val="ListBullet"/>
      </w:pPr>
      <w:r w:rsidRPr="00F831C9">
        <w:t>interpersonal communication</w:t>
      </w:r>
    </w:p>
    <w:p w:rsidR="00000000" w:rsidRPr="00F831C9" w:rsidP="00F831C9">
      <w:pPr>
        <w:pStyle w:val="ListBullet"/>
      </w:pPr>
      <w:r w:rsidRPr="00F831C9">
        <w:t>analysis techniques</w:t>
      </w:r>
    </w:p>
    <w:p w:rsidR="00000000" w:rsidRPr="00F831C9" w:rsidP="00F831C9">
      <w:pPr>
        <w:pStyle w:val="ListBullet"/>
      </w:pPr>
      <w:r w:rsidRPr="00F831C9">
        <w:t>problem solving</w:t>
      </w:r>
    </w:p>
    <w:p w:rsidR="00000000" w:rsidRPr="00F831C9" w:rsidP="00F831C9">
      <w:pPr>
        <w:pStyle w:val="ListBullet"/>
      </w:pPr>
      <w:r w:rsidRPr="00F831C9">
        <w:t>team skills</w:t>
      </w:r>
    </w:p>
    <w:p w:rsidR="00C5611A" w:rsidP="00F831C9">
      <w:pPr>
        <w:pStyle w:val="ListBullet"/>
      </w:pPr>
      <w:r w:rsidRPr="00F831C9">
        <w:t>monitoring and observation.</w:t>
      </w:r>
    </w:p>
    <w:p w:rsidR="00C5611A" w:rsidP="00F831C9">
      <w:pPr>
        <w:pStyle w:val="ListBullet"/>
      </w:pPr>
    </w:p>
    <w:p w:rsidR="00000000" w:rsidRPr="00F831C9" w:rsidP="00F831C9">
      <w:pPr>
        <w:pStyle w:val="Heading1"/>
      </w:pPr>
      <w:bookmarkStart w:id="13" w:name="O_719135"/>
      <w:bookmarkEnd w:id="13"/>
      <w:r w:rsidRPr="00F831C9">
        <w:t>Knowledge Evidence</w:t>
      </w:r>
    </w:p>
    <w:p w:rsidR="00000000" w:rsidRPr="00F831C9" w:rsidP="00C5611A">
      <w:pPr>
        <w:pStyle w:val="BodyText"/>
      </w:pPr>
      <w:r w:rsidRPr="00F831C9">
        <w:t>Evidence required to demonstrate competency in this unit must be relevant to and satisfy all of the requirements of the elements and performance criteria and include knowledge of:</w:t>
      </w:r>
    </w:p>
    <w:p w:rsidR="00000000" w:rsidRPr="00F831C9" w:rsidP="00F831C9">
      <w:pPr>
        <w:pStyle w:val="ListBullet"/>
      </w:pPr>
      <w:r w:rsidRPr="00F831C9">
        <w:t>strengths, weaknesses, opportunities, threats (SWOT) analysis</w:t>
      </w:r>
    </w:p>
    <w:p w:rsidR="00000000" w:rsidRPr="00F831C9" w:rsidP="00F831C9">
      <w:pPr>
        <w:pStyle w:val="ListBullet"/>
      </w:pPr>
      <w:r w:rsidRPr="00F831C9">
        <w:t>organisationa</w:t>
      </w:r>
      <w:r w:rsidRPr="00F831C9">
        <w:t>l structure and culture</w:t>
      </w:r>
    </w:p>
    <w:p w:rsidR="00000000" w:rsidRPr="00F831C9" w:rsidP="00F831C9">
      <w:pPr>
        <w:pStyle w:val="ListBullet"/>
      </w:pPr>
      <w:r w:rsidRPr="00F831C9">
        <w:t>policy and procedures</w:t>
      </w:r>
    </w:p>
    <w:p w:rsidR="00000000" w:rsidRPr="00F831C9" w:rsidP="00F831C9">
      <w:pPr>
        <w:pStyle w:val="ListBullet"/>
      </w:pPr>
      <w:r w:rsidRPr="00F831C9">
        <w:t>legislation and regulations</w:t>
      </w:r>
    </w:p>
    <w:p w:rsidR="00000000" w:rsidRPr="00F831C9" w:rsidP="00F831C9">
      <w:pPr>
        <w:pStyle w:val="ListBullet"/>
      </w:pPr>
      <w:r w:rsidRPr="00F831C9">
        <w:t>effects of change in the workplace</w:t>
      </w:r>
    </w:p>
    <w:p w:rsidR="00000000" w:rsidRPr="00F831C9" w:rsidP="00F831C9">
      <w:pPr>
        <w:pStyle w:val="ListBullet"/>
      </w:pPr>
      <w:r w:rsidRPr="00F831C9">
        <w:t>change strategies</w:t>
      </w:r>
    </w:p>
    <w:p w:rsidR="00C5611A" w:rsidP="00F831C9">
      <w:pPr>
        <w:pStyle w:val="ListBullet"/>
      </w:pPr>
      <w:r w:rsidRPr="00F831C9">
        <w:t>WHS, equity, fraud and ethics.</w:t>
      </w:r>
    </w:p>
    <w:p w:rsidR="00C5611A" w:rsidP="00F831C9">
      <w:pPr>
        <w:pStyle w:val="ListBullet"/>
      </w:pPr>
    </w:p>
    <w:p w:rsidR="00000000" w:rsidRPr="00F831C9" w:rsidP="00F831C9">
      <w:pPr>
        <w:pStyle w:val="Heading1"/>
      </w:pPr>
      <w:bookmarkStart w:id="14" w:name="O_719134"/>
      <w:bookmarkEnd w:id="14"/>
      <w:r w:rsidRPr="00F831C9">
        <w:t>Assessment Conditions</w:t>
      </w:r>
    </w:p>
    <w:p w:rsidR="00000000" w:rsidRPr="00F831C9" w:rsidP="00F831C9">
      <w:pPr>
        <w:pStyle w:val="ListBullet"/>
      </w:pPr>
      <w:r w:rsidRPr="00F831C9">
        <w:t>This unit may be assessed on the job, off the job or a combination of both on and off the job. Where assessment occurs off the job, that is, the candidate is not in productive work, an appropriate simulation must be used where the range of conditions refle</w:t>
      </w:r>
      <w:r w:rsidRPr="00F831C9">
        <w:t xml:space="preserve">cts realistic workplace situations when coordinating change programs in aviation maintenance. </w:t>
      </w:r>
    </w:p>
    <w:p w:rsidR="00000000" w:rsidRPr="00F831C9" w:rsidP="00F831C9">
      <w:pPr>
        <w:pStyle w:val="ListBullet"/>
      </w:pPr>
      <w:r w:rsidRPr="00F831C9">
        <w:t>The candidate must have access to all tools, equipment, materials and documentation required and must be permitted to refer to any relevant workplace procedures,</w:t>
      </w:r>
      <w:r w:rsidRPr="00F831C9">
        <w:t xml:space="preserve"> product and manufacturing specifications, codes, standards, manuals and reference materials. The assessment environment should not disadvantage the candidate.</w:t>
      </w:r>
    </w:p>
    <w:p w:rsidR="00000000" w:rsidRPr="00F831C9" w:rsidP="00F831C9">
      <w:pPr>
        <w:pStyle w:val="ListBullet"/>
      </w:pPr>
      <w:r w:rsidRPr="00F831C9">
        <w:t>Assessors must be satisfied that the candidate can competently and consistently perform all elem</w:t>
      </w:r>
      <w:r w:rsidRPr="00F831C9">
        <w:t>ents of the unit as specified by the criteria, including required knowledge, and be capable of applying the competency in new and different situations and contexts.</w:t>
      </w:r>
    </w:p>
    <w:p w:rsidR="00000000" w:rsidRPr="00F831C9" w:rsidP="00F831C9">
      <w:pPr>
        <w:pStyle w:val="ListBullet"/>
      </w:pPr>
      <w:r w:rsidRPr="00F831C9">
        <w:t>Assessors should gather a range of evidence that is valid, sufficient, current and authenti</w:t>
      </w:r>
      <w:r w:rsidRPr="00F831C9">
        <w:t xml:space="preserve">c. The preferred method is the records in the Maintenance Management Competency Log. Where the individual does not have a Competency Log evidence can be gathered through a variety of ways, including direct observation, </w:t>
      </w:r>
      <w:r w:rsidRPr="00F831C9">
        <w:t>supervisor’s reports, project work, s</w:t>
      </w:r>
      <w:r w:rsidRPr="00F831C9">
        <w:t>amples and questioning. Questioning techniques should not require language, literacy and numeracy skills beyond those required in this unit of competency.</w:t>
      </w:r>
    </w:p>
    <w:p w:rsidR="00000000" w:rsidRPr="00F831C9" w:rsidP="00F831C9">
      <w:pPr>
        <w:pStyle w:val="ListBullet"/>
      </w:pPr>
      <w:r w:rsidRPr="00F831C9">
        <w:t>Assessors must satisfy the requirements of the National Vocational Education and Training Regulator (</w:t>
      </w:r>
      <w:r w:rsidRPr="00F831C9">
        <w:t>Australian Skills Quality Authority, or its successors).</w:t>
      </w:r>
    </w:p>
    <w:p w:rsidR="00000000" w:rsidRPr="00F831C9" w:rsidP="00F831C9">
      <w:pPr>
        <w:pStyle w:val="AllowPageBreak"/>
      </w:pPr>
    </w:p>
    <w:p w:rsidR="00000000" w:rsidRPr="00F831C9" w:rsidP="00F831C9">
      <w:pPr>
        <w:pStyle w:val="Heading1"/>
      </w:pPr>
      <w:bookmarkStart w:id="15" w:name="O_719132"/>
      <w:bookmarkEnd w:id="15"/>
      <w:r w:rsidRPr="00F831C9">
        <w:t>Links</w:t>
      </w:r>
    </w:p>
    <w:p w:rsidR="00000000" w:rsidRPr="00F831C9" w:rsidP="00C5611A">
      <w:pPr>
        <w:pStyle w:val="BodyText"/>
      </w:pPr>
      <w:r w:rsidRPr="00F831C9">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F56F7D">
        <w:rPr>
          <w:rStyle w:val="Hyperlink"/>
        </w:rPr>
        <w:t>https://vetnet.gov.au/Pages/TrainingDocs.aspx?q=ce216c9c-04d5-4b3b-9bcf-4e81d0950371</w:t>
      </w:r>
      <w:r>
        <w:fldChar w:fldCharType="end"/>
      </w:r>
    </w:p>
    <w:p w:rsidR="00000000" w:rsidRPr="00F831C9" w:rsidP="00F831C9"/>
    <w:sectPr w:rsidSect="00F831C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1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1C9" w:rsidRPr="00C5611A" w:rsidP="00C561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1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11A" w:rsidP="00F831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5611A" w:rsidP="00F831C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5611A" w:rsidP="00F831C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1C9" w:rsidP="00F831C9">
    <w:pPr>
      <w:pStyle w:val="Footer"/>
      <w:framePr w:wrap="around"/>
    </w:pPr>
    <w:r>
      <w:fldChar w:fldCharType="begin"/>
    </w:r>
    <w:r>
      <w:instrText xml:space="preserve"> DOCPROPERTY  Subject  \* MERGEFORMAT </w:instrText>
    </w:r>
    <w:r>
      <w:fldChar w:fldCharType="separate"/>
    </w:r>
    <w:r w:rsidR="00C5611A">
      <w:t>Approved</w:t>
    </w:r>
    <w:r w:rsidR="00C5611A">
      <w:fldChar w:fldCharType="end"/>
    </w:r>
    <w:r>
      <w:tab/>
      <w:t xml:space="preserve">Page </w:t>
    </w:r>
    <w:r>
      <w:fldChar w:fldCharType="begin"/>
    </w:r>
    <w:r>
      <w:instrText xml:space="preserve"> PAGE  \* Arabic  \* MERGEFORMAT </w:instrText>
    </w:r>
    <w:r>
      <w:fldChar w:fldCharType="separate"/>
    </w:r>
    <w:r w:rsidR="00C5611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5611A">
      <w:rPr>
        <w:noProof/>
      </w:rPr>
      <w:t>5</w:t>
    </w:r>
    <w:r>
      <w:rPr>
        <w:noProof/>
      </w:rPr>
      <w:fldChar w:fldCharType="end"/>
    </w:r>
  </w:p>
  <w:p w:rsidR="00F831C9" w:rsidP="00F831C9">
    <w:pPr>
      <w:pStyle w:val="Footer"/>
      <w:framePr w:wrap="around"/>
    </w:pPr>
    <w:r>
      <w:t xml:space="preserve">© Commonwealth of Australia, </w:t>
    </w:r>
    <w:r>
      <w:fldChar w:fldCharType="begin"/>
    </w:r>
    <w:r>
      <w:instrText xml:space="preserve"> DATE  \@ "yyyy"  \* MERGEFORMAT </w:instrText>
    </w:r>
    <w:r>
      <w:fldChar w:fldCharType="separate"/>
    </w:r>
    <w:r w:rsidR="00C5611A">
      <w:rPr>
        <w:noProof/>
      </w:rPr>
      <w:t>2025</w:t>
    </w:r>
    <w:r>
      <w:fldChar w:fldCharType="end"/>
    </w:r>
    <w:r>
      <w:tab/>
    </w:r>
    <w:r>
      <w:fldChar w:fldCharType="begin"/>
    </w:r>
    <w:r>
      <w:instrText xml:space="preserve"> DOCPROPERTY  Author  \* MERGEFORMAT </w:instrText>
    </w:r>
    <w:r>
      <w:fldChar w:fldCharType="separate"/>
    </w:r>
    <w:r w:rsidR="00C5611A">
      <w:t>Manufacturing Industry Skills Alliance</w:t>
    </w:r>
    <w:r w:rsidR="00C5611A">
      <w:fldChar w:fldCharType="end"/>
    </w:r>
  </w:p>
  <w:p w:rsidR="00F831C9" w:rsidP="00F831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1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1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31C9" w:rsidRPr="00C5611A" w:rsidP="00C561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1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11A" w:rsidRPr="002D2AF8" w:rsidP="00F831C9">
    <w:pPr>
      <w:pStyle w:val="Header"/>
      <w:framePr w:wrap="around"/>
    </w:pPr>
    <w:r>
      <w:fldChar w:fldCharType="begin"/>
    </w:r>
    <w:r>
      <w:instrText xml:space="preserve"> TITLE   \* MERGEFORMAT </w:instrText>
    </w:r>
    <w:r>
      <w:fldChar w:fldCharType="separate"/>
    </w:r>
    <w:r>
      <w:t>MEA124 Coordinate change programs in the aviation maintenance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5611A" w:rsidP="00F831C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1C9" w:rsidRPr="002D2AF8" w:rsidP="00F831C9">
    <w:pPr>
      <w:pStyle w:val="Header"/>
      <w:framePr w:wrap="around"/>
    </w:pPr>
    <w:r>
      <w:fldChar w:fldCharType="begin"/>
    </w:r>
    <w:r>
      <w:instrText xml:space="preserve"> TITLE   \* MERGEFORMAT </w:instrText>
    </w:r>
    <w:r>
      <w:fldChar w:fldCharType="separate"/>
    </w:r>
    <w:r w:rsidR="00C5611A">
      <w:t>MEA124 Coordinate change programs in the aviation maintenance environment</w:t>
    </w:r>
    <w:r w:rsidR="00C5611A">
      <w:fldChar w:fldCharType="end"/>
    </w:r>
    <w:r>
      <w:tab/>
      <w:t xml:space="preserve">Date this document was generated: </w:t>
    </w:r>
    <w:r>
      <w:fldChar w:fldCharType="begin"/>
    </w:r>
    <w:r>
      <w:instrText xml:space="preserve"> CREATEDATE  \@ "d MMMM yyyy"  \* MERGEFORMAT </w:instrText>
    </w:r>
    <w:r>
      <w:fldChar w:fldCharType="separate"/>
    </w:r>
    <w:r w:rsidR="00C5611A">
      <w:rPr>
        <w:noProof/>
      </w:rPr>
      <w:t>2 March 2025</w:t>
    </w:r>
    <w:r>
      <w:fldChar w:fldCharType="end"/>
    </w:r>
  </w:p>
  <w:p w:rsidR="00F831C9" w:rsidP="00F831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BA4F6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820A8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31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31C9"/>
    <w:pPr>
      <w:spacing w:before="360" w:after="60"/>
      <w:outlineLvl w:val="0"/>
    </w:pPr>
    <w:rPr>
      <w:sz w:val="32"/>
    </w:rPr>
  </w:style>
  <w:style w:type="paragraph" w:styleId="Heading2">
    <w:name w:val="heading 2"/>
    <w:basedOn w:val="HeadingBase"/>
    <w:next w:val="BodyText"/>
    <w:link w:val="Heading2Char"/>
    <w:qFormat/>
    <w:rsid w:val="00F831C9"/>
    <w:pPr>
      <w:keepLines/>
      <w:spacing w:before="240" w:after="120"/>
      <w:outlineLvl w:val="1"/>
    </w:pPr>
    <w:rPr>
      <w:sz w:val="28"/>
      <w:szCs w:val="40"/>
    </w:rPr>
  </w:style>
  <w:style w:type="paragraph" w:styleId="Heading3">
    <w:name w:val="heading 3"/>
    <w:basedOn w:val="HeadingBase"/>
    <w:next w:val="BodyText"/>
    <w:link w:val="Heading3Char"/>
    <w:qFormat/>
    <w:rsid w:val="00F831C9"/>
    <w:pPr>
      <w:spacing w:before="180" w:after="120"/>
      <w:outlineLvl w:val="2"/>
    </w:pPr>
    <w:rPr>
      <w:spacing w:val="-10"/>
      <w:kern w:val="32"/>
    </w:rPr>
  </w:style>
  <w:style w:type="paragraph" w:styleId="Heading4">
    <w:name w:val="heading 4"/>
    <w:basedOn w:val="HeadingBase"/>
    <w:next w:val="BodyText"/>
    <w:link w:val="Heading4Char"/>
    <w:qFormat/>
    <w:rsid w:val="00F831C9"/>
    <w:pPr>
      <w:spacing w:before="160" w:after="120"/>
      <w:outlineLvl w:val="3"/>
    </w:pPr>
    <w:rPr>
      <w:sz w:val="22"/>
    </w:rPr>
  </w:style>
  <w:style w:type="paragraph" w:styleId="Heading5">
    <w:name w:val="heading 5"/>
    <w:basedOn w:val="HeadingBase"/>
    <w:next w:val="Normal"/>
    <w:link w:val="Heading5Char"/>
    <w:qFormat/>
    <w:rsid w:val="00F831C9"/>
    <w:pPr>
      <w:spacing w:before="80"/>
      <w:outlineLvl w:val="4"/>
    </w:pPr>
    <w:rPr>
      <w:color w:val="918585"/>
      <w:sz w:val="20"/>
    </w:rPr>
  </w:style>
  <w:style w:type="paragraph" w:styleId="Heading6">
    <w:name w:val="heading 6"/>
    <w:basedOn w:val="HeadingBase"/>
    <w:next w:val="Normal"/>
    <w:link w:val="Heading6Char"/>
    <w:qFormat/>
    <w:rsid w:val="00F831C9"/>
    <w:pPr>
      <w:spacing w:before="60"/>
      <w:outlineLvl w:val="5"/>
    </w:pPr>
    <w:rPr>
      <w:color w:val="918585"/>
      <w:sz w:val="20"/>
    </w:rPr>
  </w:style>
  <w:style w:type="paragraph" w:styleId="Heading7">
    <w:name w:val="heading 7"/>
    <w:basedOn w:val="Normal"/>
    <w:next w:val="Normal"/>
    <w:link w:val="Heading7Char"/>
    <w:qFormat/>
    <w:rsid w:val="00F831C9"/>
    <w:pPr>
      <w:ind w:left="720"/>
      <w:outlineLvl w:val="6"/>
    </w:pPr>
    <w:rPr>
      <w:i/>
    </w:rPr>
  </w:style>
  <w:style w:type="paragraph" w:styleId="Heading8">
    <w:name w:val="heading 8"/>
    <w:basedOn w:val="Normal"/>
    <w:next w:val="Normal"/>
    <w:link w:val="Heading8Char"/>
    <w:qFormat/>
    <w:rsid w:val="00F831C9"/>
    <w:pPr>
      <w:ind w:left="720"/>
      <w:outlineLvl w:val="7"/>
    </w:pPr>
    <w:rPr>
      <w:i/>
    </w:rPr>
  </w:style>
  <w:style w:type="paragraph" w:styleId="Heading9">
    <w:name w:val="heading 9"/>
    <w:basedOn w:val="Normal"/>
    <w:next w:val="Normal"/>
    <w:link w:val="Heading9Char"/>
    <w:qFormat/>
    <w:rsid w:val="00F831C9"/>
    <w:pPr>
      <w:ind w:left="720"/>
      <w:outlineLvl w:val="8"/>
    </w:pPr>
    <w:rPr>
      <w:i/>
    </w:rPr>
  </w:style>
  <w:style w:type="character" w:default="1" w:styleId="DefaultParagraphFont">
    <w:name w:val="Default Paragraph Font"/>
    <w:uiPriority w:val="1"/>
    <w:unhideWhenUsed/>
    <w:rsid w:val="00F831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31C9"/>
  </w:style>
  <w:style w:type="character" w:customStyle="1" w:styleId="Heading1Char">
    <w:name w:val="Heading 1 Char"/>
    <w:basedOn w:val="DefaultParagraphFont"/>
    <w:link w:val="Heading1"/>
    <w:rsid w:val="00F831C9"/>
    <w:rPr>
      <w:rFonts w:ascii="Times New Roman" w:eastAsia="Times New Roman" w:hAnsi="Times New Roman" w:cs="Times New Roman"/>
      <w:b/>
      <w:sz w:val="32"/>
      <w:szCs w:val="20"/>
      <w:lang w:eastAsia="en-US"/>
    </w:rPr>
  </w:style>
  <w:style w:type="paragraph" w:styleId="BodyText">
    <w:name w:val="Body Text"/>
    <w:basedOn w:val="Normal"/>
    <w:link w:val="BodyTextChar"/>
    <w:rsid w:val="00F831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31C9"/>
    <w:rPr>
      <w:rFonts w:ascii="Times New Roman" w:eastAsia="Times New Roman" w:hAnsi="Times New Roman" w:cs="Times New Roman"/>
      <w:sz w:val="24"/>
      <w:lang w:eastAsia="en-US"/>
    </w:rPr>
  </w:style>
  <w:style w:type="paragraph" w:styleId="ListBullet">
    <w:name w:val="List Bullet"/>
    <w:basedOn w:val="List"/>
    <w:rsid w:val="00F831C9"/>
    <w:pPr>
      <w:numPr>
        <w:numId w:val="11"/>
      </w:numPr>
      <w:tabs>
        <w:tab w:val="clear" w:pos="340"/>
      </w:tabs>
      <w:spacing w:before="40" w:after="40"/>
    </w:pPr>
  </w:style>
  <w:style w:type="character" w:customStyle="1" w:styleId="SpecialBold">
    <w:name w:val="Special Bold"/>
    <w:basedOn w:val="DefaultParagraphFont"/>
    <w:rsid w:val="00F831C9"/>
    <w:rPr>
      <w:b/>
      <w:spacing w:val="0"/>
    </w:rPr>
  </w:style>
  <w:style w:type="paragraph" w:customStyle="1" w:styleId="SuperHeading">
    <w:name w:val="SuperHeading"/>
    <w:basedOn w:val="Normal"/>
    <w:rsid w:val="00F831C9"/>
    <w:pPr>
      <w:spacing w:before="240" w:after="120"/>
      <w:outlineLvl w:val="0"/>
    </w:pPr>
    <w:rPr>
      <w:rFonts w:ascii="Times New Roman" w:hAnsi="Times New Roman"/>
      <w:b/>
      <w:sz w:val="32"/>
    </w:rPr>
  </w:style>
  <w:style w:type="paragraph" w:customStyle="1" w:styleId="AllowPageBreak">
    <w:name w:val="AllowPageBreak"/>
    <w:rsid w:val="00F831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31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31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31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31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31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31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31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31C9"/>
    <w:rPr>
      <w:rFonts w:ascii="Courier New" w:eastAsia="Times New Roman" w:hAnsi="Courier New" w:cs="Times New Roman"/>
      <w:i/>
      <w:szCs w:val="20"/>
      <w:lang w:eastAsia="en-US"/>
    </w:rPr>
  </w:style>
  <w:style w:type="paragraph" w:customStyle="1" w:styleId="HeadingBase">
    <w:name w:val="Heading Base"/>
    <w:rsid w:val="00F831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31C9"/>
    <w:pPr>
      <w:tabs>
        <w:tab w:val="right" w:leader="dot" w:pos="9072"/>
      </w:tabs>
      <w:ind w:left="567"/>
    </w:pPr>
    <w:rPr>
      <w:szCs w:val="22"/>
    </w:rPr>
  </w:style>
  <w:style w:type="paragraph" w:customStyle="1" w:styleId="TOCBase">
    <w:name w:val="TOC Base"/>
    <w:rsid w:val="00F831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31C9"/>
    <w:pPr>
      <w:tabs>
        <w:tab w:val="right" w:leader="dot" w:pos="9072"/>
      </w:tabs>
      <w:spacing w:before="40" w:after="40"/>
      <w:ind w:left="284"/>
    </w:pPr>
    <w:rPr>
      <w:rFonts w:ascii="Times New Roman" w:hAnsi="Times New Roman"/>
    </w:rPr>
  </w:style>
  <w:style w:type="paragraph" w:styleId="TOC1">
    <w:name w:val="toc 1"/>
    <w:basedOn w:val="TOCBase"/>
    <w:next w:val="Normal"/>
    <w:rsid w:val="00F831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31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31C9"/>
    <w:rPr>
      <w:rFonts w:ascii="Times New Roman" w:eastAsia="Times New Roman" w:hAnsi="Times New Roman" w:cs="Times New Roman"/>
      <w:sz w:val="16"/>
      <w:lang w:eastAsia="en-US"/>
    </w:rPr>
  </w:style>
  <w:style w:type="paragraph" w:styleId="Title">
    <w:name w:val="Title"/>
    <w:basedOn w:val="HeadingBase"/>
    <w:link w:val="TitleChar"/>
    <w:qFormat/>
    <w:rsid w:val="00F831C9"/>
    <w:pPr>
      <w:spacing w:before="5040"/>
      <w:jc w:val="center"/>
    </w:pPr>
    <w:rPr>
      <w:sz w:val="48"/>
      <w:szCs w:val="72"/>
      <w:lang w:val="en-US"/>
    </w:rPr>
  </w:style>
  <w:style w:type="character" w:customStyle="1" w:styleId="TitleChar">
    <w:name w:val="Title Char"/>
    <w:basedOn w:val="DefaultParagraphFont"/>
    <w:link w:val="Title"/>
    <w:rsid w:val="00F831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31C9"/>
    <w:pPr>
      <w:tabs>
        <w:tab w:val="left" w:pos="3600"/>
        <w:tab w:val="left" w:pos="3958"/>
      </w:tabs>
    </w:pPr>
  </w:style>
  <w:style w:type="paragraph" w:styleId="List">
    <w:name w:val="List"/>
    <w:basedOn w:val="BodyText"/>
    <w:next w:val="BodyText"/>
    <w:rsid w:val="00F831C9"/>
    <w:pPr>
      <w:tabs>
        <w:tab w:val="left" w:pos="340"/>
      </w:tabs>
      <w:spacing w:before="60" w:after="60"/>
      <w:ind w:left="340" w:hanging="340"/>
    </w:pPr>
  </w:style>
  <w:style w:type="paragraph" w:customStyle="1" w:styleId="Note">
    <w:name w:val="Note"/>
    <w:basedOn w:val="BodyText"/>
    <w:rsid w:val="00F831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31C9"/>
    <w:pPr>
      <w:framePr w:wrap="auto" w:hAnchor="text" w:y="6049"/>
    </w:pPr>
    <w:rPr>
      <w:color w:val="000000"/>
      <w:sz w:val="40"/>
    </w:rPr>
  </w:style>
  <w:style w:type="paragraph" w:customStyle="1" w:styleId="TOCTitle">
    <w:name w:val="TOCTitle"/>
    <w:basedOn w:val="Heading1"/>
    <w:rsid w:val="00F831C9"/>
    <w:pPr>
      <w:spacing w:after="240"/>
      <w:jc w:val="center"/>
      <w:outlineLvl w:val="9"/>
    </w:pPr>
    <w:rPr>
      <w:caps/>
    </w:rPr>
  </w:style>
  <w:style w:type="paragraph" w:customStyle="1" w:styleId="Version">
    <w:name w:val="Version"/>
    <w:rsid w:val="00F831C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831C9"/>
    <w:pPr>
      <w:numPr>
        <w:numId w:val="12"/>
      </w:numPr>
      <w:tabs>
        <w:tab w:val="clear" w:pos="680"/>
      </w:tabs>
    </w:pPr>
  </w:style>
  <w:style w:type="paragraph" w:styleId="Index1">
    <w:name w:val="index 1"/>
    <w:basedOn w:val="Normal"/>
    <w:next w:val="Normal"/>
    <w:semiHidden/>
    <w:rsid w:val="00F831C9"/>
    <w:pPr>
      <w:keepNext w:val="0"/>
      <w:tabs>
        <w:tab w:val="right" w:pos="4176"/>
      </w:tabs>
      <w:ind w:left="198" w:hanging="198"/>
    </w:pPr>
    <w:rPr>
      <w:rFonts w:ascii="Garamond" w:hAnsi="Garamond"/>
    </w:rPr>
  </w:style>
  <w:style w:type="paragraph" w:styleId="IndexHeading">
    <w:name w:val="index heading"/>
    <w:basedOn w:val="Normal"/>
    <w:next w:val="Index1"/>
    <w:semiHidden/>
    <w:rsid w:val="00F831C9"/>
    <w:pPr>
      <w:spacing w:before="120" w:after="120"/>
    </w:pPr>
    <w:rPr>
      <w:rFonts w:ascii="Arial" w:hAnsi="Arial"/>
      <w:b/>
      <w:color w:val="918585"/>
      <w:sz w:val="24"/>
    </w:rPr>
  </w:style>
  <w:style w:type="paragraph" w:styleId="Header">
    <w:name w:val="header"/>
    <w:basedOn w:val="Normal"/>
    <w:link w:val="HeaderChar"/>
    <w:rsid w:val="00F831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31C9"/>
    <w:rPr>
      <w:rFonts w:ascii="Times New Roman" w:eastAsia="Times New Roman" w:hAnsi="Times New Roman" w:cs="Times New Roman"/>
      <w:sz w:val="16"/>
      <w:szCs w:val="20"/>
      <w:lang w:val="en-GB" w:eastAsia="en-US"/>
    </w:rPr>
  </w:style>
  <w:style w:type="paragraph" w:customStyle="1" w:styleId="Chapter">
    <w:name w:val="Chapter"/>
    <w:basedOn w:val="Normal"/>
    <w:rsid w:val="00F831C9"/>
    <w:pPr>
      <w:spacing w:before="240"/>
    </w:pPr>
    <w:rPr>
      <w:rFonts w:ascii="Times New Roman" w:hAnsi="Times New Roman"/>
      <w:smallCaps/>
      <w:spacing w:val="80"/>
      <w:sz w:val="28"/>
    </w:rPr>
  </w:style>
  <w:style w:type="paragraph" w:customStyle="1" w:styleId="InChapter">
    <w:name w:val="InChapter"/>
    <w:basedOn w:val="Heading3"/>
    <w:rsid w:val="00F831C9"/>
    <w:pPr>
      <w:spacing w:after="240"/>
      <w:outlineLvl w:val="9"/>
    </w:pPr>
    <w:rPr>
      <w:noProof/>
    </w:rPr>
  </w:style>
  <w:style w:type="paragraph" w:styleId="Index2">
    <w:name w:val="index 2"/>
    <w:basedOn w:val="Normal"/>
    <w:next w:val="Normal"/>
    <w:semiHidden/>
    <w:rsid w:val="00F831C9"/>
    <w:pPr>
      <w:tabs>
        <w:tab w:val="right" w:pos="4176"/>
      </w:tabs>
      <w:ind w:left="568" w:hanging="284"/>
    </w:pPr>
    <w:rPr>
      <w:rFonts w:ascii="Garamond" w:hAnsi="Garamond"/>
    </w:rPr>
  </w:style>
  <w:style w:type="paragraph" w:customStyle="1" w:styleId="Byline">
    <w:name w:val="Byline"/>
    <w:rsid w:val="00F831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31C9"/>
    <w:pPr>
      <w:tabs>
        <w:tab w:val="clear" w:pos="3600"/>
        <w:tab w:val="clear" w:pos="3958"/>
      </w:tabs>
      <w:jc w:val="right"/>
    </w:pPr>
  </w:style>
  <w:style w:type="character" w:styleId="Emphasis">
    <w:name w:val="Emphasis"/>
    <w:basedOn w:val="DefaultParagraphFont"/>
    <w:qFormat/>
    <w:rsid w:val="00F831C9"/>
    <w:rPr>
      <w:i/>
    </w:rPr>
  </w:style>
  <w:style w:type="paragraph" w:styleId="Caption">
    <w:name w:val="caption"/>
    <w:basedOn w:val="BodyText"/>
    <w:next w:val="Normal"/>
    <w:qFormat/>
    <w:rsid w:val="00F831C9"/>
    <w:pPr>
      <w:framePr w:w="2268" w:hSpace="181" w:vSpace="181" w:wrap="around" w:vAnchor="text" w:hAnchor="page" w:x="1135" w:y="285" w:anchorLock="1"/>
    </w:pPr>
    <w:rPr>
      <w:i/>
    </w:rPr>
  </w:style>
  <w:style w:type="paragraph" w:customStyle="1" w:styleId="MiniTOCTitle">
    <w:name w:val="MiniTOCTitle"/>
    <w:basedOn w:val="Heading4"/>
    <w:rsid w:val="00F831C9"/>
    <w:pPr>
      <w:spacing w:before="240"/>
      <w:outlineLvl w:val="9"/>
    </w:pPr>
    <w:rPr>
      <w:noProof/>
      <w:sz w:val="24"/>
    </w:rPr>
  </w:style>
  <w:style w:type="paragraph" w:customStyle="1" w:styleId="MiniTOCItem">
    <w:name w:val="MiniTOCItem"/>
    <w:basedOn w:val="ListBullet"/>
    <w:rsid w:val="00F831C9"/>
    <w:pPr>
      <w:numPr>
        <w:numId w:val="0"/>
      </w:numPr>
      <w:tabs>
        <w:tab w:val="right" w:leader="dot" w:pos="6521"/>
      </w:tabs>
      <w:spacing w:before="0" w:after="0"/>
    </w:pPr>
  </w:style>
  <w:style w:type="paragraph" w:customStyle="1" w:styleId="TOFTitle">
    <w:name w:val="TOFTitle"/>
    <w:basedOn w:val="TOCTitle"/>
    <w:rsid w:val="00F831C9"/>
  </w:style>
  <w:style w:type="paragraph" w:styleId="TableofFigures">
    <w:name w:val="table of figures"/>
    <w:basedOn w:val="Normal"/>
    <w:next w:val="Normal"/>
    <w:semiHidden/>
    <w:rsid w:val="00F831C9"/>
    <w:pPr>
      <w:tabs>
        <w:tab w:val="right" w:leader="dot" w:pos="9072"/>
      </w:tabs>
      <w:ind w:left="970" w:hanging="403"/>
    </w:pPr>
    <w:rPr>
      <w:rFonts w:ascii="Times New Roman" w:hAnsi="Times New Roman"/>
      <w:b/>
    </w:rPr>
  </w:style>
  <w:style w:type="paragraph" w:styleId="ListNumber">
    <w:name w:val="List Number"/>
    <w:basedOn w:val="List"/>
    <w:rsid w:val="00F831C9"/>
    <w:pPr>
      <w:numPr>
        <w:numId w:val="14"/>
      </w:numPr>
      <w:tabs>
        <w:tab w:val="clear" w:pos="340"/>
      </w:tabs>
    </w:pPr>
  </w:style>
  <w:style w:type="character" w:customStyle="1" w:styleId="WingdingSymbols">
    <w:name w:val="Wingding Symbols"/>
    <w:rsid w:val="00F831C9"/>
    <w:rPr>
      <w:rFonts w:ascii="Wingdings" w:hAnsi="Wingdings"/>
    </w:rPr>
  </w:style>
  <w:style w:type="paragraph" w:customStyle="1" w:styleId="TableHeading">
    <w:name w:val="Table Heading"/>
    <w:basedOn w:val="HeadingBase"/>
    <w:rsid w:val="00F831C9"/>
    <w:pPr>
      <w:keepLines/>
      <w:pBdr>
        <w:bottom w:val="single" w:sz="6" w:space="1" w:color="918585"/>
      </w:pBdr>
      <w:spacing w:before="240"/>
    </w:pPr>
  </w:style>
  <w:style w:type="character" w:customStyle="1" w:styleId="HotSpot">
    <w:name w:val="HotSpot"/>
    <w:rsid w:val="00F831C9"/>
    <w:rPr>
      <w:color w:val="0033CC"/>
      <w:u w:val="none"/>
    </w:rPr>
  </w:style>
  <w:style w:type="paragraph" w:customStyle="1" w:styleId="BodyTextRight">
    <w:name w:val="Body Text Right"/>
    <w:basedOn w:val="BodyText"/>
    <w:rsid w:val="00F831C9"/>
    <w:pPr>
      <w:spacing w:before="0" w:after="0"/>
      <w:jc w:val="right"/>
    </w:pPr>
  </w:style>
  <w:style w:type="paragraph" w:styleId="Index3">
    <w:name w:val="index 3"/>
    <w:basedOn w:val="ListNumber2"/>
    <w:next w:val="Normal"/>
    <w:semiHidden/>
    <w:rsid w:val="00F831C9"/>
    <w:pPr>
      <w:numPr>
        <w:numId w:val="0"/>
      </w:numPr>
      <w:tabs>
        <w:tab w:val="right" w:leader="dot" w:pos="4176"/>
      </w:tabs>
    </w:pPr>
  </w:style>
  <w:style w:type="paragraph" w:styleId="ListNumber2">
    <w:name w:val="List Number 2"/>
    <w:basedOn w:val="List2"/>
    <w:rsid w:val="00F831C9"/>
    <w:pPr>
      <w:numPr>
        <w:numId w:val="9"/>
      </w:numPr>
      <w:tabs>
        <w:tab w:val="clear" w:pos="1060"/>
      </w:tabs>
    </w:pPr>
  </w:style>
  <w:style w:type="paragraph" w:customStyle="1" w:styleId="MarginNote">
    <w:name w:val="Margin Note"/>
    <w:basedOn w:val="BodyText"/>
    <w:rsid w:val="00F831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31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31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31C9"/>
    <w:rPr>
      <w:sz w:val="32"/>
    </w:rPr>
  </w:style>
  <w:style w:type="paragraph" w:customStyle="1" w:styleId="HeadingProcedure">
    <w:name w:val="Heading Procedure"/>
    <w:basedOn w:val="HeadingBase"/>
    <w:next w:val="Normal"/>
    <w:rsid w:val="00F831C9"/>
    <w:pPr>
      <w:tabs>
        <w:tab w:val="left" w:pos="0"/>
      </w:tabs>
      <w:spacing w:before="120" w:after="60"/>
    </w:pPr>
    <w:rPr>
      <w:i/>
      <w:color w:val="918585"/>
      <w:sz w:val="22"/>
    </w:rPr>
  </w:style>
  <w:style w:type="paragraph" w:customStyle="1" w:styleId="TableBodyText">
    <w:name w:val="Table Body Text"/>
    <w:basedOn w:val="BodyText"/>
    <w:rsid w:val="00F831C9"/>
    <w:pPr>
      <w:spacing w:before="60" w:after="60"/>
    </w:pPr>
  </w:style>
  <w:style w:type="paragraph" w:styleId="ListContinue">
    <w:name w:val="List Continue"/>
    <w:basedOn w:val="List"/>
    <w:rsid w:val="00F831C9"/>
    <w:pPr>
      <w:ind w:firstLine="0"/>
    </w:pPr>
  </w:style>
  <w:style w:type="paragraph" w:customStyle="1" w:styleId="ListNote">
    <w:name w:val="List Note"/>
    <w:basedOn w:val="List"/>
    <w:rsid w:val="00F831C9"/>
    <w:pPr>
      <w:pBdr>
        <w:top w:val="single" w:sz="6" w:space="2" w:color="918585"/>
        <w:bottom w:val="single" w:sz="6" w:space="2" w:color="918585"/>
      </w:pBdr>
      <w:tabs>
        <w:tab w:val="left" w:pos="1021"/>
      </w:tabs>
      <w:ind w:firstLine="0"/>
    </w:pPr>
  </w:style>
  <w:style w:type="paragraph" w:customStyle="1" w:styleId="Warning">
    <w:name w:val="Warning"/>
    <w:basedOn w:val="BodyText"/>
    <w:rsid w:val="00F831C9"/>
    <w:pPr>
      <w:shd w:val="clear" w:color="auto" w:fill="D9D9D9"/>
      <w:tabs>
        <w:tab w:val="left" w:pos="992"/>
      </w:tabs>
      <w:ind w:left="119" w:right="119"/>
    </w:pPr>
    <w:rPr>
      <w:sz w:val="20"/>
    </w:rPr>
  </w:style>
  <w:style w:type="paragraph" w:customStyle="1" w:styleId="MarginIcons">
    <w:name w:val="Margin Icons"/>
    <w:basedOn w:val="BodyText"/>
    <w:rsid w:val="00F831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31C9"/>
    <w:rPr>
      <w:rFonts w:ascii="Courier New" w:hAnsi="Courier New"/>
    </w:rPr>
  </w:style>
  <w:style w:type="paragraph" w:customStyle="1" w:styleId="NoteBullet">
    <w:name w:val="Note Bullet"/>
    <w:basedOn w:val="Note"/>
    <w:rsid w:val="00F831C9"/>
    <w:pPr>
      <w:tabs>
        <w:tab w:val="clear" w:pos="680"/>
      </w:tabs>
      <w:spacing w:before="60" w:after="60"/>
    </w:pPr>
  </w:style>
  <w:style w:type="paragraph" w:customStyle="1" w:styleId="SubHeading2">
    <w:name w:val="SubHeading2"/>
    <w:basedOn w:val="HeadingBase"/>
    <w:rsid w:val="00F831C9"/>
    <w:pPr>
      <w:spacing w:before="240" w:after="60"/>
    </w:pPr>
    <w:rPr>
      <w:sz w:val="20"/>
    </w:rPr>
  </w:style>
  <w:style w:type="paragraph" w:customStyle="1" w:styleId="SubHeading1">
    <w:name w:val="SubHeading1"/>
    <w:basedOn w:val="HeadingBase"/>
    <w:rsid w:val="00F831C9"/>
    <w:pPr>
      <w:spacing w:before="240" w:after="60"/>
    </w:pPr>
    <w:rPr>
      <w:color w:val="918585"/>
      <w:sz w:val="22"/>
    </w:rPr>
  </w:style>
  <w:style w:type="paragraph" w:customStyle="1" w:styleId="SideHeading">
    <w:name w:val="Side Heading"/>
    <w:basedOn w:val="HeadingBase"/>
    <w:rsid w:val="00F831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31C9"/>
    <w:pPr>
      <w:numPr>
        <w:numId w:val="10"/>
      </w:numPr>
    </w:pPr>
  </w:style>
  <w:style w:type="paragraph" w:styleId="PlainText">
    <w:name w:val="Plain Text"/>
    <w:basedOn w:val="Normal"/>
    <w:link w:val="PlainTextChar"/>
    <w:rsid w:val="00F831C9"/>
    <w:rPr>
      <w:sz w:val="20"/>
    </w:rPr>
  </w:style>
  <w:style w:type="character" w:customStyle="1" w:styleId="PlainTextChar">
    <w:name w:val="Plain Text Char"/>
    <w:basedOn w:val="DefaultParagraphFont"/>
    <w:link w:val="PlainText"/>
    <w:rsid w:val="00F831C9"/>
    <w:rPr>
      <w:rFonts w:ascii="Courier New" w:eastAsia="Times New Roman" w:hAnsi="Courier New" w:cs="Times New Roman"/>
      <w:sz w:val="20"/>
      <w:szCs w:val="20"/>
      <w:lang w:eastAsia="en-US"/>
    </w:rPr>
  </w:style>
  <w:style w:type="character" w:customStyle="1" w:styleId="MenuOption">
    <w:name w:val="Menu Option"/>
    <w:basedOn w:val="DefaultParagraphFont"/>
    <w:rsid w:val="00F831C9"/>
    <w:rPr>
      <w:b/>
      <w:smallCaps/>
    </w:rPr>
  </w:style>
  <w:style w:type="paragraph" w:customStyle="1" w:styleId="TableListNumber">
    <w:name w:val="Table List Number"/>
    <w:basedOn w:val="ListNumber"/>
    <w:rsid w:val="00F831C9"/>
    <w:pPr>
      <w:numPr>
        <w:numId w:val="0"/>
      </w:numPr>
    </w:pPr>
  </w:style>
  <w:style w:type="paragraph" w:styleId="TOC4">
    <w:name w:val="toc 4"/>
    <w:basedOn w:val="TOCBase"/>
    <w:next w:val="Normal"/>
    <w:semiHidden/>
    <w:rsid w:val="00F831C9"/>
    <w:pPr>
      <w:tabs>
        <w:tab w:val="right" w:leader="dot" w:pos="9071"/>
      </w:tabs>
      <w:ind w:left="1701"/>
    </w:pPr>
  </w:style>
  <w:style w:type="paragraph" w:customStyle="1" w:styleId="ListAlpha">
    <w:name w:val="List Alpha"/>
    <w:basedOn w:val="List"/>
    <w:rsid w:val="00F831C9"/>
    <w:pPr>
      <w:numPr>
        <w:numId w:val="8"/>
      </w:numPr>
    </w:pPr>
  </w:style>
  <w:style w:type="paragraph" w:customStyle="1" w:styleId="ListAlpha2">
    <w:name w:val="List Alpha 2"/>
    <w:basedOn w:val="List2"/>
    <w:rsid w:val="00F831C9"/>
    <w:pPr>
      <w:numPr>
        <w:numId w:val="7"/>
      </w:numPr>
    </w:pPr>
  </w:style>
  <w:style w:type="paragraph" w:styleId="List2">
    <w:name w:val="List 2"/>
    <w:basedOn w:val="BodyText"/>
    <w:rsid w:val="00F831C9"/>
    <w:pPr>
      <w:tabs>
        <w:tab w:val="left" w:pos="680"/>
      </w:tabs>
      <w:spacing w:before="60" w:after="60"/>
      <w:ind w:left="680" w:hanging="340"/>
    </w:pPr>
  </w:style>
  <w:style w:type="paragraph" w:styleId="List3">
    <w:name w:val="List 3"/>
    <w:basedOn w:val="BodyText"/>
    <w:rsid w:val="00F831C9"/>
    <w:pPr>
      <w:tabs>
        <w:tab w:val="left" w:pos="1021"/>
      </w:tabs>
      <w:spacing w:before="60" w:after="60"/>
      <w:ind w:left="1020" w:hanging="340"/>
    </w:pPr>
  </w:style>
  <w:style w:type="paragraph" w:styleId="List4">
    <w:name w:val="List 4"/>
    <w:basedOn w:val="BodyText"/>
    <w:rsid w:val="00F831C9"/>
    <w:pPr>
      <w:tabs>
        <w:tab w:val="left" w:pos="1361"/>
      </w:tabs>
      <w:spacing w:before="60" w:after="60"/>
      <w:ind w:left="1361" w:hanging="340"/>
    </w:pPr>
  </w:style>
  <w:style w:type="paragraph" w:styleId="List5">
    <w:name w:val="List 5"/>
    <w:basedOn w:val="BodyText"/>
    <w:rsid w:val="00F831C9"/>
    <w:pPr>
      <w:tabs>
        <w:tab w:val="left" w:pos="1701"/>
      </w:tabs>
      <w:spacing w:before="60" w:after="60"/>
      <w:ind w:left="1701" w:hanging="340"/>
    </w:pPr>
  </w:style>
  <w:style w:type="paragraph" w:styleId="ListBullet3">
    <w:name w:val="List Bullet 3"/>
    <w:basedOn w:val="List3"/>
    <w:rsid w:val="00F831C9"/>
    <w:pPr>
      <w:numPr>
        <w:numId w:val="13"/>
      </w:numPr>
      <w:tabs>
        <w:tab w:val="clear" w:pos="1021"/>
      </w:tabs>
      <w:ind w:left="1037" w:hanging="357"/>
    </w:pPr>
  </w:style>
  <w:style w:type="paragraph" w:styleId="ListBullet4">
    <w:name w:val="List Bullet 4"/>
    <w:basedOn w:val="List4"/>
    <w:rsid w:val="00F831C9"/>
    <w:pPr>
      <w:numPr>
        <w:numId w:val="2"/>
      </w:numPr>
      <w:tabs>
        <w:tab w:val="clear" w:pos="1361"/>
      </w:tabs>
    </w:pPr>
  </w:style>
  <w:style w:type="paragraph" w:styleId="ListBullet5">
    <w:name w:val="List Bullet 5"/>
    <w:basedOn w:val="List5"/>
    <w:rsid w:val="00F831C9"/>
    <w:pPr>
      <w:numPr>
        <w:numId w:val="3"/>
      </w:numPr>
    </w:pPr>
  </w:style>
  <w:style w:type="paragraph" w:styleId="ListContinue2">
    <w:name w:val="List Continue 2"/>
    <w:basedOn w:val="List2"/>
    <w:rsid w:val="00F831C9"/>
    <w:pPr>
      <w:ind w:firstLine="0"/>
    </w:pPr>
  </w:style>
  <w:style w:type="paragraph" w:styleId="ListContinue3">
    <w:name w:val="List Continue 3"/>
    <w:basedOn w:val="List3"/>
    <w:rsid w:val="00F831C9"/>
    <w:pPr>
      <w:ind w:left="1021" w:firstLine="0"/>
    </w:pPr>
  </w:style>
  <w:style w:type="paragraph" w:styleId="ListContinue4">
    <w:name w:val="List Continue 4"/>
    <w:basedOn w:val="List4"/>
    <w:rsid w:val="00F831C9"/>
    <w:pPr>
      <w:ind w:firstLine="0"/>
    </w:pPr>
  </w:style>
  <w:style w:type="paragraph" w:styleId="ListContinue5">
    <w:name w:val="List Continue 5"/>
    <w:basedOn w:val="List5"/>
    <w:rsid w:val="00F831C9"/>
    <w:pPr>
      <w:ind w:firstLine="0"/>
    </w:pPr>
  </w:style>
  <w:style w:type="paragraph" w:styleId="ListNumber3">
    <w:name w:val="List Number 3"/>
    <w:basedOn w:val="List3"/>
    <w:rsid w:val="00F831C9"/>
    <w:pPr>
      <w:numPr>
        <w:numId w:val="4"/>
      </w:numPr>
    </w:pPr>
  </w:style>
  <w:style w:type="paragraph" w:styleId="ListNumber4">
    <w:name w:val="List Number 4"/>
    <w:basedOn w:val="List4"/>
    <w:rsid w:val="00F831C9"/>
    <w:pPr>
      <w:numPr>
        <w:numId w:val="5"/>
      </w:numPr>
    </w:pPr>
  </w:style>
  <w:style w:type="paragraph" w:styleId="ListNumber5">
    <w:name w:val="List Number 5"/>
    <w:basedOn w:val="List5"/>
    <w:rsid w:val="00F831C9"/>
    <w:pPr>
      <w:numPr>
        <w:numId w:val="6"/>
      </w:numPr>
    </w:pPr>
  </w:style>
  <w:style w:type="paragraph" w:styleId="BlockText">
    <w:name w:val="Block Text"/>
    <w:basedOn w:val="Normal"/>
    <w:rsid w:val="00F831C9"/>
    <w:pPr>
      <w:spacing w:after="120"/>
      <w:ind w:left="1440" w:right="1440"/>
    </w:pPr>
  </w:style>
  <w:style w:type="character" w:customStyle="1" w:styleId="Subscript">
    <w:name w:val="Subscript"/>
    <w:basedOn w:val="DefaultParagraphFont"/>
    <w:rsid w:val="00F831C9"/>
    <w:rPr>
      <w:sz w:val="16"/>
      <w:vertAlign w:val="subscript"/>
    </w:rPr>
  </w:style>
  <w:style w:type="character" w:customStyle="1" w:styleId="Superscript">
    <w:name w:val="Superscript"/>
    <w:basedOn w:val="DefaultParagraphFont"/>
    <w:rsid w:val="00F831C9"/>
    <w:rPr>
      <w:sz w:val="16"/>
      <w:vertAlign w:val="superscript"/>
    </w:rPr>
  </w:style>
  <w:style w:type="character" w:customStyle="1" w:styleId="Symbols">
    <w:name w:val="Symbols"/>
    <w:basedOn w:val="DefaultParagraphFont"/>
    <w:rsid w:val="00F831C9"/>
    <w:rPr>
      <w:rFonts w:ascii="Symbol" w:hAnsi="Symbol"/>
    </w:rPr>
  </w:style>
  <w:style w:type="character" w:customStyle="1" w:styleId="MenuOptions">
    <w:name w:val="Menu Options"/>
    <w:basedOn w:val="DefaultParagraphFont"/>
    <w:rsid w:val="00F831C9"/>
    <w:rPr>
      <w:rFonts w:ascii="Arial Narrow" w:hAnsi="Arial Narrow"/>
      <w:smallCaps/>
    </w:rPr>
  </w:style>
  <w:style w:type="character" w:customStyle="1" w:styleId="Buttons">
    <w:name w:val="Buttons"/>
    <w:basedOn w:val="DefaultParagraphFont"/>
    <w:rsid w:val="00F831C9"/>
    <w:rPr>
      <w:b/>
    </w:rPr>
  </w:style>
  <w:style w:type="character" w:customStyle="1" w:styleId="Underlined">
    <w:name w:val="Underlined"/>
    <w:basedOn w:val="DefaultParagraphFont"/>
    <w:rsid w:val="00F831C9"/>
    <w:rPr>
      <w:u w:val="single"/>
    </w:rPr>
  </w:style>
  <w:style w:type="paragraph" w:customStyle="1" w:styleId="TableBodyTextRight">
    <w:name w:val="Table Body Text Right"/>
    <w:basedOn w:val="TableBodyText"/>
    <w:rsid w:val="00F831C9"/>
    <w:pPr>
      <w:widowControl w:val="0"/>
      <w:autoSpaceDE w:val="0"/>
      <w:autoSpaceDN w:val="0"/>
      <w:adjustRightInd w:val="0"/>
      <w:jc w:val="right"/>
    </w:pPr>
    <w:rPr>
      <w:rFonts w:cs="Arial"/>
      <w:szCs w:val="18"/>
    </w:rPr>
  </w:style>
  <w:style w:type="paragraph" w:customStyle="1" w:styleId="CopyrightText">
    <w:name w:val="Copyright Text"/>
    <w:basedOn w:val="BodyText"/>
    <w:rsid w:val="00F831C9"/>
    <w:rPr>
      <w:sz w:val="18"/>
    </w:rPr>
  </w:style>
  <w:style w:type="paragraph" w:customStyle="1" w:styleId="BodySmallRight">
    <w:name w:val="Body Small Right"/>
    <w:basedOn w:val="BodyTextRight"/>
    <w:rsid w:val="00F831C9"/>
    <w:rPr>
      <w:sz w:val="18"/>
      <w:szCs w:val="18"/>
    </w:rPr>
  </w:style>
  <w:style w:type="paragraph" w:customStyle="1" w:styleId="MarginEdition">
    <w:name w:val="Margin Edition"/>
    <w:basedOn w:val="MarginNote"/>
    <w:rsid w:val="00F831C9"/>
    <w:pPr>
      <w:spacing w:before="0" w:after="0"/>
    </w:pPr>
    <w:rPr>
      <w:rFonts w:ascii="Times New Roman" w:hAnsi="Times New Roman"/>
      <w:color w:val="999999"/>
    </w:rPr>
  </w:style>
  <w:style w:type="paragraph" w:customStyle="1" w:styleId="Spacer">
    <w:name w:val="Spacer"/>
    <w:basedOn w:val="Normal"/>
    <w:rsid w:val="00F831C9"/>
    <w:rPr>
      <w:sz w:val="2"/>
      <w:szCs w:val="2"/>
    </w:rPr>
  </w:style>
  <w:style w:type="character" w:customStyle="1" w:styleId="Small">
    <w:name w:val="Small"/>
    <w:basedOn w:val="DefaultParagraphFont"/>
    <w:rsid w:val="00F831C9"/>
    <w:rPr>
      <w:sz w:val="16"/>
    </w:rPr>
  </w:style>
  <w:style w:type="paragraph" w:customStyle="1" w:styleId="WideTable">
    <w:name w:val="Wide Table"/>
    <w:basedOn w:val="Normal"/>
    <w:rsid w:val="00F831C9"/>
    <w:pPr>
      <w:ind w:left="-1418"/>
    </w:pPr>
    <w:rPr>
      <w:sz w:val="2"/>
      <w:szCs w:val="2"/>
    </w:rPr>
  </w:style>
  <w:style w:type="character" w:styleId="PageNumber">
    <w:name w:val="page number"/>
    <w:basedOn w:val="DefaultParagraphFont"/>
    <w:rsid w:val="00F831C9"/>
  </w:style>
  <w:style w:type="paragraph" w:styleId="Quote">
    <w:name w:val="Quote"/>
    <w:basedOn w:val="Heading1"/>
    <w:link w:val="QuoteChar"/>
    <w:qFormat/>
    <w:rsid w:val="00F831C9"/>
    <w:rPr>
      <w:b w:val="0"/>
      <w:sz w:val="72"/>
      <w:szCs w:val="72"/>
      <w:lang w:val="en-NZ"/>
    </w:rPr>
  </w:style>
  <w:style w:type="character" w:customStyle="1" w:styleId="QuoteChar">
    <w:name w:val="Quote Char"/>
    <w:basedOn w:val="DefaultParagraphFont"/>
    <w:link w:val="Quote"/>
    <w:rsid w:val="00F831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31C9"/>
    <w:pPr>
      <w:pageBreakBefore/>
    </w:pPr>
  </w:style>
  <w:style w:type="paragraph" w:customStyle="1" w:styleId="Border">
    <w:name w:val="Border"/>
    <w:basedOn w:val="Normal"/>
    <w:qFormat/>
    <w:rsid w:val="00F831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31C9"/>
    <w:rPr>
      <w:b/>
      <w:bCs/>
      <w:i/>
      <w:iCs/>
      <w:color w:val="auto"/>
    </w:rPr>
  </w:style>
  <w:style w:type="paragraph" w:styleId="IntenseQuote">
    <w:name w:val="Intense Quote"/>
    <w:basedOn w:val="Normal"/>
    <w:next w:val="Normal"/>
    <w:link w:val="IntenseQuoteChar"/>
    <w:uiPriority w:val="30"/>
    <w:qFormat/>
    <w:rsid w:val="00F831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31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31C9"/>
    <w:rPr>
      <w:smallCaps/>
      <w:color w:val="auto"/>
      <w:u w:val="single"/>
    </w:rPr>
  </w:style>
  <w:style w:type="character" w:styleId="IntenseReference">
    <w:name w:val="Intense Reference"/>
    <w:basedOn w:val="DefaultParagraphFont"/>
    <w:uiPriority w:val="32"/>
    <w:qFormat/>
    <w:rsid w:val="00F831C9"/>
    <w:rPr>
      <w:b/>
      <w:bCs/>
      <w:smallCaps/>
      <w:color w:val="auto"/>
      <w:spacing w:val="5"/>
      <w:u w:val="single"/>
    </w:rPr>
  </w:style>
  <w:style w:type="paragraph" w:customStyle="1" w:styleId="2ColumnHeading">
    <w:name w:val="2Column Heading"/>
    <w:basedOn w:val="BodyText"/>
    <w:qFormat/>
    <w:rsid w:val="00F831C9"/>
    <w:pPr>
      <w:spacing w:after="60"/>
      <w:ind w:left="-2268"/>
    </w:pPr>
    <w:rPr>
      <w:b/>
    </w:rPr>
  </w:style>
  <w:style w:type="paragraph" w:customStyle="1" w:styleId="Heading1TOC">
    <w:name w:val="Heading1 TOC"/>
    <w:basedOn w:val="Normal"/>
    <w:qFormat/>
    <w:rsid w:val="00F831C9"/>
    <w:pPr>
      <w:spacing w:before="240" w:after="120"/>
    </w:pPr>
    <w:rPr>
      <w:rFonts w:ascii="Times New Roman" w:hAnsi="Times New Roman"/>
      <w:b/>
      <w:sz w:val="32"/>
    </w:rPr>
  </w:style>
  <w:style w:type="paragraph" w:customStyle="1" w:styleId="Heading2TOC">
    <w:name w:val="Heading2 TOC"/>
    <w:basedOn w:val="Normal"/>
    <w:qFormat/>
    <w:rsid w:val="00F831C9"/>
    <w:pPr>
      <w:spacing w:before="240" w:after="60"/>
    </w:pPr>
    <w:rPr>
      <w:rFonts w:ascii="Times New Roman" w:hAnsi="Times New Roman"/>
      <w:b/>
      <w:sz w:val="28"/>
    </w:rPr>
  </w:style>
  <w:style w:type="character" w:customStyle="1" w:styleId="Underline">
    <w:name w:val="Underline"/>
    <w:basedOn w:val="DefaultParagraphFont"/>
    <w:qFormat/>
    <w:rsid w:val="00F831C9"/>
    <w:rPr>
      <w:u w:val="single"/>
    </w:rPr>
  </w:style>
  <w:style w:type="character" w:customStyle="1" w:styleId="BoldandItalics">
    <w:name w:val="Bold and Italics"/>
    <w:qFormat/>
    <w:rsid w:val="00F831C9"/>
    <w:rPr>
      <w:b/>
      <w:i/>
      <w:u w:val="none"/>
    </w:rPr>
  </w:style>
  <w:style w:type="paragraph" w:styleId="BalloonText">
    <w:name w:val="Balloon Text"/>
    <w:basedOn w:val="Normal"/>
    <w:link w:val="BalloonTextChar"/>
    <w:rsid w:val="00F831C9"/>
    <w:rPr>
      <w:rFonts w:ascii="Tahoma" w:hAnsi="Tahoma" w:cs="Tahoma"/>
      <w:sz w:val="16"/>
      <w:szCs w:val="16"/>
    </w:rPr>
  </w:style>
  <w:style w:type="character" w:customStyle="1" w:styleId="BalloonTextChar">
    <w:name w:val="Balloon Text Char"/>
    <w:basedOn w:val="DefaultParagraphFont"/>
    <w:link w:val="BalloonText"/>
    <w:rsid w:val="00F831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31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31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31C9"/>
    <w:rPr>
      <w:b/>
      <w:color w:val="660033"/>
      <w:spacing w:val="0"/>
    </w:rPr>
  </w:style>
  <w:style w:type="paragraph" w:customStyle="1" w:styleId="Nameditemlist">
    <w:name w:val="Named item list"/>
    <w:basedOn w:val="BodyText"/>
    <w:qFormat/>
    <w:rsid w:val="00F831C9"/>
    <w:pPr>
      <w:tabs>
        <w:tab w:val="left" w:pos="2835"/>
      </w:tabs>
      <w:ind w:left="2835" w:hanging="2835"/>
    </w:pPr>
  </w:style>
  <w:style w:type="paragraph" w:customStyle="1" w:styleId="BodyTextnopadding">
    <w:name w:val="Body Text no padding"/>
    <w:basedOn w:val="BodyText"/>
    <w:qFormat/>
    <w:rsid w:val="00F831C9"/>
    <w:pPr>
      <w:spacing w:before="0" w:after="0"/>
    </w:pPr>
  </w:style>
  <w:style w:type="paragraph" w:customStyle="1" w:styleId="BodyTextBold">
    <w:name w:val="Body Text Bold"/>
    <w:basedOn w:val="BodyText"/>
    <w:qFormat/>
    <w:rsid w:val="00F831C9"/>
    <w:rPr>
      <w:b/>
    </w:rPr>
  </w:style>
  <w:style w:type="character" w:styleId="Hyperlink">
    <w:name w:val="Hyperlink"/>
    <w:basedOn w:val="DefaultParagraphFont"/>
    <w:uiPriority w:val="99"/>
    <w:unhideWhenUsed/>
    <w:rsid w:val="00C561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1058</Words>
  <Characters>7039</Characters>
  <Application>Microsoft Office Word</Application>
  <DocSecurity>0</DocSecurity>
  <Lines>227</Lines>
  <Paragraphs>139</Paragraphs>
  <ScaleCrop>false</ScaleCrop>
  <Company>Author-it Software Corporation Ltd.</Company>
  <LinksUpToDate>false</LinksUpToDate>
  <CharactersWithSpaces>7958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MEA124 Coordinate change programs in the aviation maintenance environment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2025-03-01T14:14:00Z</dcterms:created>
  <dcterms:modified xsi:type="dcterms:W3CDTF">2025-03-01T14:14:00Z</dcterms:modified>
</cp:coreProperties>
</file>