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8E9" w:rsidP="00A808E9">
      <w:pPr>
        <w:pStyle w:val="Title"/>
      </w:pPr>
      <w:r>
        <w:fldChar w:fldCharType="begin"/>
      </w:r>
      <w:r>
        <w:instrText xml:space="preserve"> TITLE   \* MERGEFORMAT </w:instrText>
      </w:r>
      <w:r>
        <w:fldChar w:fldCharType="separate"/>
      </w:r>
      <w:r>
        <w:t>MEA101 Interpret work health and safety practices in aviation maintenance</w:t>
      </w:r>
      <w:r>
        <w:fldChar w:fldCharType="end"/>
      </w:r>
    </w:p>
    <w:p w:rsidR="00A808E9" w:rsidP="00A808E9">
      <w:pPr>
        <w:pStyle w:val="Version"/>
        <w:sectPr w:rsidSect="00D15E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E41" w:rsidP="00D15E41">
      <w:pPr>
        <w:pStyle w:val="SuperHeading"/>
      </w:pPr>
      <w:r w:rsidRPr="00D15E41">
        <w:t>MEA101 Interpret work health and safety practices in aviation maintenance</w:t>
      </w:r>
    </w:p>
    <w:p w:rsidR="00000000" w:rsidRPr="00D15E41" w:rsidP="00D15E41">
      <w:pPr>
        <w:pStyle w:val="Heading1"/>
      </w:pPr>
      <w:bookmarkStart w:id="1" w:name="O_718690"/>
      <w:bookmarkEnd w:id="1"/>
      <w:r w:rsidRPr="00D15E41">
        <w:t>Modification History</w:t>
      </w:r>
    </w:p>
    <w:p w:rsidR="00000000" w:rsidRPr="00D15E41" w:rsidP="00D15E41">
      <w:pPr>
        <w:pStyle w:val="BodyText"/>
      </w:pPr>
      <w:r w:rsidRPr="00D15E41">
        <w:t>Release 1 - New unit of competency</w:t>
      </w:r>
    </w:p>
    <w:p w:rsidR="00000000" w:rsidRPr="00D15E41" w:rsidP="00D15E41">
      <w:pPr>
        <w:pStyle w:val="AllowPageBreak"/>
      </w:pPr>
    </w:p>
    <w:p w:rsidR="00000000" w:rsidRPr="00D15E41" w:rsidP="00D15E41">
      <w:pPr>
        <w:pStyle w:val="Heading1"/>
      </w:pPr>
      <w:bookmarkStart w:id="2" w:name="O_718691"/>
      <w:bookmarkEnd w:id="2"/>
      <w:r w:rsidRPr="00D15E41">
        <w:t>Application</w:t>
      </w:r>
    </w:p>
    <w:p w:rsidR="00000000" w:rsidRPr="00D15E41" w:rsidP="00D15E41">
      <w:pPr>
        <w:pStyle w:val="BodyText"/>
      </w:pPr>
      <w:r w:rsidRPr="00D15E41">
        <w:t>This unit of competency cover</w:t>
      </w:r>
      <w:r w:rsidRPr="00D15E41">
        <w:t>s the skills and knowledge required to comply with work health and safety (WHS) regulations and work safely in aircraft maintenance areas. It requires application of WHS practices relevant to aviation maintenance workplaces in order to ensure own safety an</w:t>
      </w:r>
      <w:r w:rsidRPr="00D15E41">
        <w:t>d that of others in the workplace.</w:t>
      </w:r>
    </w:p>
    <w:p w:rsidR="00000000" w:rsidRPr="00D15E41" w:rsidP="00D15E41">
      <w:pPr>
        <w:pStyle w:val="BodyText"/>
      </w:pPr>
    </w:p>
    <w:p w:rsidR="00000000" w:rsidRPr="00D15E41" w:rsidP="00D15E41">
      <w:pPr>
        <w:pStyle w:val="BodyText"/>
      </w:pPr>
      <w:r w:rsidRPr="00D15E41">
        <w:t>Workplaces include the flight line or tarmac, hangars and workshops. Maintenance activities include all scheduled and unscheduled maintenance on fixed or rotary wing aircraft and on the components thereof. Work may be pe</w:t>
      </w:r>
      <w:r w:rsidRPr="00D15E41">
        <w:t>rformed individually or as part of a team.</w:t>
      </w:r>
    </w:p>
    <w:p w:rsidR="00000000" w:rsidRPr="00D15E41" w:rsidP="00D15E41">
      <w:pPr>
        <w:pStyle w:val="BodyText"/>
      </w:pPr>
    </w:p>
    <w:p w:rsidR="00000000" w:rsidRPr="00D15E41" w:rsidP="00D15E41">
      <w:pPr>
        <w:pStyle w:val="BodyText"/>
      </w:pPr>
      <w:r w:rsidRPr="00D15E41">
        <w:t xml:space="preserve">The unit is used in workplaces that operate under the airworthiness regulatory systems of the Australian Defence Force (ADF) and the Civil Aviation Safety Authority (CASA). </w:t>
      </w:r>
    </w:p>
    <w:p w:rsidR="00000000" w:rsidRPr="00D15E41" w:rsidP="00D15E41">
      <w:pPr>
        <w:pStyle w:val="BodyText"/>
      </w:pPr>
    </w:p>
    <w:p w:rsidR="00000000" w:rsidRPr="00D15E41" w:rsidP="00D15E41">
      <w:pPr>
        <w:pStyle w:val="BodyText"/>
      </w:pPr>
      <w:r w:rsidRPr="00D15E41">
        <w:t>Where a CASA licensing outcome is sou</w:t>
      </w:r>
      <w:r w:rsidRPr="00D15E41">
        <w:t>ght this unit forms part of the CASA requirement for the granting of the chosen maintenance certification licence under Civil Aviation Safety Regulation (CASR) Part 66, in accordance with the licensing provisions in the Companion Volume Implementation Guid</w:t>
      </w:r>
      <w:r w:rsidRPr="00D15E41">
        <w:t>e.</w:t>
      </w:r>
    </w:p>
    <w:p w:rsidR="00000000" w:rsidRPr="00D15E41" w:rsidP="00D15E41">
      <w:pPr>
        <w:pStyle w:val="AllowPageBreak"/>
      </w:pPr>
    </w:p>
    <w:p w:rsidR="00000000" w:rsidRPr="00D15E41" w:rsidP="00D15E41">
      <w:pPr>
        <w:pStyle w:val="Heading1"/>
      </w:pPr>
      <w:bookmarkStart w:id="3" w:name="O_718692"/>
      <w:bookmarkEnd w:id="3"/>
      <w:r w:rsidRPr="00D15E41">
        <w:t>Pre-requisite Unit</w:t>
      </w:r>
    </w:p>
    <w:p w:rsidR="00000000" w:rsidRPr="00D15E41" w:rsidP="00D15E41">
      <w:pPr>
        <w:pStyle w:val="Heading1"/>
      </w:pPr>
      <w:bookmarkStart w:id="4" w:name="O_718693"/>
      <w:bookmarkEnd w:id="4"/>
      <w:r w:rsidRPr="00D15E41">
        <w:t>Competency Field</w:t>
      </w:r>
    </w:p>
    <w:p w:rsidR="00000000" w:rsidRPr="00D15E41" w:rsidP="00D15E41">
      <w:pPr>
        <w:pStyle w:val="BodyText"/>
      </w:pPr>
      <w:r w:rsidRPr="00D15E41">
        <w:t>Aviation maintenance</w:t>
      </w:r>
    </w:p>
    <w:p w:rsidR="00000000" w:rsidRPr="00D15E41" w:rsidP="00D15E41">
      <w:pPr>
        <w:pStyle w:val="AllowPageBreak"/>
      </w:pPr>
    </w:p>
    <w:p w:rsidR="00000000" w:rsidRPr="00D15E41" w:rsidP="00D15E41">
      <w:pPr>
        <w:pStyle w:val="Heading1"/>
      </w:pPr>
      <w:bookmarkStart w:id="5" w:name="O_718694"/>
      <w:bookmarkEnd w:id="5"/>
      <w:r w:rsidRPr="00D15E41">
        <w:t>Unit Sector</w:t>
      </w:r>
    </w:p>
    <w:p w:rsidR="00000000" w:rsidRPr="00D15E41" w:rsidP="00D15E41">
      <w:pPr>
        <w:pStyle w:val="Heading1"/>
      </w:pPr>
      <w:bookmarkStart w:id="6" w:name="O_718695"/>
      <w:bookmarkEnd w:id="6"/>
      <w:r w:rsidRPr="00D15E41">
        <w:t>Elements and Performance Criteria</w:t>
      </w:r>
    </w:p>
    <w:tbl>
      <w:tblPr>
        <w:tblW w:w="9270" w:type="dxa"/>
        <w:tblLayout w:type="fixed"/>
        <w:tblCellMar>
          <w:left w:w="62" w:type="dxa"/>
          <w:right w:w="62" w:type="dxa"/>
        </w:tblCellMar>
        <w:tblLook w:val="0000"/>
      </w:tblPr>
      <w:tblGrid>
        <w:gridCol w:w="720"/>
        <w:gridCol w:w="2250"/>
        <w:gridCol w:w="900"/>
        <w:gridCol w:w="5400"/>
      </w:tblGrid>
      <w:tr w:rsidTr="00D15E41">
        <w:tblPrEx>
          <w:tblW w:w="9270"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Elements describe the essential outcomes.</w:t>
            </w:r>
          </w:p>
        </w:tc>
        <w:tc>
          <w:tcPr>
            <w:tcW w:w="6300" w:type="dxa"/>
            <w:gridSpan w:val="2"/>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Performance criteria describe the perform</w:t>
            </w:r>
            <w:r w:rsidRPr="00D15E41">
              <w:t xml:space="preserve">ance needed to demonstrate achievement of the element. </w:t>
            </w:r>
          </w:p>
        </w:tc>
      </w:tr>
      <w:tr w:rsidTr="00D15E41">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1.</w:t>
            </w:r>
          </w:p>
        </w:tc>
        <w:tc>
          <w:tcPr>
            <w:tcW w:w="225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Interpret safe work practices</w:t>
            </w:r>
          </w:p>
        </w:tc>
        <w:tc>
          <w:tcPr>
            <w:tcW w:w="9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1.1</w:t>
            </w:r>
          </w:p>
        </w:tc>
        <w:tc>
          <w:tcPr>
            <w:tcW w:w="54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Relevant regulatory and enterprise policies and procedures that identify the requirements for conduct of safe work are interpreted and understood</w:t>
            </w:r>
          </w:p>
        </w:tc>
      </w:tr>
      <w:tr w:rsidTr="00D15E41">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1.2</w:t>
            </w:r>
          </w:p>
        </w:tc>
        <w:tc>
          <w:tcPr>
            <w:tcW w:w="54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Workplace housekeeping measures are identified in accordance with standard enterprise procedures</w:t>
            </w:r>
          </w:p>
        </w:tc>
      </w:tr>
      <w:tr w:rsidTr="00D15E41">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1.3</w:t>
            </w:r>
          </w:p>
        </w:tc>
        <w:tc>
          <w:tcPr>
            <w:tcW w:w="54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 xml:space="preserve">Use of personal protective equipment (PPE) is identified and understood and maintenance measures are interpreted and understood according to regulatory </w:t>
            </w:r>
            <w:r w:rsidRPr="00D15E41">
              <w:t>and enterprise procedures</w:t>
            </w:r>
          </w:p>
        </w:tc>
      </w:tr>
      <w:tr w:rsidTr="00D15E41">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1.4</w:t>
            </w:r>
          </w:p>
        </w:tc>
        <w:tc>
          <w:tcPr>
            <w:tcW w:w="54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Safety signs and symbols are interpreted and understood, and their directions observed in accordance with enterprise and safety requirements</w:t>
            </w:r>
          </w:p>
        </w:tc>
      </w:tr>
      <w:tr w:rsidTr="00D15E41">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2.</w:t>
            </w:r>
          </w:p>
        </w:tc>
        <w:tc>
          <w:tcPr>
            <w:tcW w:w="225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Interpret reporting procedures for workplace hazards</w:t>
            </w:r>
          </w:p>
        </w:tc>
        <w:tc>
          <w:tcPr>
            <w:tcW w:w="9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2.1</w:t>
            </w:r>
          </w:p>
        </w:tc>
        <w:tc>
          <w:tcPr>
            <w:tcW w:w="54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Workplace hazards are correctly identified and reporting procedures interpreted and understood according to standard enterprise procedures</w:t>
            </w:r>
          </w:p>
        </w:tc>
      </w:tr>
      <w:tr w:rsidTr="00D15E41">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3.</w:t>
            </w:r>
          </w:p>
        </w:tc>
        <w:tc>
          <w:tcPr>
            <w:tcW w:w="225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Interpret emergency procedures</w:t>
            </w:r>
          </w:p>
        </w:tc>
        <w:tc>
          <w:tcPr>
            <w:tcW w:w="9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3.1</w:t>
            </w:r>
          </w:p>
        </w:tc>
        <w:tc>
          <w:tcPr>
            <w:tcW w:w="54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Method of contacting the appropriate personnel and emergency services in the e</w:t>
            </w:r>
            <w:r w:rsidRPr="00D15E41">
              <w:t>vent of an accident is appropriate to enterprise requirements</w:t>
            </w:r>
          </w:p>
        </w:tc>
      </w:tr>
      <w:tr w:rsidTr="00D15E41">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3.2</w:t>
            </w:r>
          </w:p>
        </w:tc>
        <w:tc>
          <w:tcPr>
            <w:tcW w:w="54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Emergency and evacuation procedures are interpreted and understood to ensure safe conduct of personnel according to enterprise procedures</w:t>
            </w:r>
          </w:p>
        </w:tc>
      </w:tr>
      <w:tr w:rsidTr="00D15E41">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3.3</w:t>
            </w:r>
          </w:p>
        </w:tc>
        <w:tc>
          <w:tcPr>
            <w:tcW w:w="5400" w:type="dxa"/>
            <w:tcBorders>
              <w:top w:val="nil"/>
              <w:left w:val="nil"/>
              <w:bottom w:val="nil"/>
              <w:right w:val="nil"/>
            </w:tcBorders>
            <w:tcMar>
              <w:top w:w="0" w:type="dxa"/>
              <w:left w:w="62" w:type="dxa"/>
              <w:bottom w:w="0" w:type="dxa"/>
              <w:right w:w="62" w:type="dxa"/>
            </w:tcMar>
          </w:tcPr>
          <w:p w:rsidR="00000000" w:rsidRPr="00D15E41" w:rsidP="00D15E41">
            <w:pPr>
              <w:pStyle w:val="BodyText"/>
            </w:pPr>
            <w:r w:rsidRPr="00D15E41">
              <w:t>Use of emergency equipment is correctly identified to comply with regulatory or enterprise procedures</w:t>
            </w:r>
          </w:p>
        </w:tc>
      </w:tr>
    </w:tbl>
    <w:p w:rsidR="00000000" w:rsidRPr="00D15E41" w:rsidP="00D15E41">
      <w:pPr>
        <w:pStyle w:val="BodyText"/>
      </w:pPr>
    </w:p>
    <w:p w:rsidR="00000000" w:rsidRPr="00D15E41" w:rsidP="00D15E41">
      <w:pPr>
        <w:pStyle w:val="AllowPageBreak"/>
      </w:pPr>
    </w:p>
    <w:p w:rsidR="00000000" w:rsidRPr="00D15E41" w:rsidP="00D15E41">
      <w:pPr>
        <w:pStyle w:val="Heading1"/>
      </w:pPr>
      <w:bookmarkStart w:id="7" w:name="O_718696"/>
      <w:bookmarkEnd w:id="7"/>
      <w:r w:rsidRPr="00D15E41">
        <w:t>Foundation Skills</w:t>
      </w:r>
    </w:p>
    <w:p w:rsidR="00000000" w:rsidRPr="00D15E41" w:rsidP="00D15E41">
      <w:pPr>
        <w:pStyle w:val="BodyText"/>
      </w:pPr>
      <w:r w:rsidRPr="00D15E41">
        <w:t>Foundation skills essential to performance are explicit in the performance criteria of this unit of competency.</w:t>
      </w:r>
    </w:p>
    <w:p w:rsidR="00000000" w:rsidRPr="00D15E41" w:rsidP="00D15E41">
      <w:pPr>
        <w:pStyle w:val="AllowPageBreak"/>
      </w:pPr>
    </w:p>
    <w:p w:rsidR="00000000" w:rsidRPr="00D15E41" w:rsidP="00D15E41">
      <w:pPr>
        <w:pStyle w:val="Heading1"/>
      </w:pPr>
      <w:bookmarkStart w:id="8" w:name="O_718697"/>
      <w:bookmarkEnd w:id="8"/>
      <w:r w:rsidRPr="00D15E41">
        <w:t>Range of Conditions</w:t>
      </w:r>
    </w:p>
    <w:tbl>
      <w:tblPr>
        <w:tblW w:w="0" w:type="auto"/>
        <w:tblLayout w:type="fixed"/>
        <w:tblCellMar>
          <w:left w:w="62" w:type="dxa"/>
          <w:right w:w="62" w:type="dxa"/>
        </w:tblCellMar>
        <w:tblLook w:val="0000"/>
      </w:tblPr>
      <w:tblGrid>
        <w:gridCol w:w="3150"/>
        <w:gridCol w:w="5922"/>
      </w:tblGrid>
      <w:tr w:rsidTr="00D15E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t xml:space="preserve">This field allows for different work environments and conditions that may affect performance. Essential operating conditions that may be present (depending on the work situation, needs of the candidate, accessibility of the </w:t>
            </w:r>
            <w:r w:rsidRPr="00D15E41">
              <w:t>item, and local industry and regional contexts) are included.</w:t>
            </w:r>
          </w:p>
        </w:tc>
      </w:tr>
      <w:tr w:rsidTr="00D15E4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rPr>
                <w:rStyle w:val="SpecialBold"/>
              </w:rPr>
              <w:t>Requirements for conduct of safe work include:</w:t>
            </w:r>
          </w:p>
        </w:tc>
        <w:tc>
          <w:tcPr>
            <w:tcW w:w="5922" w:type="dxa"/>
            <w:tcBorders>
              <w:top w:val="nil"/>
              <w:left w:val="nil"/>
              <w:bottom w:val="nil"/>
              <w:right w:val="nil"/>
            </w:tcBorders>
            <w:tcMar>
              <w:top w:w="0" w:type="dxa"/>
              <w:left w:w="62" w:type="dxa"/>
              <w:bottom w:w="0" w:type="dxa"/>
              <w:right w:w="62" w:type="dxa"/>
            </w:tcMar>
          </w:tcPr>
          <w:p w:rsidR="00000000" w:rsidRPr="00D15E41" w:rsidP="00D15E41">
            <w:pPr>
              <w:pStyle w:val="ListBullet"/>
            </w:pPr>
            <w:r w:rsidRPr="00D15E41">
              <w:t>Applying general duty of care under WHS legislation and common law</w:t>
            </w:r>
          </w:p>
          <w:p w:rsidR="00000000" w:rsidRPr="00D15E41" w:rsidP="00D15E41">
            <w:pPr>
              <w:pStyle w:val="ListBullet"/>
            </w:pPr>
            <w:r w:rsidRPr="00D15E41">
              <w:t>Fluid and gas high and low pressure systems, including fluid handling (for example, hydraulic fluids, lubricants, compressed air, nitrogen and oxygen)</w:t>
            </w:r>
          </w:p>
          <w:p w:rsidR="00000000" w:rsidRPr="00D15E41" w:rsidP="00D15E41">
            <w:pPr>
              <w:pStyle w:val="ListBullet"/>
            </w:pPr>
            <w:r w:rsidRPr="00D15E41">
              <w:t>Fuelling/defuelling and working on fuel systems</w:t>
            </w:r>
          </w:p>
          <w:p w:rsidR="00000000" w:rsidRPr="00D15E41" w:rsidP="00D15E41">
            <w:pPr>
              <w:pStyle w:val="ListBullet"/>
            </w:pPr>
            <w:r w:rsidRPr="00D15E41">
              <w:t>Using and handling chemicals, including solvents and batt</w:t>
            </w:r>
            <w:r w:rsidRPr="00D15E41">
              <w:t>ery acids</w:t>
            </w:r>
          </w:p>
          <w:p w:rsidR="00000000" w:rsidRPr="00D15E41" w:rsidP="00D15E41">
            <w:pPr>
              <w:pStyle w:val="ListBullet"/>
            </w:pPr>
            <w:r w:rsidRPr="00D15E41">
              <w:t>Electrical systems, outlets and leads</w:t>
            </w:r>
          </w:p>
          <w:p w:rsidR="00000000" w:rsidRPr="00D15E41" w:rsidP="00D15E41">
            <w:pPr>
              <w:pStyle w:val="ListBullet"/>
            </w:pPr>
            <w:r w:rsidRPr="00D15E41">
              <w:t>Noise hazard areas and aircraft safety zones</w:t>
            </w:r>
          </w:p>
          <w:p w:rsidR="00000000" w:rsidRPr="00D15E41" w:rsidP="00D15E41">
            <w:pPr>
              <w:pStyle w:val="ListBullet"/>
            </w:pPr>
            <w:r w:rsidRPr="00D15E41">
              <w:t>Aircraft handling, towing, jacking, ground equipment operation and signage</w:t>
            </w:r>
          </w:p>
          <w:p w:rsidR="00000000" w:rsidRPr="00D15E41" w:rsidP="00D15E41">
            <w:pPr>
              <w:pStyle w:val="ListBullet"/>
            </w:pPr>
            <w:r w:rsidRPr="00D15E41">
              <w:t>Personal protection</w:t>
            </w:r>
          </w:p>
          <w:p w:rsidR="00000000" w:rsidRPr="00D15E41" w:rsidP="00D15E41">
            <w:pPr>
              <w:pStyle w:val="ListBullet"/>
            </w:pPr>
            <w:r w:rsidRPr="00D15E41">
              <w:t xml:space="preserve">Housekeeping and cleaning, waste disposal and foreign object damage </w:t>
            </w:r>
            <w:r w:rsidRPr="00D15E41">
              <w:t>(FOD) prevention practices and procedures</w:t>
            </w:r>
          </w:p>
          <w:p w:rsidR="00000000" w:rsidRPr="00D15E41" w:rsidP="00D15E41">
            <w:pPr>
              <w:pStyle w:val="ListBullet"/>
            </w:pPr>
            <w:r w:rsidRPr="00D15E41">
              <w:t>Confined space entry (where applicable to the enterprise)</w:t>
            </w:r>
          </w:p>
          <w:p w:rsidR="00000000" w:rsidRPr="00D15E41" w:rsidP="00D15E41">
            <w:pPr>
              <w:pStyle w:val="ListBullet"/>
            </w:pPr>
            <w:r w:rsidRPr="00D15E41">
              <w:t>Aircraft strobe lighting (where applicable to the enterprise)</w:t>
            </w:r>
          </w:p>
          <w:p w:rsidR="00000000" w:rsidP="00D15E41">
            <w:pPr>
              <w:pStyle w:val="ListBullet"/>
              <w:rPr>
                <w:lang w:val="en-NZ"/>
              </w:rPr>
            </w:pPr>
            <w:r w:rsidRPr="00D15E41">
              <w:t>Ionising and non-ionising radiation equipment (where applicable to the enterprise)</w:t>
            </w:r>
          </w:p>
        </w:tc>
      </w:tr>
      <w:tr w:rsidTr="00D15E4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rPr>
                <w:rStyle w:val="SpecialBold"/>
              </w:rPr>
              <w:t>Relevant r</w:t>
            </w:r>
            <w:r w:rsidRPr="00D15E41">
              <w:rPr>
                <w:rStyle w:val="SpecialBold"/>
              </w:rPr>
              <w:t>egulatory and enterprise policies and procedures are found in:</w:t>
            </w:r>
          </w:p>
        </w:tc>
        <w:tc>
          <w:tcPr>
            <w:tcW w:w="5922" w:type="dxa"/>
            <w:tcBorders>
              <w:top w:val="nil"/>
              <w:left w:val="nil"/>
              <w:bottom w:val="nil"/>
              <w:right w:val="nil"/>
            </w:tcBorders>
            <w:tcMar>
              <w:top w:w="0" w:type="dxa"/>
              <w:left w:w="62" w:type="dxa"/>
              <w:bottom w:w="0" w:type="dxa"/>
              <w:right w:w="62" w:type="dxa"/>
            </w:tcMar>
          </w:tcPr>
          <w:p w:rsidR="00000000" w:rsidRPr="00D15E41" w:rsidP="00D15E41">
            <w:pPr>
              <w:pStyle w:val="ListBullet"/>
            </w:pPr>
            <w:r w:rsidRPr="00D15E41">
              <w:t>Commonwealth, State and Territory WHS Acts, regulations and codes of practice, including regulations and codes of practice relating to hazards present in the workplace or industry</w:t>
            </w:r>
          </w:p>
          <w:p w:rsidR="00000000" w:rsidRPr="00D15E41" w:rsidP="00D15E41">
            <w:pPr>
              <w:pStyle w:val="ListBullet"/>
            </w:pPr>
            <w:r w:rsidRPr="00D15E41">
              <w:t>Organisation</w:t>
            </w:r>
            <w:r w:rsidRPr="00D15E41">
              <w:t>al safety manuals that specify provisions relating to roles and responsibilities of health and safety representatives and/or WHS committees and provisions relating to WHS issue resolution</w:t>
            </w:r>
          </w:p>
          <w:p w:rsidR="00000000" w:rsidRPr="00D15E41" w:rsidP="00D15E41">
            <w:pPr>
              <w:pStyle w:val="ListBullet"/>
            </w:pPr>
            <w:r w:rsidRPr="00D15E41">
              <w:t>Maintenance organisation manuals</w:t>
            </w:r>
          </w:p>
          <w:p w:rsidR="00000000" w:rsidRPr="00D15E41" w:rsidP="00D15E41">
            <w:pPr>
              <w:pStyle w:val="ListBullet"/>
            </w:pPr>
            <w:r w:rsidRPr="00D15E41">
              <w:t>Procedures manuals</w:t>
            </w:r>
          </w:p>
          <w:p w:rsidR="00000000" w:rsidRPr="00D15E41" w:rsidP="00D15E41">
            <w:pPr>
              <w:pStyle w:val="ListBullet"/>
            </w:pPr>
            <w:r w:rsidRPr="00D15E41">
              <w:t>Work instructions</w:t>
            </w:r>
          </w:p>
          <w:p w:rsidR="00000000" w:rsidRPr="00D15E41" w:rsidP="00D15E41">
            <w:pPr>
              <w:pStyle w:val="ListBullet"/>
            </w:pPr>
            <w:r w:rsidRPr="00D15E41">
              <w:t>Relevant Defence instructions</w:t>
            </w:r>
          </w:p>
          <w:p w:rsidR="00000000" w:rsidP="00D15E41">
            <w:pPr>
              <w:pStyle w:val="ListBullet"/>
              <w:rPr>
                <w:lang w:val="en-NZ"/>
              </w:rPr>
            </w:pPr>
            <w:r w:rsidRPr="00D15E41">
              <w:t>Civil Aviation Safety Regulations (CASRs)</w:t>
            </w:r>
          </w:p>
        </w:tc>
      </w:tr>
      <w:tr w:rsidTr="00D15E4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rPr>
                <w:rStyle w:val="SpecialBold"/>
              </w:rPr>
              <w:t>Personal protective equipment (PPE) requirements are found in:</w:t>
            </w:r>
          </w:p>
        </w:tc>
        <w:tc>
          <w:tcPr>
            <w:tcW w:w="5922" w:type="dxa"/>
            <w:tcBorders>
              <w:top w:val="nil"/>
              <w:left w:val="nil"/>
              <w:bottom w:val="nil"/>
              <w:right w:val="nil"/>
            </w:tcBorders>
            <w:tcMar>
              <w:top w:w="0" w:type="dxa"/>
              <w:left w:w="62" w:type="dxa"/>
              <w:bottom w:w="0" w:type="dxa"/>
              <w:right w:w="62" w:type="dxa"/>
            </w:tcMar>
          </w:tcPr>
          <w:p w:rsidR="00000000" w:rsidRPr="00D15E41" w:rsidP="00D15E41">
            <w:pPr>
              <w:pStyle w:val="ListBullet"/>
            </w:pPr>
            <w:r w:rsidRPr="00D15E41">
              <w:t>Material safety data sheets (MSDS)</w:t>
            </w:r>
          </w:p>
          <w:p w:rsidR="00000000" w:rsidRPr="00D15E41" w:rsidP="00D15E41">
            <w:pPr>
              <w:pStyle w:val="ListBullet"/>
            </w:pPr>
            <w:r w:rsidRPr="00D15E41">
              <w:t>Safety manuals</w:t>
            </w:r>
          </w:p>
          <w:p w:rsidR="00000000" w:rsidRPr="00D15E41" w:rsidP="00D15E41">
            <w:pPr>
              <w:pStyle w:val="ListBullet"/>
            </w:pPr>
            <w:r w:rsidRPr="00D15E41">
              <w:t>Procedures manuals</w:t>
            </w:r>
          </w:p>
          <w:p w:rsidR="00000000" w:rsidRPr="00D15E41" w:rsidP="00D15E41">
            <w:pPr>
              <w:pStyle w:val="ListBullet"/>
            </w:pPr>
            <w:r w:rsidRPr="00D15E41">
              <w:t>Maintenance manuals</w:t>
            </w:r>
          </w:p>
          <w:p w:rsidR="00000000" w:rsidRPr="00D15E41" w:rsidP="00D15E41">
            <w:pPr>
              <w:pStyle w:val="ListBullet"/>
            </w:pPr>
            <w:r w:rsidRPr="00D15E41">
              <w:t>Work instruc</w:t>
            </w:r>
            <w:r w:rsidRPr="00D15E41">
              <w:t>tions</w:t>
            </w:r>
          </w:p>
          <w:p w:rsidR="00000000" w:rsidP="00D15E41">
            <w:pPr>
              <w:pStyle w:val="ListBullet"/>
              <w:rPr>
                <w:lang w:val="en-NZ"/>
              </w:rPr>
            </w:pPr>
            <w:r w:rsidRPr="00D15E41">
              <w:t>Relevant Defence instructions</w:t>
            </w:r>
          </w:p>
        </w:tc>
      </w:tr>
      <w:tr w:rsidTr="00D15E4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15E41">
            <w:pPr>
              <w:pStyle w:val="BodyText"/>
              <w:rPr>
                <w:lang w:val="en-NZ"/>
              </w:rPr>
            </w:pPr>
            <w:r w:rsidRPr="00D15E41">
              <w:rPr>
                <w:rStyle w:val="SpecialBold"/>
              </w:rPr>
              <w:t>Workplace hazard identification includes:</w:t>
            </w:r>
          </w:p>
        </w:tc>
        <w:tc>
          <w:tcPr>
            <w:tcW w:w="5922" w:type="dxa"/>
            <w:tcBorders>
              <w:top w:val="nil"/>
              <w:left w:val="nil"/>
              <w:bottom w:val="nil"/>
              <w:right w:val="nil"/>
            </w:tcBorders>
            <w:tcMar>
              <w:top w:w="0" w:type="dxa"/>
              <w:left w:w="62" w:type="dxa"/>
              <w:bottom w:w="0" w:type="dxa"/>
              <w:right w:w="62" w:type="dxa"/>
            </w:tcMar>
          </w:tcPr>
          <w:p w:rsidR="00000000" w:rsidRPr="00D15E41" w:rsidP="00D15E41">
            <w:pPr>
              <w:pStyle w:val="ListBullet"/>
            </w:pPr>
            <w:r w:rsidRPr="00D15E41">
              <w:t>Checking equipment or the work area before work commences and during work</w:t>
            </w:r>
          </w:p>
          <w:p w:rsidR="00000000" w:rsidRPr="00D15E41" w:rsidP="00D15E41">
            <w:pPr>
              <w:pStyle w:val="ListBullet"/>
            </w:pPr>
            <w:r w:rsidRPr="00D15E41">
              <w:t>Workplace inspections</w:t>
            </w:r>
          </w:p>
          <w:p w:rsidR="00000000" w:rsidRPr="00D15E41" w:rsidP="00D15E41">
            <w:pPr>
              <w:pStyle w:val="ListBullet"/>
            </w:pPr>
            <w:r w:rsidRPr="00D15E41">
              <w:t>Housekeeping</w:t>
            </w:r>
          </w:p>
        </w:tc>
      </w:tr>
    </w:tbl>
    <w:p w:rsidR="00000000" w:rsidRPr="00D15E41" w:rsidP="00D15E41">
      <w:pPr>
        <w:pStyle w:val="BodyText"/>
      </w:pPr>
    </w:p>
    <w:p w:rsidR="00000000" w:rsidRPr="00D15E41" w:rsidP="00D15E41">
      <w:pPr>
        <w:pStyle w:val="AllowPageBreak"/>
      </w:pPr>
    </w:p>
    <w:p w:rsidR="00000000" w:rsidRPr="00D15E41" w:rsidP="00D15E41">
      <w:pPr>
        <w:pStyle w:val="Heading1"/>
      </w:pPr>
      <w:bookmarkStart w:id="9" w:name="O_718698"/>
      <w:bookmarkEnd w:id="9"/>
      <w:r w:rsidRPr="00D15E41">
        <w:t>Unit Mapping Information</w:t>
      </w:r>
    </w:p>
    <w:p w:rsidR="00000000" w:rsidRPr="00D15E41" w:rsidP="00D15E41">
      <w:pPr>
        <w:pStyle w:val="BodyText"/>
      </w:pPr>
      <w:r w:rsidRPr="00D15E41">
        <w:t>Release 1 –</w:t>
      </w:r>
      <w:r w:rsidRPr="00D15E41">
        <w:t xml:space="preserve"> supersedes and is equivalent to MEA101B Interpret occupational health and safety practices in aviation maintenance</w:t>
      </w:r>
    </w:p>
    <w:p w:rsidR="00000000" w:rsidRPr="00D15E41" w:rsidP="00D15E41">
      <w:pPr>
        <w:pStyle w:val="AllowPageBreak"/>
      </w:pPr>
    </w:p>
    <w:p w:rsidR="00000000" w:rsidRPr="00D15E41" w:rsidP="00D15E41">
      <w:pPr>
        <w:pStyle w:val="Heading1"/>
      </w:pPr>
      <w:bookmarkStart w:id="10" w:name="O_718705"/>
      <w:bookmarkEnd w:id="10"/>
      <w:r w:rsidRPr="00D15E41">
        <w:t>Links</w:t>
      </w:r>
    </w:p>
    <w:p w:rsidR="00000000" w:rsidRPr="00D15E41" w:rsidP="00D15E41">
      <w:pPr>
        <w:pStyle w:val="BodyText"/>
      </w:pPr>
      <w:r w:rsidRPr="00D15E41">
        <w:t>Companion Volume implementation guides are found in VETNet - https://vetnet.education.gov.au/Pages/TrainingDocs.aspx?</w:t>
      </w:r>
      <w:r w:rsidRPr="00D15E41">
        <w:t>q=ce216c9c-04d5-4b3b-9bcf-4e81d0950371</w:t>
      </w:r>
    </w:p>
    <w:p w:rsidR="00000000" w:rsidRPr="00D15E41" w:rsidP="00D15E41"/>
    <w:sectPr w:rsidSect="00D15E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41" w:rsidRPr="00A808E9" w:rsidP="00A80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E9" w:rsidP="00D15E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808E9" w:rsidP="00D15E4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08E9" w:rsidP="00D15E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5E41" w:rsidRPr="00A808E9" w:rsidP="00A808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E9" w:rsidRPr="002D2AF8" w:rsidP="00D15E41">
    <w:pPr>
      <w:pStyle w:val="Header"/>
      <w:framePr w:wrap="around"/>
    </w:pPr>
    <w:r>
      <w:fldChar w:fldCharType="begin"/>
    </w:r>
    <w:r>
      <w:instrText xml:space="preserve"> TITLE   \* MERGEFORMAT </w:instrText>
    </w:r>
    <w:r>
      <w:fldChar w:fldCharType="separate"/>
    </w:r>
    <w:r>
      <w:t>MEA101 Interpret work health and safety practices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A808E9" w:rsidP="00D15E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6CEF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327A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E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E41"/>
    <w:pPr>
      <w:spacing w:before="360" w:after="60"/>
      <w:outlineLvl w:val="0"/>
    </w:pPr>
    <w:rPr>
      <w:sz w:val="32"/>
    </w:rPr>
  </w:style>
  <w:style w:type="paragraph" w:styleId="Heading2">
    <w:name w:val="heading 2"/>
    <w:basedOn w:val="HeadingBase"/>
    <w:next w:val="BodyText"/>
    <w:link w:val="Heading2Char"/>
    <w:qFormat/>
    <w:rsid w:val="00D15E41"/>
    <w:pPr>
      <w:keepLines/>
      <w:spacing w:before="240" w:after="120"/>
      <w:outlineLvl w:val="1"/>
    </w:pPr>
    <w:rPr>
      <w:sz w:val="28"/>
      <w:szCs w:val="40"/>
    </w:rPr>
  </w:style>
  <w:style w:type="paragraph" w:styleId="Heading3">
    <w:name w:val="heading 3"/>
    <w:basedOn w:val="HeadingBase"/>
    <w:next w:val="BodyText"/>
    <w:link w:val="Heading3Char"/>
    <w:qFormat/>
    <w:rsid w:val="00D15E41"/>
    <w:pPr>
      <w:spacing w:before="180" w:after="120"/>
      <w:outlineLvl w:val="2"/>
    </w:pPr>
    <w:rPr>
      <w:spacing w:val="-10"/>
      <w:kern w:val="32"/>
    </w:rPr>
  </w:style>
  <w:style w:type="paragraph" w:styleId="Heading4">
    <w:name w:val="heading 4"/>
    <w:basedOn w:val="HeadingBase"/>
    <w:next w:val="BodyText"/>
    <w:link w:val="Heading4Char"/>
    <w:qFormat/>
    <w:rsid w:val="00D15E41"/>
    <w:pPr>
      <w:spacing w:before="160" w:after="120"/>
      <w:outlineLvl w:val="3"/>
    </w:pPr>
    <w:rPr>
      <w:sz w:val="22"/>
    </w:rPr>
  </w:style>
  <w:style w:type="paragraph" w:styleId="Heading5">
    <w:name w:val="heading 5"/>
    <w:basedOn w:val="HeadingBase"/>
    <w:next w:val="Normal"/>
    <w:link w:val="Heading5Char"/>
    <w:qFormat/>
    <w:rsid w:val="00D15E41"/>
    <w:pPr>
      <w:spacing w:before="80"/>
      <w:outlineLvl w:val="4"/>
    </w:pPr>
    <w:rPr>
      <w:color w:val="918585"/>
      <w:sz w:val="20"/>
    </w:rPr>
  </w:style>
  <w:style w:type="paragraph" w:styleId="Heading6">
    <w:name w:val="heading 6"/>
    <w:basedOn w:val="HeadingBase"/>
    <w:next w:val="Normal"/>
    <w:link w:val="Heading6Char"/>
    <w:qFormat/>
    <w:rsid w:val="00D15E41"/>
    <w:pPr>
      <w:spacing w:before="60"/>
      <w:outlineLvl w:val="5"/>
    </w:pPr>
    <w:rPr>
      <w:color w:val="918585"/>
      <w:sz w:val="20"/>
    </w:rPr>
  </w:style>
  <w:style w:type="paragraph" w:styleId="Heading7">
    <w:name w:val="heading 7"/>
    <w:basedOn w:val="Normal"/>
    <w:next w:val="Normal"/>
    <w:link w:val="Heading7Char"/>
    <w:qFormat/>
    <w:rsid w:val="00D15E41"/>
    <w:pPr>
      <w:ind w:left="720"/>
      <w:outlineLvl w:val="6"/>
    </w:pPr>
    <w:rPr>
      <w:i/>
    </w:rPr>
  </w:style>
  <w:style w:type="paragraph" w:styleId="Heading8">
    <w:name w:val="heading 8"/>
    <w:basedOn w:val="Normal"/>
    <w:next w:val="Normal"/>
    <w:link w:val="Heading8Char"/>
    <w:qFormat/>
    <w:rsid w:val="00D15E41"/>
    <w:pPr>
      <w:ind w:left="720"/>
      <w:outlineLvl w:val="7"/>
    </w:pPr>
    <w:rPr>
      <w:i/>
    </w:rPr>
  </w:style>
  <w:style w:type="paragraph" w:styleId="Heading9">
    <w:name w:val="heading 9"/>
    <w:basedOn w:val="Normal"/>
    <w:next w:val="Normal"/>
    <w:link w:val="Heading9Char"/>
    <w:qFormat/>
    <w:rsid w:val="00D15E41"/>
    <w:pPr>
      <w:ind w:left="720"/>
      <w:outlineLvl w:val="8"/>
    </w:pPr>
    <w:rPr>
      <w:i/>
    </w:rPr>
  </w:style>
  <w:style w:type="character" w:default="1" w:styleId="DefaultParagraphFont">
    <w:name w:val="Default Paragraph Font"/>
    <w:uiPriority w:val="1"/>
    <w:unhideWhenUsed/>
    <w:rsid w:val="00D15E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E41"/>
  </w:style>
  <w:style w:type="character" w:customStyle="1" w:styleId="Heading1Char">
    <w:name w:val="Heading 1 Char"/>
    <w:basedOn w:val="DefaultParagraphFont"/>
    <w:link w:val="Heading1"/>
    <w:rsid w:val="00D15E41"/>
    <w:rPr>
      <w:rFonts w:ascii="Times New Roman" w:eastAsia="Times New Roman" w:hAnsi="Times New Roman" w:cs="Times New Roman"/>
      <w:b/>
      <w:sz w:val="32"/>
      <w:szCs w:val="20"/>
      <w:lang w:eastAsia="en-US"/>
    </w:rPr>
  </w:style>
  <w:style w:type="paragraph" w:styleId="BodyText">
    <w:name w:val="Body Text"/>
    <w:basedOn w:val="Normal"/>
    <w:link w:val="BodyTextChar"/>
    <w:rsid w:val="00D15E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5E41"/>
    <w:rPr>
      <w:rFonts w:ascii="Times New Roman" w:eastAsia="Times New Roman" w:hAnsi="Times New Roman" w:cs="Times New Roman"/>
      <w:sz w:val="24"/>
      <w:lang w:eastAsia="en-US"/>
    </w:rPr>
  </w:style>
  <w:style w:type="paragraph" w:styleId="ListBullet">
    <w:name w:val="List Bullet"/>
    <w:basedOn w:val="List"/>
    <w:rsid w:val="00D15E41"/>
    <w:pPr>
      <w:numPr>
        <w:numId w:val="12"/>
      </w:numPr>
      <w:tabs>
        <w:tab w:val="clear" w:pos="340"/>
      </w:tabs>
      <w:spacing w:before="40" w:after="40"/>
    </w:pPr>
  </w:style>
  <w:style w:type="character" w:customStyle="1" w:styleId="SpecialBold">
    <w:name w:val="Special Bold"/>
    <w:basedOn w:val="DefaultParagraphFont"/>
    <w:rsid w:val="00D15E41"/>
    <w:rPr>
      <w:b/>
      <w:spacing w:val="0"/>
    </w:rPr>
  </w:style>
  <w:style w:type="paragraph" w:customStyle="1" w:styleId="SuperHeading">
    <w:name w:val="SuperHeading"/>
    <w:basedOn w:val="Normal"/>
    <w:rsid w:val="00D15E41"/>
    <w:pPr>
      <w:spacing w:before="240" w:after="120"/>
      <w:outlineLvl w:val="0"/>
    </w:pPr>
    <w:rPr>
      <w:rFonts w:ascii="Times New Roman" w:hAnsi="Times New Roman"/>
      <w:b/>
      <w:sz w:val="32"/>
    </w:rPr>
  </w:style>
  <w:style w:type="paragraph" w:customStyle="1" w:styleId="AllowPageBreak">
    <w:name w:val="AllowPageBreak"/>
    <w:rsid w:val="00D15E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5E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E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E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E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E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E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E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E41"/>
    <w:rPr>
      <w:rFonts w:ascii="Courier New" w:eastAsia="Times New Roman" w:hAnsi="Courier New" w:cs="Times New Roman"/>
      <w:i/>
      <w:szCs w:val="20"/>
      <w:lang w:eastAsia="en-US"/>
    </w:rPr>
  </w:style>
  <w:style w:type="paragraph" w:customStyle="1" w:styleId="HeadingBase">
    <w:name w:val="Heading Base"/>
    <w:rsid w:val="00D15E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E41"/>
    <w:pPr>
      <w:tabs>
        <w:tab w:val="right" w:leader="dot" w:pos="9072"/>
      </w:tabs>
      <w:ind w:left="567"/>
    </w:pPr>
    <w:rPr>
      <w:szCs w:val="22"/>
    </w:rPr>
  </w:style>
  <w:style w:type="paragraph" w:customStyle="1" w:styleId="TOCBase">
    <w:name w:val="TOC Base"/>
    <w:rsid w:val="00D15E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E41"/>
    <w:pPr>
      <w:tabs>
        <w:tab w:val="right" w:leader="dot" w:pos="9072"/>
      </w:tabs>
      <w:spacing w:before="40" w:after="40"/>
      <w:ind w:left="284"/>
    </w:pPr>
    <w:rPr>
      <w:rFonts w:ascii="Times New Roman" w:hAnsi="Times New Roman"/>
    </w:rPr>
  </w:style>
  <w:style w:type="paragraph" w:styleId="TOC1">
    <w:name w:val="toc 1"/>
    <w:basedOn w:val="TOCBase"/>
    <w:next w:val="Normal"/>
    <w:rsid w:val="00D15E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E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E41"/>
    <w:rPr>
      <w:rFonts w:ascii="Times New Roman" w:eastAsia="Times New Roman" w:hAnsi="Times New Roman" w:cs="Times New Roman"/>
      <w:sz w:val="16"/>
      <w:lang w:eastAsia="en-US"/>
    </w:rPr>
  </w:style>
  <w:style w:type="paragraph" w:styleId="Title">
    <w:name w:val="Title"/>
    <w:basedOn w:val="HeadingBase"/>
    <w:link w:val="TitleChar"/>
    <w:qFormat/>
    <w:rsid w:val="00D15E41"/>
    <w:pPr>
      <w:spacing w:before="5040"/>
      <w:jc w:val="center"/>
    </w:pPr>
    <w:rPr>
      <w:sz w:val="48"/>
      <w:szCs w:val="72"/>
      <w:lang w:val="en-US"/>
    </w:rPr>
  </w:style>
  <w:style w:type="character" w:customStyle="1" w:styleId="TitleChar">
    <w:name w:val="Title Char"/>
    <w:basedOn w:val="DefaultParagraphFont"/>
    <w:link w:val="Title"/>
    <w:rsid w:val="00D15E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E41"/>
    <w:pPr>
      <w:tabs>
        <w:tab w:val="left" w:pos="3600"/>
        <w:tab w:val="left" w:pos="3958"/>
      </w:tabs>
    </w:pPr>
  </w:style>
  <w:style w:type="paragraph" w:styleId="List">
    <w:name w:val="List"/>
    <w:basedOn w:val="BodyText"/>
    <w:next w:val="BodyText"/>
    <w:rsid w:val="00D15E41"/>
    <w:pPr>
      <w:tabs>
        <w:tab w:val="left" w:pos="340"/>
      </w:tabs>
      <w:spacing w:before="60" w:after="60"/>
      <w:ind w:left="340" w:hanging="340"/>
    </w:pPr>
  </w:style>
  <w:style w:type="paragraph" w:customStyle="1" w:styleId="Note">
    <w:name w:val="Note"/>
    <w:basedOn w:val="BodyText"/>
    <w:rsid w:val="00D15E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E41"/>
    <w:pPr>
      <w:framePr w:wrap="auto" w:hAnchor="text" w:y="6049"/>
    </w:pPr>
    <w:rPr>
      <w:color w:val="000000"/>
      <w:sz w:val="40"/>
    </w:rPr>
  </w:style>
  <w:style w:type="paragraph" w:customStyle="1" w:styleId="TOCTitle">
    <w:name w:val="TOCTitle"/>
    <w:basedOn w:val="Heading1"/>
    <w:rsid w:val="00D15E41"/>
    <w:pPr>
      <w:spacing w:after="240"/>
      <w:jc w:val="center"/>
      <w:outlineLvl w:val="9"/>
    </w:pPr>
    <w:rPr>
      <w:caps/>
    </w:rPr>
  </w:style>
  <w:style w:type="paragraph" w:customStyle="1" w:styleId="Version">
    <w:name w:val="Version"/>
    <w:rsid w:val="00D15E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5E41"/>
    <w:pPr>
      <w:numPr>
        <w:numId w:val="13"/>
      </w:numPr>
      <w:tabs>
        <w:tab w:val="clear" w:pos="680"/>
      </w:tabs>
    </w:pPr>
  </w:style>
  <w:style w:type="paragraph" w:styleId="Index1">
    <w:name w:val="index 1"/>
    <w:basedOn w:val="Normal"/>
    <w:next w:val="Normal"/>
    <w:semiHidden/>
    <w:rsid w:val="00D15E41"/>
    <w:pPr>
      <w:keepNext w:val="0"/>
      <w:tabs>
        <w:tab w:val="right" w:pos="4176"/>
      </w:tabs>
      <w:ind w:left="198" w:hanging="198"/>
    </w:pPr>
    <w:rPr>
      <w:rFonts w:ascii="Garamond" w:hAnsi="Garamond"/>
    </w:rPr>
  </w:style>
  <w:style w:type="paragraph" w:styleId="IndexHeading">
    <w:name w:val="index heading"/>
    <w:basedOn w:val="Normal"/>
    <w:next w:val="Index1"/>
    <w:semiHidden/>
    <w:rsid w:val="00D15E41"/>
    <w:pPr>
      <w:spacing w:before="120" w:after="120"/>
    </w:pPr>
    <w:rPr>
      <w:rFonts w:ascii="Arial" w:hAnsi="Arial"/>
      <w:b/>
      <w:color w:val="918585"/>
      <w:sz w:val="24"/>
    </w:rPr>
  </w:style>
  <w:style w:type="paragraph" w:styleId="Header">
    <w:name w:val="header"/>
    <w:basedOn w:val="Normal"/>
    <w:link w:val="HeaderChar"/>
    <w:rsid w:val="00D15E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E41"/>
    <w:rPr>
      <w:rFonts w:ascii="Times New Roman" w:eastAsia="Times New Roman" w:hAnsi="Times New Roman" w:cs="Times New Roman"/>
      <w:sz w:val="16"/>
      <w:szCs w:val="20"/>
      <w:lang w:val="en-GB" w:eastAsia="en-US"/>
    </w:rPr>
  </w:style>
  <w:style w:type="paragraph" w:customStyle="1" w:styleId="Chapter">
    <w:name w:val="Chapter"/>
    <w:basedOn w:val="Normal"/>
    <w:rsid w:val="00D15E41"/>
    <w:pPr>
      <w:spacing w:before="240"/>
    </w:pPr>
    <w:rPr>
      <w:rFonts w:ascii="Times New Roman" w:hAnsi="Times New Roman"/>
      <w:smallCaps/>
      <w:spacing w:val="80"/>
      <w:sz w:val="28"/>
    </w:rPr>
  </w:style>
  <w:style w:type="paragraph" w:customStyle="1" w:styleId="InChapter">
    <w:name w:val="InChapter"/>
    <w:basedOn w:val="Heading3"/>
    <w:rsid w:val="00D15E41"/>
    <w:pPr>
      <w:spacing w:after="240"/>
      <w:outlineLvl w:val="9"/>
    </w:pPr>
    <w:rPr>
      <w:noProof/>
    </w:rPr>
  </w:style>
  <w:style w:type="paragraph" w:styleId="Index2">
    <w:name w:val="index 2"/>
    <w:basedOn w:val="Normal"/>
    <w:next w:val="Normal"/>
    <w:semiHidden/>
    <w:rsid w:val="00D15E41"/>
    <w:pPr>
      <w:tabs>
        <w:tab w:val="right" w:pos="4176"/>
      </w:tabs>
      <w:ind w:left="568" w:hanging="284"/>
    </w:pPr>
    <w:rPr>
      <w:rFonts w:ascii="Garamond" w:hAnsi="Garamond"/>
    </w:rPr>
  </w:style>
  <w:style w:type="paragraph" w:customStyle="1" w:styleId="Byline">
    <w:name w:val="Byline"/>
    <w:rsid w:val="00D15E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E41"/>
    <w:pPr>
      <w:tabs>
        <w:tab w:val="clear" w:pos="3600"/>
        <w:tab w:val="clear" w:pos="3958"/>
      </w:tabs>
      <w:jc w:val="right"/>
    </w:pPr>
  </w:style>
  <w:style w:type="character" w:styleId="Emphasis">
    <w:name w:val="Emphasis"/>
    <w:basedOn w:val="DefaultParagraphFont"/>
    <w:qFormat/>
    <w:rsid w:val="00D15E41"/>
    <w:rPr>
      <w:i/>
    </w:rPr>
  </w:style>
  <w:style w:type="paragraph" w:styleId="Caption">
    <w:name w:val="caption"/>
    <w:basedOn w:val="BodyText"/>
    <w:next w:val="Normal"/>
    <w:qFormat/>
    <w:rsid w:val="00D15E41"/>
    <w:pPr>
      <w:framePr w:w="2268" w:hSpace="181" w:vSpace="181" w:wrap="around" w:vAnchor="text" w:hAnchor="page" w:x="1135" w:y="285" w:anchorLock="1"/>
    </w:pPr>
    <w:rPr>
      <w:i/>
    </w:rPr>
  </w:style>
  <w:style w:type="paragraph" w:customStyle="1" w:styleId="MiniTOCTitle">
    <w:name w:val="MiniTOCTitle"/>
    <w:basedOn w:val="Heading4"/>
    <w:rsid w:val="00D15E41"/>
    <w:pPr>
      <w:spacing w:before="240"/>
      <w:outlineLvl w:val="9"/>
    </w:pPr>
    <w:rPr>
      <w:noProof/>
      <w:sz w:val="24"/>
    </w:rPr>
  </w:style>
  <w:style w:type="paragraph" w:customStyle="1" w:styleId="MiniTOCItem">
    <w:name w:val="MiniTOCItem"/>
    <w:basedOn w:val="ListBullet"/>
    <w:rsid w:val="00D15E41"/>
    <w:pPr>
      <w:numPr>
        <w:numId w:val="0"/>
      </w:numPr>
      <w:tabs>
        <w:tab w:val="right" w:leader="dot" w:pos="6521"/>
      </w:tabs>
      <w:spacing w:before="0" w:after="0"/>
    </w:pPr>
  </w:style>
  <w:style w:type="paragraph" w:customStyle="1" w:styleId="TOFTitle">
    <w:name w:val="TOFTitle"/>
    <w:basedOn w:val="TOCTitle"/>
    <w:rsid w:val="00D15E41"/>
  </w:style>
  <w:style w:type="paragraph" w:styleId="TableofFigures">
    <w:name w:val="table of figures"/>
    <w:basedOn w:val="Normal"/>
    <w:next w:val="Normal"/>
    <w:semiHidden/>
    <w:rsid w:val="00D15E41"/>
    <w:pPr>
      <w:tabs>
        <w:tab w:val="right" w:leader="dot" w:pos="9072"/>
      </w:tabs>
      <w:ind w:left="970" w:hanging="403"/>
    </w:pPr>
    <w:rPr>
      <w:rFonts w:ascii="Times New Roman" w:hAnsi="Times New Roman"/>
      <w:b/>
    </w:rPr>
  </w:style>
  <w:style w:type="paragraph" w:styleId="ListNumber">
    <w:name w:val="List Number"/>
    <w:basedOn w:val="List"/>
    <w:rsid w:val="00D15E41"/>
    <w:pPr>
      <w:numPr>
        <w:numId w:val="10"/>
      </w:numPr>
    </w:pPr>
  </w:style>
  <w:style w:type="character" w:customStyle="1" w:styleId="WingdingSymbols">
    <w:name w:val="Wingding Symbols"/>
    <w:rsid w:val="00D15E41"/>
    <w:rPr>
      <w:rFonts w:ascii="Wingdings" w:hAnsi="Wingdings"/>
    </w:rPr>
  </w:style>
  <w:style w:type="paragraph" w:customStyle="1" w:styleId="TableHeading">
    <w:name w:val="Table Heading"/>
    <w:basedOn w:val="HeadingBase"/>
    <w:rsid w:val="00D15E41"/>
    <w:pPr>
      <w:keepLines/>
      <w:pBdr>
        <w:bottom w:val="single" w:sz="6" w:space="1" w:color="918585"/>
      </w:pBdr>
      <w:spacing w:before="240"/>
    </w:pPr>
  </w:style>
  <w:style w:type="character" w:customStyle="1" w:styleId="HotSpot">
    <w:name w:val="HotSpot"/>
    <w:rsid w:val="00D15E41"/>
    <w:rPr>
      <w:color w:val="0033CC"/>
      <w:u w:val="none"/>
    </w:rPr>
  </w:style>
  <w:style w:type="paragraph" w:customStyle="1" w:styleId="BodyTextRight">
    <w:name w:val="Body Text Right"/>
    <w:basedOn w:val="BodyText"/>
    <w:rsid w:val="00D15E41"/>
    <w:pPr>
      <w:spacing w:before="0" w:after="0"/>
      <w:jc w:val="right"/>
    </w:pPr>
  </w:style>
  <w:style w:type="paragraph" w:styleId="Index3">
    <w:name w:val="index 3"/>
    <w:basedOn w:val="ListNumber2"/>
    <w:next w:val="Normal"/>
    <w:semiHidden/>
    <w:rsid w:val="00D15E41"/>
    <w:pPr>
      <w:numPr>
        <w:numId w:val="0"/>
      </w:numPr>
      <w:tabs>
        <w:tab w:val="right" w:leader="dot" w:pos="4176"/>
      </w:tabs>
    </w:pPr>
  </w:style>
  <w:style w:type="paragraph" w:styleId="ListNumber2">
    <w:name w:val="List Number 2"/>
    <w:basedOn w:val="List2"/>
    <w:rsid w:val="00D15E41"/>
    <w:pPr>
      <w:numPr>
        <w:numId w:val="9"/>
      </w:numPr>
      <w:tabs>
        <w:tab w:val="clear" w:pos="1060"/>
      </w:tabs>
    </w:pPr>
  </w:style>
  <w:style w:type="paragraph" w:customStyle="1" w:styleId="MarginNote">
    <w:name w:val="Margin Note"/>
    <w:basedOn w:val="BodyText"/>
    <w:rsid w:val="00D15E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E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E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E41"/>
    <w:rPr>
      <w:sz w:val="32"/>
    </w:rPr>
  </w:style>
  <w:style w:type="paragraph" w:customStyle="1" w:styleId="HeadingProcedure">
    <w:name w:val="Heading Procedure"/>
    <w:basedOn w:val="HeadingBase"/>
    <w:next w:val="Normal"/>
    <w:rsid w:val="00D15E41"/>
    <w:pPr>
      <w:tabs>
        <w:tab w:val="left" w:pos="0"/>
      </w:tabs>
      <w:spacing w:before="120" w:after="60"/>
    </w:pPr>
    <w:rPr>
      <w:i/>
      <w:color w:val="918585"/>
      <w:sz w:val="22"/>
    </w:rPr>
  </w:style>
  <w:style w:type="paragraph" w:customStyle="1" w:styleId="TableBodyText">
    <w:name w:val="Table Body Text"/>
    <w:basedOn w:val="BodyText"/>
    <w:rsid w:val="00D15E41"/>
    <w:pPr>
      <w:spacing w:before="60" w:after="60"/>
    </w:pPr>
  </w:style>
  <w:style w:type="paragraph" w:styleId="ListContinue">
    <w:name w:val="List Continue"/>
    <w:basedOn w:val="List"/>
    <w:rsid w:val="00D15E41"/>
    <w:pPr>
      <w:ind w:firstLine="0"/>
    </w:pPr>
  </w:style>
  <w:style w:type="paragraph" w:customStyle="1" w:styleId="ListNote">
    <w:name w:val="List Note"/>
    <w:basedOn w:val="List"/>
    <w:rsid w:val="00D15E41"/>
    <w:pPr>
      <w:pBdr>
        <w:top w:val="single" w:sz="6" w:space="2" w:color="918585"/>
        <w:bottom w:val="single" w:sz="6" w:space="2" w:color="918585"/>
      </w:pBdr>
      <w:tabs>
        <w:tab w:val="left" w:pos="1021"/>
      </w:tabs>
      <w:ind w:firstLine="0"/>
    </w:pPr>
  </w:style>
  <w:style w:type="paragraph" w:customStyle="1" w:styleId="Warning">
    <w:name w:val="Warning"/>
    <w:basedOn w:val="BodyText"/>
    <w:rsid w:val="00D15E41"/>
    <w:pPr>
      <w:shd w:val="clear" w:color="auto" w:fill="D9D9D9"/>
      <w:tabs>
        <w:tab w:val="left" w:pos="992"/>
      </w:tabs>
      <w:ind w:left="119" w:right="119"/>
    </w:pPr>
    <w:rPr>
      <w:sz w:val="20"/>
    </w:rPr>
  </w:style>
  <w:style w:type="paragraph" w:customStyle="1" w:styleId="MarginIcons">
    <w:name w:val="Margin Icons"/>
    <w:basedOn w:val="BodyText"/>
    <w:rsid w:val="00D15E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E41"/>
    <w:rPr>
      <w:rFonts w:ascii="Courier New" w:hAnsi="Courier New"/>
    </w:rPr>
  </w:style>
  <w:style w:type="paragraph" w:customStyle="1" w:styleId="NoteBullet">
    <w:name w:val="Note Bullet"/>
    <w:basedOn w:val="Note"/>
    <w:rsid w:val="00D15E41"/>
    <w:pPr>
      <w:tabs>
        <w:tab w:val="clear" w:pos="680"/>
      </w:tabs>
      <w:spacing w:before="60" w:after="60"/>
    </w:pPr>
  </w:style>
  <w:style w:type="paragraph" w:customStyle="1" w:styleId="SubHeading2">
    <w:name w:val="SubHeading2"/>
    <w:basedOn w:val="HeadingBase"/>
    <w:rsid w:val="00D15E41"/>
    <w:pPr>
      <w:spacing w:before="240" w:after="60"/>
    </w:pPr>
    <w:rPr>
      <w:sz w:val="20"/>
    </w:rPr>
  </w:style>
  <w:style w:type="paragraph" w:customStyle="1" w:styleId="SubHeading1">
    <w:name w:val="SubHeading1"/>
    <w:basedOn w:val="HeadingBase"/>
    <w:rsid w:val="00D15E41"/>
    <w:pPr>
      <w:spacing w:before="240" w:after="60"/>
    </w:pPr>
    <w:rPr>
      <w:color w:val="918585"/>
      <w:sz w:val="22"/>
    </w:rPr>
  </w:style>
  <w:style w:type="paragraph" w:customStyle="1" w:styleId="SideHeading">
    <w:name w:val="Side Heading"/>
    <w:basedOn w:val="HeadingBase"/>
    <w:rsid w:val="00D15E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E41"/>
    <w:pPr>
      <w:tabs>
        <w:tab w:val="num" w:pos="360"/>
      </w:tabs>
    </w:pPr>
  </w:style>
  <w:style w:type="paragraph" w:styleId="PlainText">
    <w:name w:val="Plain Text"/>
    <w:basedOn w:val="Normal"/>
    <w:link w:val="PlainTextChar"/>
    <w:rsid w:val="00D15E41"/>
    <w:rPr>
      <w:sz w:val="20"/>
    </w:rPr>
  </w:style>
  <w:style w:type="character" w:customStyle="1" w:styleId="PlainTextChar">
    <w:name w:val="Plain Text Char"/>
    <w:basedOn w:val="DefaultParagraphFont"/>
    <w:link w:val="PlainText"/>
    <w:rsid w:val="00D15E41"/>
    <w:rPr>
      <w:rFonts w:ascii="Courier New" w:eastAsia="Times New Roman" w:hAnsi="Courier New" w:cs="Times New Roman"/>
      <w:sz w:val="20"/>
      <w:szCs w:val="20"/>
      <w:lang w:eastAsia="en-US"/>
    </w:rPr>
  </w:style>
  <w:style w:type="character" w:customStyle="1" w:styleId="MenuOption">
    <w:name w:val="Menu Option"/>
    <w:basedOn w:val="DefaultParagraphFont"/>
    <w:rsid w:val="00D15E41"/>
    <w:rPr>
      <w:b/>
      <w:smallCaps/>
    </w:rPr>
  </w:style>
  <w:style w:type="paragraph" w:customStyle="1" w:styleId="TableListNumber">
    <w:name w:val="Table List Number"/>
    <w:basedOn w:val="ListNumber"/>
    <w:rsid w:val="00D15E41"/>
    <w:pPr>
      <w:numPr>
        <w:numId w:val="0"/>
      </w:numPr>
    </w:pPr>
  </w:style>
  <w:style w:type="paragraph" w:styleId="TOC4">
    <w:name w:val="toc 4"/>
    <w:basedOn w:val="TOCBase"/>
    <w:next w:val="Normal"/>
    <w:semiHidden/>
    <w:rsid w:val="00D15E41"/>
    <w:pPr>
      <w:tabs>
        <w:tab w:val="right" w:leader="dot" w:pos="9071"/>
      </w:tabs>
      <w:ind w:left="1701"/>
    </w:pPr>
  </w:style>
  <w:style w:type="paragraph" w:customStyle="1" w:styleId="ListAlpha">
    <w:name w:val="List Alpha"/>
    <w:basedOn w:val="List"/>
    <w:rsid w:val="00D15E41"/>
    <w:pPr>
      <w:numPr>
        <w:numId w:val="8"/>
      </w:numPr>
    </w:pPr>
  </w:style>
  <w:style w:type="paragraph" w:customStyle="1" w:styleId="ListAlpha2">
    <w:name w:val="List Alpha 2"/>
    <w:basedOn w:val="List2"/>
    <w:rsid w:val="00D15E41"/>
    <w:pPr>
      <w:numPr>
        <w:numId w:val="7"/>
      </w:numPr>
    </w:pPr>
  </w:style>
  <w:style w:type="paragraph" w:styleId="List2">
    <w:name w:val="List 2"/>
    <w:basedOn w:val="BodyText"/>
    <w:rsid w:val="00D15E41"/>
    <w:pPr>
      <w:tabs>
        <w:tab w:val="left" w:pos="680"/>
      </w:tabs>
      <w:spacing w:before="60" w:after="60"/>
      <w:ind w:left="680" w:hanging="340"/>
    </w:pPr>
  </w:style>
  <w:style w:type="paragraph" w:styleId="List3">
    <w:name w:val="List 3"/>
    <w:basedOn w:val="BodyText"/>
    <w:rsid w:val="00D15E41"/>
    <w:pPr>
      <w:tabs>
        <w:tab w:val="left" w:pos="1021"/>
      </w:tabs>
      <w:spacing w:before="60" w:after="60"/>
      <w:ind w:left="1020" w:hanging="340"/>
    </w:pPr>
  </w:style>
  <w:style w:type="paragraph" w:styleId="List4">
    <w:name w:val="List 4"/>
    <w:basedOn w:val="BodyText"/>
    <w:rsid w:val="00D15E41"/>
    <w:pPr>
      <w:tabs>
        <w:tab w:val="left" w:pos="1361"/>
      </w:tabs>
      <w:spacing w:before="60" w:after="60"/>
      <w:ind w:left="1361" w:hanging="340"/>
    </w:pPr>
  </w:style>
  <w:style w:type="paragraph" w:styleId="List5">
    <w:name w:val="List 5"/>
    <w:basedOn w:val="BodyText"/>
    <w:rsid w:val="00D15E41"/>
    <w:pPr>
      <w:tabs>
        <w:tab w:val="left" w:pos="1701"/>
      </w:tabs>
      <w:spacing w:before="60" w:after="60"/>
      <w:ind w:left="1701" w:hanging="340"/>
    </w:pPr>
  </w:style>
  <w:style w:type="paragraph" w:styleId="ListBullet3">
    <w:name w:val="List Bullet 3"/>
    <w:basedOn w:val="List3"/>
    <w:rsid w:val="00D15E41"/>
    <w:pPr>
      <w:numPr>
        <w:numId w:val="14"/>
      </w:numPr>
      <w:tabs>
        <w:tab w:val="clear" w:pos="1021"/>
      </w:tabs>
      <w:ind w:left="1037" w:hanging="357"/>
    </w:pPr>
  </w:style>
  <w:style w:type="paragraph" w:styleId="ListBullet4">
    <w:name w:val="List Bullet 4"/>
    <w:basedOn w:val="List4"/>
    <w:rsid w:val="00D15E41"/>
    <w:pPr>
      <w:numPr>
        <w:numId w:val="2"/>
      </w:numPr>
      <w:tabs>
        <w:tab w:val="clear" w:pos="1361"/>
      </w:tabs>
    </w:pPr>
  </w:style>
  <w:style w:type="paragraph" w:styleId="ListBullet5">
    <w:name w:val="List Bullet 5"/>
    <w:basedOn w:val="List5"/>
    <w:rsid w:val="00D15E41"/>
    <w:pPr>
      <w:numPr>
        <w:numId w:val="3"/>
      </w:numPr>
    </w:pPr>
  </w:style>
  <w:style w:type="paragraph" w:styleId="ListContinue2">
    <w:name w:val="List Continue 2"/>
    <w:basedOn w:val="List2"/>
    <w:rsid w:val="00D15E41"/>
    <w:pPr>
      <w:ind w:firstLine="0"/>
    </w:pPr>
  </w:style>
  <w:style w:type="paragraph" w:styleId="ListContinue3">
    <w:name w:val="List Continue 3"/>
    <w:basedOn w:val="List3"/>
    <w:rsid w:val="00D15E41"/>
    <w:pPr>
      <w:ind w:left="1021" w:firstLine="0"/>
    </w:pPr>
  </w:style>
  <w:style w:type="paragraph" w:styleId="ListContinue4">
    <w:name w:val="List Continue 4"/>
    <w:basedOn w:val="List4"/>
    <w:rsid w:val="00D15E41"/>
    <w:pPr>
      <w:ind w:firstLine="0"/>
    </w:pPr>
  </w:style>
  <w:style w:type="paragraph" w:styleId="ListContinue5">
    <w:name w:val="List Continue 5"/>
    <w:basedOn w:val="List5"/>
    <w:rsid w:val="00D15E41"/>
    <w:pPr>
      <w:ind w:firstLine="0"/>
    </w:pPr>
  </w:style>
  <w:style w:type="paragraph" w:styleId="ListNumber3">
    <w:name w:val="List Number 3"/>
    <w:basedOn w:val="List3"/>
    <w:rsid w:val="00D15E41"/>
    <w:pPr>
      <w:numPr>
        <w:numId w:val="4"/>
      </w:numPr>
    </w:pPr>
  </w:style>
  <w:style w:type="paragraph" w:styleId="ListNumber4">
    <w:name w:val="List Number 4"/>
    <w:basedOn w:val="List4"/>
    <w:rsid w:val="00D15E41"/>
    <w:pPr>
      <w:numPr>
        <w:numId w:val="5"/>
      </w:numPr>
    </w:pPr>
  </w:style>
  <w:style w:type="paragraph" w:styleId="ListNumber5">
    <w:name w:val="List Number 5"/>
    <w:basedOn w:val="List5"/>
    <w:rsid w:val="00D15E41"/>
    <w:pPr>
      <w:numPr>
        <w:numId w:val="6"/>
      </w:numPr>
    </w:pPr>
  </w:style>
  <w:style w:type="paragraph" w:styleId="BlockText">
    <w:name w:val="Block Text"/>
    <w:basedOn w:val="Normal"/>
    <w:rsid w:val="00D15E41"/>
    <w:pPr>
      <w:spacing w:after="120"/>
      <w:ind w:left="1440" w:right="1440"/>
    </w:pPr>
  </w:style>
  <w:style w:type="character" w:customStyle="1" w:styleId="Subscript">
    <w:name w:val="Subscript"/>
    <w:basedOn w:val="DefaultParagraphFont"/>
    <w:rsid w:val="00D15E41"/>
    <w:rPr>
      <w:sz w:val="16"/>
      <w:vertAlign w:val="subscript"/>
    </w:rPr>
  </w:style>
  <w:style w:type="character" w:customStyle="1" w:styleId="Superscript">
    <w:name w:val="Superscript"/>
    <w:basedOn w:val="DefaultParagraphFont"/>
    <w:rsid w:val="00D15E41"/>
    <w:rPr>
      <w:sz w:val="16"/>
      <w:vertAlign w:val="superscript"/>
    </w:rPr>
  </w:style>
  <w:style w:type="character" w:customStyle="1" w:styleId="Symbols">
    <w:name w:val="Symbols"/>
    <w:basedOn w:val="DefaultParagraphFont"/>
    <w:rsid w:val="00D15E41"/>
    <w:rPr>
      <w:rFonts w:ascii="Symbol" w:hAnsi="Symbol"/>
    </w:rPr>
  </w:style>
  <w:style w:type="character" w:customStyle="1" w:styleId="MenuOptions">
    <w:name w:val="Menu Options"/>
    <w:basedOn w:val="DefaultParagraphFont"/>
    <w:rsid w:val="00D15E41"/>
    <w:rPr>
      <w:rFonts w:ascii="Arial Narrow" w:hAnsi="Arial Narrow"/>
      <w:smallCaps/>
    </w:rPr>
  </w:style>
  <w:style w:type="character" w:customStyle="1" w:styleId="Buttons">
    <w:name w:val="Buttons"/>
    <w:basedOn w:val="DefaultParagraphFont"/>
    <w:rsid w:val="00D15E41"/>
    <w:rPr>
      <w:b/>
    </w:rPr>
  </w:style>
  <w:style w:type="character" w:customStyle="1" w:styleId="Underlined">
    <w:name w:val="Underlined"/>
    <w:basedOn w:val="DefaultParagraphFont"/>
    <w:rsid w:val="00D15E41"/>
    <w:rPr>
      <w:u w:val="single"/>
    </w:rPr>
  </w:style>
  <w:style w:type="paragraph" w:customStyle="1" w:styleId="TableBodyTextRight">
    <w:name w:val="Table Body Text Right"/>
    <w:basedOn w:val="TableBodyText"/>
    <w:rsid w:val="00D15E41"/>
    <w:pPr>
      <w:widowControl w:val="0"/>
      <w:autoSpaceDE w:val="0"/>
      <w:autoSpaceDN w:val="0"/>
      <w:adjustRightInd w:val="0"/>
      <w:jc w:val="right"/>
    </w:pPr>
    <w:rPr>
      <w:rFonts w:cs="Arial"/>
      <w:szCs w:val="18"/>
    </w:rPr>
  </w:style>
  <w:style w:type="paragraph" w:customStyle="1" w:styleId="CopyrightText">
    <w:name w:val="Copyright Text"/>
    <w:basedOn w:val="BodyText"/>
    <w:rsid w:val="00D15E41"/>
    <w:rPr>
      <w:sz w:val="18"/>
    </w:rPr>
  </w:style>
  <w:style w:type="paragraph" w:customStyle="1" w:styleId="BodySmallRight">
    <w:name w:val="Body Small Right"/>
    <w:basedOn w:val="BodyTextRight"/>
    <w:rsid w:val="00D15E41"/>
    <w:rPr>
      <w:sz w:val="18"/>
      <w:szCs w:val="18"/>
    </w:rPr>
  </w:style>
  <w:style w:type="paragraph" w:customStyle="1" w:styleId="MarginEdition">
    <w:name w:val="Margin Edition"/>
    <w:basedOn w:val="MarginNote"/>
    <w:rsid w:val="00D15E41"/>
    <w:pPr>
      <w:spacing w:before="0" w:after="0"/>
    </w:pPr>
    <w:rPr>
      <w:rFonts w:ascii="Times New Roman" w:hAnsi="Times New Roman"/>
      <w:color w:val="999999"/>
    </w:rPr>
  </w:style>
  <w:style w:type="paragraph" w:customStyle="1" w:styleId="Spacer">
    <w:name w:val="Spacer"/>
    <w:basedOn w:val="Normal"/>
    <w:rsid w:val="00D15E41"/>
    <w:rPr>
      <w:sz w:val="2"/>
      <w:szCs w:val="2"/>
    </w:rPr>
  </w:style>
  <w:style w:type="character" w:customStyle="1" w:styleId="Small">
    <w:name w:val="Small"/>
    <w:basedOn w:val="DefaultParagraphFont"/>
    <w:rsid w:val="00D15E41"/>
    <w:rPr>
      <w:sz w:val="16"/>
    </w:rPr>
  </w:style>
  <w:style w:type="paragraph" w:customStyle="1" w:styleId="WideTable">
    <w:name w:val="Wide Table"/>
    <w:basedOn w:val="Normal"/>
    <w:rsid w:val="00D15E41"/>
    <w:pPr>
      <w:ind w:left="-1418"/>
    </w:pPr>
    <w:rPr>
      <w:sz w:val="2"/>
      <w:szCs w:val="2"/>
    </w:rPr>
  </w:style>
  <w:style w:type="character" w:styleId="PageNumber">
    <w:name w:val="page number"/>
    <w:basedOn w:val="DefaultParagraphFont"/>
    <w:rsid w:val="00D15E41"/>
  </w:style>
  <w:style w:type="paragraph" w:styleId="Quote">
    <w:name w:val="Quote"/>
    <w:basedOn w:val="Heading1"/>
    <w:link w:val="QuoteChar"/>
    <w:qFormat/>
    <w:rsid w:val="00D15E41"/>
    <w:rPr>
      <w:b w:val="0"/>
      <w:sz w:val="72"/>
      <w:szCs w:val="72"/>
      <w:lang w:val="en-NZ"/>
    </w:rPr>
  </w:style>
  <w:style w:type="character" w:customStyle="1" w:styleId="QuoteChar">
    <w:name w:val="Quote Char"/>
    <w:basedOn w:val="DefaultParagraphFont"/>
    <w:link w:val="Quote"/>
    <w:rsid w:val="00D15E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E41"/>
    <w:pPr>
      <w:pageBreakBefore/>
    </w:pPr>
  </w:style>
  <w:style w:type="paragraph" w:customStyle="1" w:styleId="Border">
    <w:name w:val="Border"/>
    <w:basedOn w:val="Normal"/>
    <w:qFormat/>
    <w:rsid w:val="00D15E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E41"/>
    <w:rPr>
      <w:b/>
      <w:bCs/>
      <w:i/>
      <w:iCs/>
      <w:color w:val="auto"/>
    </w:rPr>
  </w:style>
  <w:style w:type="paragraph" w:styleId="IntenseQuote">
    <w:name w:val="Intense Quote"/>
    <w:basedOn w:val="Normal"/>
    <w:next w:val="Normal"/>
    <w:link w:val="IntenseQuoteChar"/>
    <w:uiPriority w:val="30"/>
    <w:qFormat/>
    <w:rsid w:val="00D15E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E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E41"/>
    <w:rPr>
      <w:smallCaps/>
      <w:color w:val="auto"/>
      <w:u w:val="single"/>
    </w:rPr>
  </w:style>
  <w:style w:type="character" w:styleId="IntenseReference">
    <w:name w:val="Intense Reference"/>
    <w:basedOn w:val="DefaultParagraphFont"/>
    <w:uiPriority w:val="32"/>
    <w:qFormat/>
    <w:rsid w:val="00D15E41"/>
    <w:rPr>
      <w:b/>
      <w:bCs/>
      <w:smallCaps/>
      <w:color w:val="auto"/>
      <w:spacing w:val="5"/>
      <w:u w:val="single"/>
    </w:rPr>
  </w:style>
  <w:style w:type="paragraph" w:customStyle="1" w:styleId="2ColumnHeading">
    <w:name w:val="2Column Heading"/>
    <w:basedOn w:val="BodyText"/>
    <w:qFormat/>
    <w:rsid w:val="00D15E41"/>
    <w:pPr>
      <w:spacing w:after="60"/>
      <w:ind w:left="-2268"/>
    </w:pPr>
    <w:rPr>
      <w:b/>
    </w:rPr>
  </w:style>
  <w:style w:type="paragraph" w:customStyle="1" w:styleId="Heading1TOC">
    <w:name w:val="Heading1 TOC"/>
    <w:basedOn w:val="Normal"/>
    <w:qFormat/>
    <w:rsid w:val="00D15E41"/>
    <w:pPr>
      <w:spacing w:before="240" w:after="120"/>
    </w:pPr>
    <w:rPr>
      <w:rFonts w:ascii="Times New Roman" w:hAnsi="Times New Roman"/>
      <w:b/>
      <w:sz w:val="32"/>
    </w:rPr>
  </w:style>
  <w:style w:type="paragraph" w:customStyle="1" w:styleId="Heading2TOC">
    <w:name w:val="Heading2 TOC"/>
    <w:basedOn w:val="Normal"/>
    <w:qFormat/>
    <w:rsid w:val="00D15E41"/>
    <w:pPr>
      <w:spacing w:before="240" w:after="60"/>
    </w:pPr>
    <w:rPr>
      <w:rFonts w:ascii="Times New Roman" w:hAnsi="Times New Roman"/>
      <w:b/>
      <w:sz w:val="28"/>
    </w:rPr>
  </w:style>
  <w:style w:type="character" w:customStyle="1" w:styleId="Underline">
    <w:name w:val="Underline"/>
    <w:basedOn w:val="DefaultParagraphFont"/>
    <w:qFormat/>
    <w:rsid w:val="00D15E41"/>
    <w:rPr>
      <w:u w:val="single"/>
    </w:rPr>
  </w:style>
  <w:style w:type="character" w:customStyle="1" w:styleId="BoldandItalics">
    <w:name w:val="Bold and Italics"/>
    <w:qFormat/>
    <w:rsid w:val="00D15E41"/>
    <w:rPr>
      <w:b/>
      <w:i/>
      <w:u w:val="none"/>
    </w:rPr>
  </w:style>
  <w:style w:type="paragraph" w:styleId="BalloonText">
    <w:name w:val="Balloon Text"/>
    <w:basedOn w:val="Normal"/>
    <w:link w:val="BalloonTextChar"/>
    <w:rsid w:val="00D15E41"/>
    <w:rPr>
      <w:rFonts w:ascii="Tahoma" w:hAnsi="Tahoma" w:cs="Tahoma"/>
      <w:sz w:val="16"/>
      <w:szCs w:val="16"/>
    </w:rPr>
  </w:style>
  <w:style w:type="character" w:customStyle="1" w:styleId="BalloonTextChar">
    <w:name w:val="Balloon Text Char"/>
    <w:basedOn w:val="DefaultParagraphFont"/>
    <w:link w:val="BalloonText"/>
    <w:rsid w:val="00D15E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E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5E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E41"/>
    <w:rPr>
      <w:b/>
      <w:color w:val="660033"/>
      <w:spacing w:val="0"/>
    </w:rPr>
  </w:style>
  <w:style w:type="paragraph" w:customStyle="1" w:styleId="Nameditemlist">
    <w:name w:val="Named item list"/>
    <w:basedOn w:val="BodyText"/>
    <w:qFormat/>
    <w:rsid w:val="00D15E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4634</Characters>
  <Application>Microsoft Office Word</Application>
  <DocSecurity>0</DocSecurity>
  <Lines>164</Lines>
  <Paragraphs>79</Paragraphs>
  <ScaleCrop>false</ScaleCrop>
  <Company>Author-it Software Corporation Ltd.</Company>
  <LinksUpToDate>false</LinksUpToDate>
  <CharactersWithSpaces>5301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MEA101 Interpret work health and safety practices in aviation maintenance</dc:title>
  <dc:subject>Approved</dc:subject>
  <dc:creator>Manufacturing Skills Australia</dc:creator>
  <cp:keywords>Release: 1</cp:keywords>
  <dc:description>Review Date: 12 April 2008</dc:description>
  <cp:lastModifiedBy>TPCMS</cp:lastModifiedBy>
  <cp:revision>3</cp:revision>
  <dcterms:created xsi:type="dcterms:W3CDTF">2016-12-22T23:25:00Z</dcterms:created>
  <dcterms:modified xsi:type="dcterms:W3CDTF">2016-12-22T23:25:00Z</dcterms:modified>
</cp:coreProperties>
</file>