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CB4" w:rsidP="00DB4CB4">
      <w:pPr>
        <w:pStyle w:val="Title"/>
      </w:pPr>
      <w:r>
        <w:fldChar w:fldCharType="begin"/>
      </w:r>
      <w:r>
        <w:instrText xml:space="preserve"> TITLE   \* MERGEFORMAT </w:instrText>
      </w:r>
      <w:r>
        <w:fldChar w:fldCharType="separate"/>
      </w:r>
      <w:r>
        <w:t>MEA101 Interpret work health and safety practices in aviation maintenance</w:t>
      </w:r>
      <w:r>
        <w:fldChar w:fldCharType="end"/>
      </w:r>
    </w:p>
    <w:p w:rsidR="00DB4CB4" w:rsidP="00DB4CB4">
      <w:pPr>
        <w:pStyle w:val="Version"/>
        <w:sectPr w:rsidSect="00330C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CC2" w:rsidP="00330CC2">
      <w:pPr>
        <w:pStyle w:val="SuperHeading"/>
      </w:pPr>
      <w:r w:rsidRPr="00330CC2">
        <w:t>MEA101 Interpret work health and safety practices in aviation maintenance</w:t>
      </w:r>
    </w:p>
    <w:p w:rsidR="00000000" w:rsidRPr="00330CC2" w:rsidP="00330CC2">
      <w:pPr>
        <w:pStyle w:val="Heading1"/>
      </w:pPr>
      <w:bookmarkStart w:id="1" w:name="O_718690"/>
      <w:bookmarkEnd w:id="1"/>
      <w:r w:rsidRPr="00330CC2">
        <w:t>Modification History</w:t>
      </w:r>
    </w:p>
    <w:p w:rsidR="00000000" w:rsidRPr="00330CC2" w:rsidP="00DB4CB4">
      <w:pPr>
        <w:pStyle w:val="BodyText"/>
      </w:pPr>
      <w:r w:rsidRPr="00330CC2">
        <w:t>Release 1 - New unit of competency</w:t>
      </w:r>
    </w:p>
    <w:p w:rsidR="00000000" w:rsidRPr="00330CC2" w:rsidP="00330CC2">
      <w:pPr>
        <w:pStyle w:val="Heading1"/>
      </w:pPr>
      <w:bookmarkStart w:id="2" w:name="O_718691"/>
      <w:bookmarkEnd w:id="2"/>
      <w:r w:rsidRPr="00330CC2">
        <w:t>Application</w:t>
      </w:r>
    </w:p>
    <w:p w:rsidR="00000000" w:rsidRPr="00330CC2" w:rsidP="00DB4CB4">
      <w:pPr>
        <w:pStyle w:val="BodyText"/>
      </w:pPr>
      <w:r w:rsidRPr="00330CC2">
        <w:t xml:space="preserve">This unit of competency covers the skills and knowledge required to comply with work health and safety (WHS) regulations and work safely in aircraft maintenance areas. It requires application of WHS practices relevant to aviation maintenance workplaces in </w:t>
      </w:r>
      <w:r w:rsidRPr="00330CC2">
        <w:t>order to ensure own safety and that of others in the workplace.</w:t>
      </w:r>
    </w:p>
    <w:p w:rsidR="00000000" w:rsidRPr="00330CC2" w:rsidP="00DB4CB4">
      <w:pPr>
        <w:pStyle w:val="BodyText"/>
      </w:pPr>
      <w:r w:rsidRPr="00330CC2">
        <w:t>Workplaces include the flight line or tarmac, hangars and workshops. Maintenance activities include all scheduled and unscheduled maintenance on fixed or rotary wing aircraft and on the compo</w:t>
      </w:r>
      <w:r w:rsidRPr="00330CC2">
        <w:t>nents thereof. Work may be performed individually or as part of a team.</w:t>
      </w:r>
    </w:p>
    <w:p w:rsidR="00000000" w:rsidRPr="00330CC2" w:rsidP="00DB4CB4">
      <w:pPr>
        <w:pStyle w:val="BodyText"/>
      </w:pPr>
      <w:r w:rsidRPr="00330CC2">
        <w:t xml:space="preserve">The unit is used in workplaces that operate under the airworthiness regulatory systems of the Australian Defence Force (ADF) and the Civil Aviation Safety Authority (CASA). </w:t>
      </w:r>
    </w:p>
    <w:p w:rsidR="00000000" w:rsidRPr="00330CC2" w:rsidP="00DB4CB4">
      <w:pPr>
        <w:pStyle w:val="BodyText"/>
      </w:pPr>
      <w:r w:rsidRPr="00330CC2">
        <w:t xml:space="preserve">Where a </w:t>
      </w:r>
      <w:r w:rsidRPr="00330CC2">
        <w:t>CASA licensing outcome is sought this unit forms part of the CASA requirement for the granting of the chosen maintenance certification licence under Civil Aviation Safety Regulation (CASR) Part 66, in accordance with the licensing provisions in the Compani</w:t>
      </w:r>
      <w:r w:rsidRPr="00330CC2">
        <w:t>on Volume Implementation Guide.</w:t>
      </w:r>
    </w:p>
    <w:p w:rsidR="00000000" w:rsidRPr="00330CC2" w:rsidP="00330CC2">
      <w:pPr>
        <w:pStyle w:val="Heading1"/>
      </w:pPr>
      <w:bookmarkStart w:id="3" w:name="O_718692"/>
      <w:bookmarkEnd w:id="3"/>
      <w:r w:rsidRPr="00330CC2">
        <w:t>Pre-requisite Unit</w:t>
      </w:r>
    </w:p>
    <w:p w:rsidR="00000000" w:rsidRPr="00330CC2" w:rsidP="00330CC2">
      <w:pPr>
        <w:pStyle w:val="Heading1"/>
      </w:pPr>
      <w:bookmarkStart w:id="4" w:name="O_718693"/>
      <w:bookmarkEnd w:id="4"/>
      <w:r w:rsidRPr="00330CC2">
        <w:t>Competency Field</w:t>
      </w:r>
    </w:p>
    <w:p w:rsidR="00000000" w:rsidRPr="00330CC2" w:rsidP="00DB4CB4">
      <w:pPr>
        <w:pStyle w:val="BodyText"/>
      </w:pPr>
      <w:r w:rsidRPr="00330CC2">
        <w:t>Aviation maintenance</w:t>
      </w:r>
    </w:p>
    <w:p w:rsidR="00000000" w:rsidRPr="00330CC2" w:rsidP="00330CC2">
      <w:pPr>
        <w:pStyle w:val="Heading1"/>
      </w:pPr>
      <w:bookmarkStart w:id="5" w:name="O_718694"/>
      <w:bookmarkEnd w:id="5"/>
      <w:r w:rsidRPr="00330CC2">
        <w:t>Unit Sector</w:t>
      </w:r>
    </w:p>
    <w:p w:rsidR="00000000" w:rsidRPr="00330CC2" w:rsidP="00330CC2">
      <w:pPr>
        <w:pStyle w:val="Heading1"/>
      </w:pPr>
      <w:bookmarkStart w:id="6" w:name="O_718695"/>
      <w:bookmarkEnd w:id="6"/>
      <w:r w:rsidRPr="00330CC2">
        <w:t>Elements and Performance Criteria</w:t>
      </w:r>
    </w:p>
    <w:tbl>
      <w:tblPr>
        <w:tblW w:w="9270" w:type="dxa"/>
        <w:tblLayout w:type="fixed"/>
        <w:tblCellMar>
          <w:left w:w="62" w:type="dxa"/>
          <w:right w:w="62" w:type="dxa"/>
        </w:tblCellMar>
        <w:tblLook w:val="0000"/>
      </w:tblPr>
      <w:tblGrid>
        <w:gridCol w:w="720"/>
        <w:gridCol w:w="2250"/>
        <w:gridCol w:w="900"/>
        <w:gridCol w:w="5400"/>
      </w:tblGrid>
      <w:tr w:rsidTr="00330CC2">
        <w:tblPrEx>
          <w:tblW w:w="9270" w:type="dxa"/>
          <w:tblLayout w:type="fixed"/>
          <w:tblCellMar>
            <w:left w:w="62" w:type="dxa"/>
            <w:right w:w="62" w:type="dxa"/>
          </w:tblCellMar>
          <w:tblLook w:val="0000"/>
        </w:tblPrEx>
        <w:tc>
          <w:tcPr>
            <w:tcW w:w="2970" w:type="dxa"/>
            <w:gridSpan w:val="2"/>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Elements describe the essential outcomes.</w:t>
            </w:r>
          </w:p>
        </w:tc>
        <w:tc>
          <w:tcPr>
            <w:tcW w:w="6300" w:type="dxa"/>
            <w:gridSpan w:val="2"/>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 xml:space="preserve">Performance </w:t>
            </w:r>
            <w:r w:rsidRPr="00330CC2">
              <w:t xml:space="preserve">criteria describe the performance needed to demonstrate achievement of the element. </w:t>
            </w:r>
          </w:p>
        </w:tc>
      </w:tr>
      <w:tr w:rsidTr="00330CC2">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1.</w:t>
            </w:r>
          </w:p>
        </w:tc>
        <w:tc>
          <w:tcPr>
            <w:tcW w:w="225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 xml:space="preserve">Interpret safe work </w:t>
            </w:r>
            <w:r w:rsidRPr="00330CC2">
              <w:t>practices</w:t>
            </w:r>
          </w:p>
        </w:tc>
        <w:tc>
          <w:tcPr>
            <w:tcW w:w="9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1.1</w:t>
            </w:r>
          </w:p>
        </w:tc>
        <w:tc>
          <w:tcPr>
            <w:tcW w:w="54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 xml:space="preserve">Relevant regulatory and enterprise policies and procedures that identify the requirements for conduct </w:t>
            </w:r>
            <w:r w:rsidRPr="00330CC2">
              <w:t>of safe work are interpreted and understood</w:t>
            </w:r>
          </w:p>
        </w:tc>
      </w:tr>
      <w:tr w:rsidTr="00330CC2">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1.2</w:t>
            </w:r>
          </w:p>
        </w:tc>
        <w:tc>
          <w:tcPr>
            <w:tcW w:w="54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Workplace housekeeping measures are identified in accordance with standard enterprise procedures</w:t>
            </w:r>
          </w:p>
        </w:tc>
      </w:tr>
      <w:tr w:rsidTr="00330CC2">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1.3</w:t>
            </w:r>
          </w:p>
        </w:tc>
        <w:tc>
          <w:tcPr>
            <w:tcW w:w="54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Use of personal protective equipment (PPE) is identified and understood and maintenance measures are interpreted and understood according to regulatory and enterprise procedures</w:t>
            </w:r>
          </w:p>
        </w:tc>
      </w:tr>
      <w:tr w:rsidTr="00330CC2">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1.4</w:t>
            </w:r>
          </w:p>
        </w:tc>
        <w:tc>
          <w:tcPr>
            <w:tcW w:w="54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Safety signs and symbols are interpreted and understood, and their directions observed in accordance with enterprise and safety requirements</w:t>
            </w:r>
          </w:p>
        </w:tc>
      </w:tr>
      <w:tr w:rsidTr="00330CC2">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2.</w:t>
            </w:r>
          </w:p>
        </w:tc>
        <w:tc>
          <w:tcPr>
            <w:tcW w:w="225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Interpret reporting procedures for workplace hazards</w:t>
            </w:r>
          </w:p>
        </w:tc>
        <w:tc>
          <w:tcPr>
            <w:tcW w:w="9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2.1</w:t>
            </w:r>
          </w:p>
        </w:tc>
        <w:tc>
          <w:tcPr>
            <w:tcW w:w="54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Workplace hazards are correctly identified and reporti</w:t>
            </w:r>
            <w:r w:rsidRPr="00330CC2">
              <w:t>ng procedures interpreted and understood according to standard enterprise procedures</w:t>
            </w:r>
          </w:p>
        </w:tc>
      </w:tr>
      <w:tr w:rsidTr="00330CC2">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3.</w:t>
            </w:r>
          </w:p>
        </w:tc>
        <w:tc>
          <w:tcPr>
            <w:tcW w:w="225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Interpret emergency procedures</w:t>
            </w:r>
          </w:p>
        </w:tc>
        <w:tc>
          <w:tcPr>
            <w:tcW w:w="9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3.1</w:t>
            </w:r>
          </w:p>
        </w:tc>
        <w:tc>
          <w:tcPr>
            <w:tcW w:w="54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Method of contacting the appropriate personnel and emergency services in the event of an accident is appropriate to enterprise requi</w:t>
            </w:r>
            <w:r w:rsidRPr="00330CC2">
              <w:t>rements</w:t>
            </w:r>
          </w:p>
        </w:tc>
      </w:tr>
      <w:tr w:rsidTr="00330CC2">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3.2</w:t>
            </w:r>
          </w:p>
        </w:tc>
        <w:tc>
          <w:tcPr>
            <w:tcW w:w="54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Emergency and evacuation procedures are interpreted and understood to ensure safe conduct of personnel according to enterprise procedures</w:t>
            </w:r>
          </w:p>
        </w:tc>
      </w:tr>
      <w:tr w:rsidTr="00330CC2">
        <w:tblPrEx>
          <w:tblW w:w="9270" w:type="dxa"/>
          <w:tblLayout w:type="fixed"/>
          <w:tblCellMar>
            <w:left w:w="62" w:type="dxa"/>
            <w:right w:w="62" w:type="dxa"/>
          </w:tblCellMar>
          <w:tblLook w:val="0000"/>
        </w:tblPrEx>
        <w:tc>
          <w:tcPr>
            <w:tcW w:w="72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3.3</w:t>
            </w:r>
          </w:p>
        </w:tc>
        <w:tc>
          <w:tcPr>
            <w:tcW w:w="5400" w:type="dxa"/>
            <w:tcBorders>
              <w:top w:val="nil"/>
              <w:left w:val="nil"/>
              <w:bottom w:val="nil"/>
              <w:right w:val="nil"/>
            </w:tcBorders>
            <w:tcMar>
              <w:top w:w="0" w:type="dxa"/>
              <w:left w:w="62" w:type="dxa"/>
              <w:bottom w:w="0" w:type="dxa"/>
              <w:right w:w="62" w:type="dxa"/>
            </w:tcMar>
          </w:tcPr>
          <w:p w:rsidR="00000000" w:rsidRPr="00330CC2" w:rsidP="00330CC2">
            <w:pPr>
              <w:pStyle w:val="BodyText"/>
            </w:pPr>
            <w:r w:rsidRPr="00330CC2">
              <w:t>Use of emergency equipment is correctly identified to comply with regulatory or enterprise procedures</w:t>
            </w:r>
          </w:p>
        </w:tc>
      </w:tr>
    </w:tbl>
    <w:p w:rsidR="00000000" w:rsidRPr="00330CC2" w:rsidP="00330CC2">
      <w:pPr>
        <w:pStyle w:val="BodyText"/>
      </w:pPr>
    </w:p>
    <w:p w:rsidR="00000000" w:rsidRPr="00330CC2" w:rsidP="00330CC2">
      <w:pPr>
        <w:pStyle w:val="AllowPageBreak"/>
      </w:pPr>
    </w:p>
    <w:p w:rsidR="00000000" w:rsidRPr="00330CC2" w:rsidP="00330CC2">
      <w:pPr>
        <w:pStyle w:val="Heading1"/>
      </w:pPr>
      <w:bookmarkStart w:id="7" w:name="O_718696"/>
      <w:bookmarkEnd w:id="7"/>
      <w:r w:rsidRPr="00330CC2">
        <w:t>Foundation Skills</w:t>
      </w:r>
    </w:p>
    <w:p w:rsidR="00000000" w:rsidRPr="00330CC2" w:rsidP="00DB4CB4">
      <w:pPr>
        <w:pStyle w:val="BodyText"/>
      </w:pPr>
      <w:r w:rsidRPr="00330CC2">
        <w:t>Foundation skills essential to performance are explicit in the performance criteria of this unit of competency.</w:t>
      </w:r>
    </w:p>
    <w:p w:rsidR="00000000" w:rsidRPr="00330CC2" w:rsidP="00330CC2">
      <w:pPr>
        <w:pStyle w:val="Heading1"/>
      </w:pPr>
      <w:bookmarkStart w:id="8" w:name="O_718697"/>
      <w:bookmarkEnd w:id="8"/>
      <w:r w:rsidRPr="00330CC2">
        <w:t>Range of Conditions</w:t>
      </w:r>
    </w:p>
    <w:tbl>
      <w:tblPr>
        <w:tblW w:w="0" w:type="auto"/>
        <w:tblLayout w:type="fixed"/>
        <w:tblCellMar>
          <w:left w:w="62" w:type="dxa"/>
          <w:right w:w="62" w:type="dxa"/>
        </w:tblCellMar>
        <w:tblLook w:val="0000"/>
      </w:tblPr>
      <w:tblGrid>
        <w:gridCol w:w="3150"/>
        <w:gridCol w:w="5922"/>
      </w:tblGrid>
      <w:tr w:rsidTr="00330CC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t xml:space="preserve">This field allows for different work environments and conditions that may affect performance. Essential operating conditions that may be present (depending on the work situation, needs of the candidate, accessibility of the </w:t>
            </w:r>
            <w:r w:rsidRPr="00330CC2">
              <w:t>item, and local industry and regional contexts) are included.</w:t>
            </w:r>
          </w:p>
        </w:tc>
      </w:tr>
      <w:tr w:rsidTr="00330CC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rPr>
                <w:rStyle w:val="SpecialBold"/>
              </w:rPr>
              <w:t>Requirements for conduct of safe work include:</w:t>
            </w:r>
          </w:p>
        </w:tc>
        <w:tc>
          <w:tcPr>
            <w:tcW w:w="5922" w:type="dxa"/>
            <w:tcBorders>
              <w:top w:val="nil"/>
              <w:left w:val="nil"/>
              <w:bottom w:val="nil"/>
              <w:right w:val="nil"/>
            </w:tcBorders>
            <w:tcMar>
              <w:top w:w="0" w:type="dxa"/>
              <w:left w:w="62" w:type="dxa"/>
              <w:bottom w:w="0" w:type="dxa"/>
              <w:right w:w="62" w:type="dxa"/>
            </w:tcMar>
          </w:tcPr>
          <w:p w:rsidR="00000000" w:rsidRPr="00330CC2" w:rsidP="00330CC2">
            <w:pPr>
              <w:pStyle w:val="ListBullet"/>
            </w:pPr>
            <w:r w:rsidRPr="00330CC2">
              <w:t>Applying general duty of care under WHS legislation and common law</w:t>
            </w:r>
          </w:p>
          <w:p w:rsidR="00000000" w:rsidRPr="00330CC2" w:rsidP="00330CC2">
            <w:pPr>
              <w:pStyle w:val="ListBullet"/>
            </w:pPr>
            <w:r w:rsidRPr="00330CC2">
              <w:t>Fluid and gas high and low pressure systems, including fluid handling (for example, hydraulic fluids, lubricants, compressed air, nitrogen and oxygen)</w:t>
            </w:r>
          </w:p>
          <w:p w:rsidR="00000000" w:rsidRPr="00330CC2" w:rsidP="00330CC2">
            <w:pPr>
              <w:pStyle w:val="ListBullet"/>
            </w:pPr>
            <w:r w:rsidRPr="00330CC2">
              <w:t>Fuelling/defuelling and working on fuel systems</w:t>
            </w:r>
          </w:p>
          <w:p w:rsidR="00000000" w:rsidRPr="00330CC2" w:rsidP="00330CC2">
            <w:pPr>
              <w:pStyle w:val="ListBullet"/>
            </w:pPr>
            <w:r w:rsidRPr="00330CC2">
              <w:t>Using and handling chemicals, including solvents and batt</w:t>
            </w:r>
            <w:r w:rsidRPr="00330CC2">
              <w:t>ery acids</w:t>
            </w:r>
          </w:p>
          <w:p w:rsidR="00000000" w:rsidRPr="00330CC2" w:rsidP="00330CC2">
            <w:pPr>
              <w:pStyle w:val="ListBullet"/>
            </w:pPr>
            <w:r w:rsidRPr="00330CC2">
              <w:t>Electrical systems, outlets and leads</w:t>
            </w:r>
          </w:p>
          <w:p w:rsidR="00000000" w:rsidRPr="00330CC2" w:rsidP="00330CC2">
            <w:pPr>
              <w:pStyle w:val="ListBullet"/>
            </w:pPr>
            <w:r w:rsidRPr="00330CC2">
              <w:t>Noise hazard areas and aircraft safety zones</w:t>
            </w:r>
          </w:p>
          <w:p w:rsidR="00000000" w:rsidRPr="00330CC2" w:rsidP="00330CC2">
            <w:pPr>
              <w:pStyle w:val="ListBullet"/>
            </w:pPr>
            <w:r w:rsidRPr="00330CC2">
              <w:t>Aircraft handling, towing, jacking, ground equipment operation and signage</w:t>
            </w:r>
          </w:p>
          <w:p w:rsidR="00000000" w:rsidRPr="00330CC2" w:rsidP="00330CC2">
            <w:pPr>
              <w:pStyle w:val="ListBullet"/>
            </w:pPr>
            <w:r w:rsidRPr="00330CC2">
              <w:t>Personal protection</w:t>
            </w:r>
          </w:p>
          <w:p w:rsidR="00000000" w:rsidRPr="00330CC2" w:rsidP="00330CC2">
            <w:pPr>
              <w:pStyle w:val="ListBullet"/>
            </w:pPr>
            <w:r w:rsidRPr="00330CC2">
              <w:t xml:space="preserve">Housekeeping and cleaning, waste disposal and foreign object damage </w:t>
            </w:r>
            <w:r w:rsidRPr="00330CC2">
              <w:t>(FOD) prevention practices and procedures</w:t>
            </w:r>
          </w:p>
          <w:p w:rsidR="00000000" w:rsidRPr="00330CC2" w:rsidP="00330CC2">
            <w:pPr>
              <w:pStyle w:val="ListBullet"/>
            </w:pPr>
            <w:r w:rsidRPr="00330CC2">
              <w:t>Confined space entry (where applicable to the enterprise)</w:t>
            </w:r>
          </w:p>
          <w:p w:rsidR="00000000" w:rsidRPr="00330CC2" w:rsidP="00330CC2">
            <w:pPr>
              <w:pStyle w:val="ListBullet"/>
            </w:pPr>
            <w:r w:rsidRPr="00330CC2">
              <w:t>Aircraft strobe lighting (where applicable to the enterprise)</w:t>
            </w:r>
          </w:p>
          <w:p w:rsidR="00000000" w:rsidP="00330CC2">
            <w:pPr>
              <w:pStyle w:val="ListBullet"/>
              <w:rPr>
                <w:lang w:val="en-NZ"/>
              </w:rPr>
            </w:pPr>
            <w:r w:rsidRPr="00330CC2">
              <w:t>Ionising and non-ionising radiation equipment (where applicable to the enterprise)</w:t>
            </w:r>
          </w:p>
        </w:tc>
      </w:tr>
      <w:tr w:rsidTr="00330CC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rPr>
                <w:rStyle w:val="SpecialBold"/>
              </w:rPr>
              <w:t>Relevant r</w:t>
            </w:r>
            <w:r w:rsidRPr="00330CC2">
              <w:rPr>
                <w:rStyle w:val="SpecialBold"/>
              </w:rPr>
              <w:t>egulatory and enterprise policies and procedures are found in:</w:t>
            </w:r>
          </w:p>
        </w:tc>
        <w:tc>
          <w:tcPr>
            <w:tcW w:w="5922" w:type="dxa"/>
            <w:tcBorders>
              <w:top w:val="nil"/>
              <w:left w:val="nil"/>
              <w:bottom w:val="nil"/>
              <w:right w:val="nil"/>
            </w:tcBorders>
            <w:tcMar>
              <w:top w:w="0" w:type="dxa"/>
              <w:left w:w="62" w:type="dxa"/>
              <w:bottom w:w="0" w:type="dxa"/>
              <w:right w:w="62" w:type="dxa"/>
            </w:tcMar>
          </w:tcPr>
          <w:p w:rsidR="00000000" w:rsidRPr="00330CC2" w:rsidP="00330CC2">
            <w:pPr>
              <w:pStyle w:val="ListBullet"/>
            </w:pPr>
            <w:r w:rsidRPr="00330CC2">
              <w:t>Commonwealth, State and Territory WHS Acts, regulations and codes of practice, including regulations and codes of practice relating to hazards present in the workplace or industry</w:t>
            </w:r>
          </w:p>
          <w:p w:rsidR="00000000" w:rsidRPr="00330CC2" w:rsidP="00330CC2">
            <w:pPr>
              <w:pStyle w:val="ListBullet"/>
            </w:pPr>
            <w:r w:rsidRPr="00330CC2">
              <w:t>Organisational safety manuals that specify provisions relating to roles and responsibilities of health and safety representatives and/or WHS committees and provisions relating to WHS issue resolution</w:t>
            </w:r>
          </w:p>
          <w:p w:rsidR="00000000" w:rsidRPr="00330CC2" w:rsidP="00330CC2">
            <w:pPr>
              <w:pStyle w:val="ListBullet"/>
            </w:pPr>
            <w:r w:rsidRPr="00330CC2">
              <w:t>Maintenance organisation manuals</w:t>
            </w:r>
          </w:p>
          <w:p w:rsidR="00000000" w:rsidRPr="00330CC2" w:rsidP="00330CC2">
            <w:pPr>
              <w:pStyle w:val="ListBullet"/>
            </w:pPr>
            <w:r w:rsidRPr="00330CC2">
              <w:t>Procedures manuals</w:t>
            </w:r>
          </w:p>
          <w:p w:rsidR="00000000" w:rsidRPr="00330CC2" w:rsidP="00330CC2">
            <w:pPr>
              <w:pStyle w:val="ListBullet"/>
            </w:pPr>
            <w:r w:rsidRPr="00330CC2">
              <w:t>Work</w:t>
            </w:r>
            <w:r w:rsidRPr="00330CC2">
              <w:t xml:space="preserve"> instructions</w:t>
            </w:r>
          </w:p>
          <w:p w:rsidR="00000000" w:rsidRPr="00330CC2" w:rsidP="00330CC2">
            <w:pPr>
              <w:pStyle w:val="ListBullet"/>
            </w:pPr>
            <w:r w:rsidRPr="00330CC2">
              <w:t>Relevant Defence instructions</w:t>
            </w:r>
          </w:p>
          <w:p w:rsidR="00000000" w:rsidP="00330CC2">
            <w:pPr>
              <w:pStyle w:val="ListBullet"/>
              <w:rPr>
                <w:lang w:val="en-NZ"/>
              </w:rPr>
            </w:pPr>
            <w:r w:rsidRPr="00330CC2">
              <w:t>Civil Aviation Safety Regulations (CASRs)</w:t>
            </w:r>
          </w:p>
        </w:tc>
      </w:tr>
      <w:tr w:rsidTr="00330CC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rPr>
                <w:rStyle w:val="SpecialBold"/>
              </w:rPr>
              <w:t>Personal protective equipment (PPE) requirements are found in:</w:t>
            </w:r>
          </w:p>
        </w:tc>
        <w:tc>
          <w:tcPr>
            <w:tcW w:w="5922" w:type="dxa"/>
            <w:tcBorders>
              <w:top w:val="nil"/>
              <w:left w:val="nil"/>
              <w:bottom w:val="nil"/>
              <w:right w:val="nil"/>
            </w:tcBorders>
            <w:tcMar>
              <w:top w:w="0" w:type="dxa"/>
              <w:left w:w="62" w:type="dxa"/>
              <w:bottom w:w="0" w:type="dxa"/>
              <w:right w:w="62" w:type="dxa"/>
            </w:tcMar>
          </w:tcPr>
          <w:p w:rsidR="00000000" w:rsidRPr="00330CC2" w:rsidP="00330CC2">
            <w:pPr>
              <w:pStyle w:val="ListBullet"/>
            </w:pPr>
            <w:r w:rsidRPr="00330CC2">
              <w:t>Material safety data sheets (MSDS)</w:t>
            </w:r>
          </w:p>
          <w:p w:rsidR="00000000" w:rsidRPr="00330CC2" w:rsidP="00330CC2">
            <w:pPr>
              <w:pStyle w:val="ListBullet"/>
            </w:pPr>
            <w:r w:rsidRPr="00330CC2">
              <w:t>Safety manuals</w:t>
            </w:r>
          </w:p>
          <w:p w:rsidR="00000000" w:rsidRPr="00330CC2" w:rsidP="00330CC2">
            <w:pPr>
              <w:pStyle w:val="ListBullet"/>
            </w:pPr>
            <w:r w:rsidRPr="00330CC2">
              <w:t>Procedures manuals</w:t>
            </w:r>
          </w:p>
          <w:p w:rsidR="00000000" w:rsidRPr="00330CC2" w:rsidP="00330CC2">
            <w:pPr>
              <w:pStyle w:val="ListBullet"/>
            </w:pPr>
            <w:r w:rsidRPr="00330CC2">
              <w:t>Maintenance manuals</w:t>
            </w:r>
          </w:p>
          <w:p w:rsidR="00000000" w:rsidRPr="00330CC2" w:rsidP="00330CC2">
            <w:pPr>
              <w:pStyle w:val="ListBullet"/>
            </w:pPr>
            <w:r w:rsidRPr="00330CC2">
              <w:t>Work instruction</w:t>
            </w:r>
            <w:r w:rsidRPr="00330CC2">
              <w:t>s</w:t>
            </w:r>
          </w:p>
          <w:p w:rsidR="00000000" w:rsidP="00330CC2">
            <w:pPr>
              <w:pStyle w:val="ListBullet"/>
              <w:rPr>
                <w:lang w:val="en-NZ"/>
              </w:rPr>
            </w:pPr>
            <w:r w:rsidRPr="00330CC2">
              <w:t>Relevant Defence instructions</w:t>
            </w:r>
          </w:p>
        </w:tc>
      </w:tr>
      <w:tr w:rsidTr="00330CC2">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330CC2">
            <w:pPr>
              <w:pStyle w:val="BodyText"/>
              <w:rPr>
                <w:lang w:val="en-NZ"/>
              </w:rPr>
            </w:pPr>
            <w:r w:rsidRPr="00330CC2">
              <w:rPr>
                <w:rStyle w:val="SpecialBold"/>
              </w:rPr>
              <w:t>Workplace hazard identification includes:</w:t>
            </w:r>
          </w:p>
        </w:tc>
        <w:tc>
          <w:tcPr>
            <w:tcW w:w="5922" w:type="dxa"/>
            <w:tcBorders>
              <w:top w:val="nil"/>
              <w:left w:val="nil"/>
              <w:bottom w:val="nil"/>
              <w:right w:val="nil"/>
            </w:tcBorders>
            <w:tcMar>
              <w:top w:w="0" w:type="dxa"/>
              <w:left w:w="62" w:type="dxa"/>
              <w:bottom w:w="0" w:type="dxa"/>
              <w:right w:w="62" w:type="dxa"/>
            </w:tcMar>
          </w:tcPr>
          <w:p w:rsidR="00000000" w:rsidRPr="00330CC2" w:rsidP="00330CC2">
            <w:pPr>
              <w:pStyle w:val="ListBullet"/>
            </w:pPr>
            <w:r w:rsidRPr="00330CC2">
              <w:t>Checking equipment or the work area before work commences and during work</w:t>
            </w:r>
          </w:p>
          <w:p w:rsidR="00000000" w:rsidRPr="00330CC2" w:rsidP="00330CC2">
            <w:pPr>
              <w:pStyle w:val="ListBullet"/>
            </w:pPr>
            <w:r w:rsidRPr="00330CC2">
              <w:t>Workplace inspections</w:t>
            </w:r>
          </w:p>
          <w:p w:rsidR="00000000" w:rsidRPr="00330CC2" w:rsidP="00330CC2">
            <w:pPr>
              <w:pStyle w:val="ListBullet"/>
            </w:pPr>
            <w:r w:rsidRPr="00330CC2">
              <w:t>Housekeeping</w:t>
            </w:r>
          </w:p>
        </w:tc>
      </w:tr>
    </w:tbl>
    <w:p w:rsidR="00000000" w:rsidRPr="00330CC2" w:rsidP="00330CC2">
      <w:pPr>
        <w:pStyle w:val="BodyText"/>
      </w:pPr>
    </w:p>
    <w:p w:rsidR="00000000" w:rsidRPr="00330CC2" w:rsidP="00330CC2">
      <w:pPr>
        <w:pStyle w:val="AllowPageBreak"/>
      </w:pPr>
    </w:p>
    <w:p w:rsidR="00000000" w:rsidRPr="00330CC2" w:rsidP="00330CC2">
      <w:pPr>
        <w:pStyle w:val="Heading1"/>
      </w:pPr>
      <w:bookmarkStart w:id="9" w:name="O_718698"/>
      <w:bookmarkEnd w:id="9"/>
      <w:r w:rsidRPr="00330CC2">
        <w:t>Unit Mapping Information</w:t>
      </w:r>
    </w:p>
    <w:p w:rsidR="00000000" w:rsidRPr="00330CC2" w:rsidP="00DB4CB4">
      <w:pPr>
        <w:pStyle w:val="BodyText"/>
      </w:pPr>
      <w:r w:rsidRPr="00330CC2">
        <w:t>Release 1 –</w:t>
      </w:r>
      <w:r w:rsidRPr="00330CC2">
        <w:t xml:space="preserve"> supersedes and is equivalent to MEA101B Interpret occupational health and safety practices in aviation maintenance</w:t>
      </w:r>
    </w:p>
    <w:p w:rsidR="00000000" w:rsidRPr="00330CC2" w:rsidP="00330CC2">
      <w:pPr>
        <w:pStyle w:val="Heading1"/>
      </w:pPr>
      <w:bookmarkStart w:id="10" w:name="O_718705"/>
      <w:bookmarkEnd w:id="10"/>
      <w:r w:rsidRPr="00330CC2">
        <w:t>Links</w:t>
      </w:r>
    </w:p>
    <w:p w:rsidR="00000000" w:rsidRPr="00330CC2" w:rsidP="00DB4CB4">
      <w:pPr>
        <w:pStyle w:val="BodyText"/>
      </w:pPr>
      <w:r w:rsidRPr="00330CC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C33EC">
        <w:rPr>
          <w:rStyle w:val="Hyperlink"/>
        </w:rPr>
        <w:t>https://vetnet.gov.au/Pages/TrainingDocs.aspx?q=ce216c9c-04d5-4b3b-9bcf-4e81d0950371</w:t>
      </w:r>
      <w:r>
        <w:fldChar w:fldCharType="end"/>
      </w:r>
    </w:p>
    <w:p w:rsidR="00000000" w:rsidRPr="00330CC2" w:rsidP="00DB4CB4">
      <w:pPr>
        <w:pStyle w:val="BodyText"/>
        <w:sectPr w:rsidSect="00330CC2">
          <w:headerReference w:type="default" r:id="rId10"/>
          <w:footerReference w:type="default" r:id="rId11"/>
          <w:pgSz w:w="11908" w:h="16833"/>
          <w:pgMar w:top="1702" w:right="1418" w:bottom="1702" w:left="1418" w:header="992" w:footer="992" w:gutter="0"/>
          <w:cols w:space="720"/>
          <w:noEndnote/>
          <w:docGrid w:linePitch="299"/>
        </w:sectPr>
      </w:pPr>
    </w:p>
    <w:p w:rsidR="00000000" w:rsidRPr="00330CC2" w:rsidP="00330CC2">
      <w:pPr>
        <w:pStyle w:val="SuperHeading"/>
      </w:pPr>
      <w:r w:rsidRPr="00330CC2">
        <w:t>Assessment Requirements for MEA101 Interpret work health and sa</w:t>
      </w:r>
      <w:r w:rsidRPr="00330CC2">
        <w:t>fety practices in aviation maintenance</w:t>
      </w:r>
    </w:p>
    <w:p w:rsidR="00000000" w:rsidRPr="00330CC2" w:rsidP="00330CC2">
      <w:pPr>
        <w:pStyle w:val="Heading1"/>
      </w:pPr>
      <w:bookmarkStart w:id="11" w:name="O_718700"/>
      <w:bookmarkEnd w:id="11"/>
      <w:r w:rsidRPr="00330CC2">
        <w:t>Modification History</w:t>
      </w:r>
    </w:p>
    <w:p w:rsidR="00000000" w:rsidRPr="00330CC2" w:rsidP="00DB4CB4">
      <w:pPr>
        <w:pStyle w:val="BodyText"/>
      </w:pPr>
      <w:r w:rsidRPr="00330CC2">
        <w:t>Release 1 - New unit of competency</w:t>
      </w:r>
    </w:p>
    <w:p w:rsidR="00000000" w:rsidRPr="00330CC2" w:rsidP="00330CC2">
      <w:pPr>
        <w:pStyle w:val="Heading1"/>
      </w:pPr>
      <w:bookmarkStart w:id="12" w:name="O_718701"/>
      <w:bookmarkEnd w:id="12"/>
      <w:r w:rsidRPr="00330CC2">
        <w:t>Performance Evidence</w:t>
      </w:r>
    </w:p>
    <w:p w:rsidR="00000000" w:rsidRPr="00330CC2" w:rsidP="00DB4CB4">
      <w:pPr>
        <w:pStyle w:val="BodyText"/>
      </w:pPr>
      <w:r w:rsidRPr="00330CC2">
        <w:t>Evidence required to demonstrate competency in this unit must be relevant to and satisfy all of the require</w:t>
      </w:r>
      <w:r w:rsidRPr="00330CC2">
        <w:t>ments of the elements and performance criteria under the specified conditions of assessment, and must include:</w:t>
      </w:r>
    </w:p>
    <w:p w:rsidR="00000000" w:rsidRPr="00330CC2" w:rsidP="00330CC2">
      <w:pPr>
        <w:pStyle w:val="ListBullet"/>
      </w:pPr>
      <w:r w:rsidRPr="00330CC2">
        <w:t>correctly interpreting WHS regulations, instructions and procedures relevant to the requirements for conduct of safe work listed in the Range of</w:t>
      </w:r>
      <w:r w:rsidRPr="00330CC2">
        <w:t xml:space="preserve"> Conditions</w:t>
      </w:r>
    </w:p>
    <w:p w:rsidR="00000000" w:rsidRPr="00330CC2" w:rsidP="00330CC2">
      <w:pPr>
        <w:pStyle w:val="ListBullet"/>
      </w:pPr>
      <w:r w:rsidRPr="00330CC2">
        <w:t>recognising and adhering to aerospace industry signage, including aircraft systems plumbing markings</w:t>
      </w:r>
    </w:p>
    <w:p w:rsidR="00000000" w:rsidRPr="00330CC2" w:rsidP="00330CC2">
      <w:pPr>
        <w:pStyle w:val="ListBullet"/>
      </w:pPr>
      <w:r w:rsidRPr="00330CC2">
        <w:t>recognising and reporting to designated personnel hazardous situations in the workplace</w:t>
      </w:r>
    </w:p>
    <w:p w:rsidR="00000000" w:rsidRPr="00330CC2" w:rsidP="00330CC2">
      <w:pPr>
        <w:pStyle w:val="ListBullet"/>
      </w:pPr>
      <w:r w:rsidRPr="00330CC2">
        <w:t>risk assessment and control</w:t>
      </w:r>
    </w:p>
    <w:p w:rsidR="00000000" w:rsidRPr="00330CC2" w:rsidP="00330CC2">
      <w:pPr>
        <w:pStyle w:val="ListBullet"/>
      </w:pPr>
      <w:r w:rsidRPr="00330CC2">
        <w:t>selecting appropriate PPE f</w:t>
      </w:r>
      <w:r w:rsidRPr="00330CC2">
        <w:t>or the maintenance activity being undertaken</w:t>
      </w:r>
    </w:p>
    <w:p w:rsidR="00000000" w:rsidRPr="00330CC2" w:rsidP="00330CC2">
      <w:pPr>
        <w:pStyle w:val="ListBullet"/>
      </w:pPr>
      <w:r w:rsidRPr="00330CC2">
        <w:t>correct interpretation of enterprise and regulatory emergency procedures</w:t>
      </w:r>
    </w:p>
    <w:p w:rsidR="00000000" w:rsidRPr="00330CC2" w:rsidP="00330CC2">
      <w:pPr>
        <w:pStyle w:val="ListBullet"/>
      </w:pPr>
      <w:r w:rsidRPr="00330CC2">
        <w:t>correct identification and operation of enterprise/industry-specific workplace emergency equipment.</w:t>
      </w:r>
    </w:p>
    <w:p w:rsidR="00000000" w:rsidRPr="00330CC2" w:rsidP="00DB4CB4">
      <w:pPr>
        <w:pStyle w:val="BodyText"/>
      </w:pPr>
      <w:r w:rsidRPr="00330CC2">
        <w:t>This unit must be related in its asses</w:t>
      </w:r>
      <w:r w:rsidRPr="00330CC2">
        <w:t>sment and application to all other units. The relationship between general workplace WHS requirements, as included in enterprise procedures, and the relevant federal and/or state and territory legislation must be clearly linked.</w:t>
      </w:r>
    </w:p>
    <w:p w:rsidR="00DB4CB4" w:rsidP="00DB4CB4">
      <w:pPr>
        <w:pStyle w:val="BodyText"/>
      </w:pPr>
      <w:r w:rsidRPr="00330CC2">
        <w:t>Evidence of knowledge and s</w:t>
      </w:r>
      <w:r w:rsidRPr="00330CC2">
        <w:t>kills associated with the application of WHS standards is required to supplement evidence of ability to interpret and apply specific safe practices in the workplace.</w:t>
      </w:r>
    </w:p>
    <w:p w:rsidR="00000000" w:rsidRPr="00330CC2" w:rsidP="00330CC2">
      <w:pPr>
        <w:pStyle w:val="Heading1"/>
      </w:pPr>
      <w:bookmarkStart w:id="13" w:name="O_718702"/>
      <w:bookmarkEnd w:id="13"/>
      <w:r w:rsidRPr="00330CC2">
        <w:t>Knowledge Evidence</w:t>
      </w:r>
    </w:p>
    <w:p w:rsidR="00000000" w:rsidRPr="00330CC2" w:rsidP="00DB4CB4">
      <w:pPr>
        <w:pStyle w:val="BodyText"/>
      </w:pPr>
      <w:r w:rsidRPr="00330CC2">
        <w:t>Evidence required to demonstrate competency in this unit must be relevant to and satisfy all of the requirements of the elements and performance criteria and include knowledge of:</w:t>
      </w:r>
    </w:p>
    <w:p w:rsidR="00000000" w:rsidRPr="00330CC2" w:rsidP="00330CC2">
      <w:pPr>
        <w:pStyle w:val="ListBullet"/>
      </w:pPr>
      <w:r w:rsidRPr="00330CC2">
        <w:t>the applicable sources of WHS requirements and procedures and their applica</w:t>
      </w:r>
      <w:r w:rsidRPr="00330CC2">
        <w:t>tion in requirements for conduct of safe work as listed in the Range of Conditions</w:t>
      </w:r>
    </w:p>
    <w:p w:rsidR="00000000" w:rsidRPr="00330CC2" w:rsidP="00330CC2">
      <w:pPr>
        <w:pStyle w:val="ListBullet"/>
      </w:pPr>
      <w:r w:rsidRPr="00330CC2">
        <w:t>how to recognise and report hazardous situations in the workplace</w:t>
      </w:r>
    </w:p>
    <w:p w:rsidR="00000000" w:rsidRPr="00330CC2" w:rsidP="00330CC2">
      <w:pPr>
        <w:pStyle w:val="ListBullet"/>
      </w:pPr>
      <w:r w:rsidRPr="00330CC2">
        <w:t>methods of risk assessment and control</w:t>
      </w:r>
    </w:p>
    <w:p w:rsidR="00000000" w:rsidRPr="00330CC2" w:rsidP="00330CC2">
      <w:pPr>
        <w:pStyle w:val="ListBullet"/>
      </w:pPr>
      <w:r w:rsidRPr="00330CC2">
        <w:t>the preferred order of ways to control risks (known as the hierarchy</w:t>
      </w:r>
      <w:r w:rsidRPr="00330CC2">
        <w:t xml:space="preserve"> of control)</w:t>
      </w:r>
    </w:p>
    <w:p w:rsidR="00000000" w:rsidRPr="00330CC2" w:rsidP="00330CC2">
      <w:pPr>
        <w:pStyle w:val="ListBullet"/>
      </w:pPr>
      <w:r w:rsidRPr="00330CC2">
        <w:t>work operations to control risks, e.g. permit to work systems, such as confined space entry and isolation procedures</w:t>
      </w:r>
    </w:p>
    <w:p w:rsidR="00000000" w:rsidRPr="00330CC2" w:rsidP="00330CC2">
      <w:pPr>
        <w:pStyle w:val="ListBullet"/>
      </w:pPr>
      <w:r w:rsidRPr="00330CC2">
        <w:t>how to determine requirements for PPE associated with maintenance activities</w:t>
      </w:r>
    </w:p>
    <w:p w:rsidR="00000000" w:rsidRPr="00330CC2" w:rsidP="00330CC2">
      <w:pPr>
        <w:pStyle w:val="ListBullet"/>
      </w:pPr>
      <w:r w:rsidRPr="00330CC2">
        <w:t>the correct selection and use of workplace emerge</w:t>
      </w:r>
      <w:r w:rsidRPr="00330CC2">
        <w:t xml:space="preserve">ncy equipment </w:t>
      </w:r>
    </w:p>
    <w:p w:rsidR="00DB4CB4" w:rsidP="00330CC2">
      <w:pPr>
        <w:pStyle w:val="ListBullet"/>
      </w:pPr>
      <w:r w:rsidRPr="00330CC2">
        <w:t>action to be taken in emergency situations.</w:t>
      </w:r>
    </w:p>
    <w:p w:rsidR="00DB4CB4" w:rsidP="00330CC2">
      <w:pPr>
        <w:pStyle w:val="ListBullet"/>
      </w:pPr>
    </w:p>
    <w:p w:rsidR="00000000" w:rsidRPr="00330CC2" w:rsidP="00330CC2">
      <w:pPr>
        <w:pStyle w:val="Heading1"/>
      </w:pPr>
      <w:bookmarkStart w:id="14" w:name="O_718703"/>
      <w:bookmarkEnd w:id="14"/>
      <w:r w:rsidRPr="00330CC2">
        <w:t>Assessment Conditions</w:t>
      </w:r>
    </w:p>
    <w:p w:rsidR="00000000" w:rsidRPr="00330CC2" w:rsidP="00330CC2">
      <w:pPr>
        <w:pStyle w:val="ListBullet"/>
      </w:pPr>
      <w:r w:rsidRPr="00330CC2">
        <w:t xml:space="preserve">This unit may be assessed on the job, off the job or a combination of both on and off the job. Where </w:t>
      </w:r>
      <w:r w:rsidRPr="00330CC2">
        <w:t xml:space="preserve">assessment occurs off the job, that is, the candidate is not in productive work, an appropriate simulation must be used where the range of conditions reflects realistic workplace situations. Should a demonstration </w:t>
      </w:r>
      <w:r w:rsidRPr="00330CC2">
        <w:t>of skill application be necessary, the can</w:t>
      </w:r>
      <w:r w:rsidRPr="00330CC2">
        <w:t>didate must have access to all necessary tools, equipment, materials and relevant documentation. The candidate must be permitted to refer to any relevant workplace procedures, product and manufacturing specifications, codes, standards, manuals and referenc</w:t>
      </w:r>
      <w:r w:rsidRPr="00330CC2">
        <w:t>e materials.</w:t>
      </w:r>
    </w:p>
    <w:p w:rsidR="00000000" w:rsidRPr="00330CC2" w:rsidP="00330CC2">
      <w:pPr>
        <w:pStyle w:val="ListBullet"/>
      </w:pPr>
      <w:r w:rsidRPr="00330CC2">
        <w:t>Assessors must be satisfied that the candidate can competently and consistently perform all elements of the unit as specified by the criteria, including required knowledge, and be capable of applying the competency under routine supervision on</w:t>
      </w:r>
      <w:r w:rsidRPr="00330CC2">
        <w:t xml:space="preserve"> at least one item from each of:</w:t>
      </w:r>
    </w:p>
    <w:p w:rsidR="00000000" w:rsidRPr="00330CC2" w:rsidP="00330CC2">
      <w:pPr>
        <w:pStyle w:val="ListBullet2"/>
      </w:pPr>
      <w:r w:rsidRPr="00330CC2">
        <w:t>applying general duty of care under WHS legislation and common law</w:t>
      </w:r>
    </w:p>
    <w:p w:rsidR="00000000" w:rsidRPr="00330CC2" w:rsidP="00330CC2">
      <w:pPr>
        <w:pStyle w:val="ListBullet2"/>
      </w:pPr>
      <w:r w:rsidRPr="00330CC2">
        <w:t>fluid and gas high and low pressure systems, including fluid handling (for example, hydraulic fluids, lubricants, compressed air, nitrogen and oxygen)</w:t>
      </w:r>
    </w:p>
    <w:p w:rsidR="00000000" w:rsidRPr="00330CC2" w:rsidP="00330CC2">
      <w:pPr>
        <w:pStyle w:val="ListBullet2"/>
      </w:pPr>
      <w:r w:rsidRPr="00330CC2">
        <w:t xml:space="preserve">fuelling/defuelling and working on fuel systems </w:t>
      </w:r>
    </w:p>
    <w:p w:rsidR="00000000" w:rsidRPr="00330CC2" w:rsidP="00330CC2">
      <w:pPr>
        <w:pStyle w:val="ListBullet2"/>
      </w:pPr>
      <w:r w:rsidRPr="00330CC2">
        <w:t>using and handling chemicals, including solvents and battery acids</w:t>
      </w:r>
    </w:p>
    <w:p w:rsidR="00000000" w:rsidRPr="00330CC2" w:rsidP="00330CC2">
      <w:pPr>
        <w:pStyle w:val="ListBullet2"/>
      </w:pPr>
      <w:r w:rsidRPr="00330CC2">
        <w:t>electrical systems, outlets and leads</w:t>
      </w:r>
    </w:p>
    <w:p w:rsidR="00000000" w:rsidRPr="00330CC2" w:rsidP="00330CC2">
      <w:pPr>
        <w:pStyle w:val="ListBullet2"/>
      </w:pPr>
      <w:r w:rsidRPr="00330CC2">
        <w:t>noise hazard areas and aircraft safety zones</w:t>
      </w:r>
    </w:p>
    <w:p w:rsidR="00000000" w:rsidRPr="00330CC2" w:rsidP="00330CC2">
      <w:pPr>
        <w:pStyle w:val="ListBullet2"/>
      </w:pPr>
      <w:r w:rsidRPr="00330CC2">
        <w:t>aircraft handling, towing, jacking, ground equipment oper</w:t>
      </w:r>
      <w:r w:rsidRPr="00330CC2">
        <w:t>ation and signage</w:t>
      </w:r>
    </w:p>
    <w:p w:rsidR="00000000" w:rsidRPr="00330CC2" w:rsidP="00330CC2">
      <w:pPr>
        <w:pStyle w:val="ListBullet2"/>
      </w:pPr>
      <w:r w:rsidRPr="00330CC2">
        <w:t>personal protection</w:t>
      </w:r>
    </w:p>
    <w:p w:rsidR="00000000" w:rsidRPr="00330CC2" w:rsidP="00330CC2">
      <w:pPr>
        <w:pStyle w:val="ListBullet2"/>
      </w:pPr>
      <w:r w:rsidRPr="00330CC2">
        <w:t>housekeeping and cleaning, waste disposal and FOD prevention practices and procedures.</w:t>
      </w:r>
    </w:p>
    <w:p w:rsidR="00000000" w:rsidRPr="00330CC2" w:rsidP="00330CC2">
      <w:pPr>
        <w:pStyle w:val="ListBullet"/>
      </w:pPr>
      <w:r w:rsidRPr="00330CC2">
        <w:t>Also, where applicable to the enterprise, the following:</w:t>
      </w:r>
    </w:p>
    <w:p w:rsidR="00000000" w:rsidRPr="00330CC2" w:rsidP="00330CC2">
      <w:pPr>
        <w:pStyle w:val="ListBullet2"/>
      </w:pPr>
      <w:r w:rsidRPr="00330CC2">
        <w:t>confined space entry</w:t>
      </w:r>
    </w:p>
    <w:p w:rsidR="00000000" w:rsidRPr="00330CC2" w:rsidP="00330CC2">
      <w:pPr>
        <w:pStyle w:val="ListBullet2"/>
      </w:pPr>
      <w:r w:rsidRPr="00330CC2">
        <w:t>aircraft strobe lighting</w:t>
      </w:r>
    </w:p>
    <w:p w:rsidR="00000000" w:rsidRPr="00330CC2" w:rsidP="00330CC2">
      <w:pPr>
        <w:pStyle w:val="ListBullet2"/>
      </w:pPr>
      <w:r w:rsidRPr="00330CC2">
        <w:t>ionising, non-ionising rad</w:t>
      </w:r>
      <w:r w:rsidRPr="00330CC2">
        <w:t>iation equipment</w:t>
      </w:r>
    </w:p>
    <w:p w:rsidR="00000000" w:rsidRPr="00330CC2" w:rsidP="00330CC2">
      <w:pPr>
        <w:pStyle w:val="ListBullet"/>
      </w:pPr>
      <w:r w:rsidRPr="00330CC2">
        <w:t>This shall be established via the records in the Log of Industrial Experience and Achievement or, where appropriate, an equivalent Industry Evidence Guide. The relationship between general workplace WHS requirements, as included in enterp</w:t>
      </w:r>
      <w:r w:rsidRPr="00330CC2">
        <w:t>rise procedures, and the relevant federal and/or state and territory legislation must be clearly linked.</w:t>
      </w:r>
    </w:p>
    <w:p w:rsidR="00000000" w:rsidRPr="00330CC2" w:rsidP="00330CC2">
      <w:pPr>
        <w:pStyle w:val="ListBullet"/>
      </w:pPr>
      <w:r w:rsidRPr="00330CC2">
        <w:t>Assessors must satisfy the requirements of the National Vocational Education and Training Regulator (Australian Skills Quality Authority, or its successors).</w:t>
      </w:r>
    </w:p>
    <w:p w:rsidR="00000000" w:rsidRPr="00330CC2" w:rsidP="00330CC2">
      <w:pPr>
        <w:pStyle w:val="AllowPageBreak"/>
      </w:pPr>
    </w:p>
    <w:p w:rsidR="00000000" w:rsidRPr="00330CC2" w:rsidP="00330CC2">
      <w:pPr>
        <w:pStyle w:val="Heading1"/>
      </w:pPr>
      <w:bookmarkStart w:id="15" w:name="O_718706"/>
      <w:bookmarkEnd w:id="15"/>
      <w:r w:rsidRPr="00330CC2">
        <w:t>Links</w:t>
      </w:r>
    </w:p>
    <w:p w:rsidR="00000000" w:rsidRPr="00330CC2" w:rsidP="00DB4CB4">
      <w:pPr>
        <w:pStyle w:val="BodyText"/>
      </w:pPr>
      <w:r w:rsidRPr="00330CC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C33EC">
        <w:rPr>
          <w:rStyle w:val="Hyperlink"/>
        </w:rPr>
        <w:t>https://vetnet.gov.au/Pages/TrainingDocs.aspx?q=ce216c9c-04d5-4b3b-9bcf-4e81d0950371</w:t>
      </w:r>
      <w:r>
        <w:fldChar w:fldCharType="end"/>
      </w:r>
    </w:p>
    <w:p w:rsidR="00000000" w:rsidRPr="00330CC2" w:rsidP="00330CC2"/>
    <w:sectPr w:rsidSect="00330C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C2" w:rsidRPr="00DB4CB4" w:rsidP="00DB4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B4" w:rsidP="00330C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B4CB4" w:rsidP="00330C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B4CB4" w:rsidP="00330C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C2" w:rsidP="00330CC2">
    <w:pPr>
      <w:pStyle w:val="Footer"/>
      <w:framePr w:wrap="around"/>
    </w:pPr>
    <w:r>
      <w:fldChar w:fldCharType="begin"/>
    </w:r>
    <w:r>
      <w:instrText xml:space="preserve"> DOCPROPERTY  Subject  \* MERGEFORMAT </w:instrText>
    </w:r>
    <w:r>
      <w:fldChar w:fldCharType="separate"/>
    </w:r>
    <w:r w:rsidR="00DB4CB4">
      <w:t>Approved</w:t>
    </w:r>
    <w:r w:rsidR="00DB4CB4">
      <w:fldChar w:fldCharType="end"/>
    </w:r>
    <w:r>
      <w:tab/>
      <w:t xml:space="preserve">Page </w:t>
    </w:r>
    <w:r>
      <w:fldChar w:fldCharType="begin"/>
    </w:r>
    <w:r>
      <w:instrText xml:space="preserve"> PAGE  \* Arabic  \* MERGEFORMAT </w:instrText>
    </w:r>
    <w:r>
      <w:fldChar w:fldCharType="separate"/>
    </w:r>
    <w:r w:rsidR="00DB4CB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B4CB4">
      <w:rPr>
        <w:noProof/>
      </w:rPr>
      <w:t>5</w:t>
    </w:r>
    <w:r>
      <w:rPr>
        <w:noProof/>
      </w:rPr>
      <w:fldChar w:fldCharType="end"/>
    </w:r>
  </w:p>
  <w:p w:rsidR="00330CC2" w:rsidP="00330CC2">
    <w:pPr>
      <w:pStyle w:val="Footer"/>
      <w:framePr w:wrap="around"/>
    </w:pPr>
    <w:r>
      <w:t xml:space="preserve">© Commonwealth of Australia, </w:t>
    </w:r>
    <w:r>
      <w:fldChar w:fldCharType="begin"/>
    </w:r>
    <w:r>
      <w:instrText xml:space="preserve"> DATE  \@ "yyyy"  \* MERGEFORMAT </w:instrText>
    </w:r>
    <w:r>
      <w:fldChar w:fldCharType="separate"/>
    </w:r>
    <w:r w:rsidR="00DB4CB4">
      <w:rPr>
        <w:noProof/>
      </w:rPr>
      <w:t>2025</w:t>
    </w:r>
    <w:r>
      <w:fldChar w:fldCharType="end"/>
    </w:r>
    <w:r>
      <w:tab/>
    </w:r>
    <w:r>
      <w:fldChar w:fldCharType="begin"/>
    </w:r>
    <w:r>
      <w:instrText xml:space="preserve"> DOCPROPERTY  Author  \* MERGEFORMAT </w:instrText>
    </w:r>
    <w:r>
      <w:fldChar w:fldCharType="separate"/>
    </w:r>
    <w:r w:rsidR="00DB4CB4">
      <w:t>Manufacturing Industry Skills Alliance</w:t>
    </w:r>
    <w:r w:rsidR="00DB4CB4">
      <w:fldChar w:fldCharType="end"/>
    </w:r>
  </w:p>
  <w:p w:rsidR="00330CC2" w:rsidP="00330C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CC2" w:rsidRPr="00DB4CB4" w:rsidP="00DB4C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CB4" w:rsidRPr="002D2AF8" w:rsidP="00330CC2">
    <w:pPr>
      <w:pStyle w:val="Header"/>
      <w:framePr w:wrap="around"/>
    </w:pPr>
    <w:r>
      <w:fldChar w:fldCharType="begin"/>
    </w:r>
    <w:r>
      <w:instrText xml:space="preserve"> TITLE   \* MERGEFORMAT </w:instrText>
    </w:r>
    <w:r>
      <w:fldChar w:fldCharType="separate"/>
    </w:r>
    <w:r>
      <w:t>MEA101 Interpret work health and safety practices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B4CB4" w:rsidP="00330C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CC2" w:rsidRPr="002D2AF8" w:rsidP="00330CC2">
    <w:pPr>
      <w:pStyle w:val="Header"/>
      <w:framePr w:wrap="around"/>
    </w:pPr>
    <w:r>
      <w:fldChar w:fldCharType="begin"/>
    </w:r>
    <w:r>
      <w:instrText xml:space="preserve"> TITLE   \* MERGEFORMAT </w:instrText>
    </w:r>
    <w:r>
      <w:fldChar w:fldCharType="separate"/>
    </w:r>
    <w:r w:rsidR="00DB4CB4">
      <w:t>MEA101 Interpret work health and safety practices in aviation maintenance</w:t>
    </w:r>
    <w:r w:rsidR="00DB4CB4">
      <w:fldChar w:fldCharType="end"/>
    </w:r>
    <w:r>
      <w:tab/>
      <w:t xml:space="preserve">Date this document was generated: </w:t>
    </w:r>
    <w:r>
      <w:fldChar w:fldCharType="begin"/>
    </w:r>
    <w:r>
      <w:instrText xml:space="preserve"> CREATEDATE  \@ "d MMMM yyyy"  \* MERGEFORMAT </w:instrText>
    </w:r>
    <w:r>
      <w:fldChar w:fldCharType="separate"/>
    </w:r>
    <w:r w:rsidR="00DB4CB4">
      <w:rPr>
        <w:noProof/>
      </w:rPr>
      <w:t>2 March 2025</w:t>
    </w:r>
    <w:r>
      <w:fldChar w:fldCharType="end"/>
    </w:r>
  </w:p>
  <w:p w:rsidR="00330CC2" w:rsidP="00330C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168B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DEE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688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C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CC2"/>
    <w:pPr>
      <w:spacing w:before="360" w:after="60"/>
      <w:outlineLvl w:val="0"/>
    </w:pPr>
    <w:rPr>
      <w:sz w:val="32"/>
    </w:rPr>
  </w:style>
  <w:style w:type="paragraph" w:styleId="Heading2">
    <w:name w:val="heading 2"/>
    <w:basedOn w:val="HeadingBase"/>
    <w:next w:val="BodyText"/>
    <w:link w:val="Heading2Char"/>
    <w:qFormat/>
    <w:rsid w:val="00330CC2"/>
    <w:pPr>
      <w:keepLines/>
      <w:spacing w:before="240" w:after="120"/>
      <w:outlineLvl w:val="1"/>
    </w:pPr>
    <w:rPr>
      <w:sz w:val="28"/>
      <w:szCs w:val="40"/>
    </w:rPr>
  </w:style>
  <w:style w:type="paragraph" w:styleId="Heading3">
    <w:name w:val="heading 3"/>
    <w:basedOn w:val="HeadingBase"/>
    <w:next w:val="BodyText"/>
    <w:link w:val="Heading3Char"/>
    <w:qFormat/>
    <w:rsid w:val="00330CC2"/>
    <w:pPr>
      <w:spacing w:before="180" w:after="120"/>
      <w:outlineLvl w:val="2"/>
    </w:pPr>
    <w:rPr>
      <w:spacing w:val="-10"/>
      <w:kern w:val="32"/>
    </w:rPr>
  </w:style>
  <w:style w:type="paragraph" w:styleId="Heading4">
    <w:name w:val="heading 4"/>
    <w:basedOn w:val="HeadingBase"/>
    <w:next w:val="BodyText"/>
    <w:link w:val="Heading4Char"/>
    <w:qFormat/>
    <w:rsid w:val="00330CC2"/>
    <w:pPr>
      <w:spacing w:before="160" w:after="120"/>
      <w:outlineLvl w:val="3"/>
    </w:pPr>
    <w:rPr>
      <w:sz w:val="22"/>
    </w:rPr>
  </w:style>
  <w:style w:type="paragraph" w:styleId="Heading5">
    <w:name w:val="heading 5"/>
    <w:basedOn w:val="HeadingBase"/>
    <w:next w:val="Normal"/>
    <w:link w:val="Heading5Char"/>
    <w:qFormat/>
    <w:rsid w:val="00330CC2"/>
    <w:pPr>
      <w:spacing w:before="80"/>
      <w:outlineLvl w:val="4"/>
    </w:pPr>
    <w:rPr>
      <w:color w:val="918585"/>
      <w:sz w:val="20"/>
    </w:rPr>
  </w:style>
  <w:style w:type="paragraph" w:styleId="Heading6">
    <w:name w:val="heading 6"/>
    <w:basedOn w:val="HeadingBase"/>
    <w:next w:val="Normal"/>
    <w:link w:val="Heading6Char"/>
    <w:qFormat/>
    <w:rsid w:val="00330CC2"/>
    <w:pPr>
      <w:spacing w:before="60"/>
      <w:outlineLvl w:val="5"/>
    </w:pPr>
    <w:rPr>
      <w:color w:val="918585"/>
      <w:sz w:val="20"/>
    </w:rPr>
  </w:style>
  <w:style w:type="paragraph" w:styleId="Heading7">
    <w:name w:val="heading 7"/>
    <w:basedOn w:val="Normal"/>
    <w:next w:val="Normal"/>
    <w:link w:val="Heading7Char"/>
    <w:qFormat/>
    <w:rsid w:val="00330CC2"/>
    <w:pPr>
      <w:ind w:left="720"/>
      <w:outlineLvl w:val="6"/>
    </w:pPr>
    <w:rPr>
      <w:i/>
    </w:rPr>
  </w:style>
  <w:style w:type="paragraph" w:styleId="Heading8">
    <w:name w:val="heading 8"/>
    <w:basedOn w:val="Normal"/>
    <w:next w:val="Normal"/>
    <w:link w:val="Heading8Char"/>
    <w:qFormat/>
    <w:rsid w:val="00330CC2"/>
    <w:pPr>
      <w:ind w:left="720"/>
      <w:outlineLvl w:val="7"/>
    </w:pPr>
    <w:rPr>
      <w:i/>
    </w:rPr>
  </w:style>
  <w:style w:type="paragraph" w:styleId="Heading9">
    <w:name w:val="heading 9"/>
    <w:basedOn w:val="Normal"/>
    <w:next w:val="Normal"/>
    <w:link w:val="Heading9Char"/>
    <w:qFormat/>
    <w:rsid w:val="00330CC2"/>
    <w:pPr>
      <w:ind w:left="720"/>
      <w:outlineLvl w:val="8"/>
    </w:pPr>
    <w:rPr>
      <w:i/>
    </w:rPr>
  </w:style>
  <w:style w:type="character" w:default="1" w:styleId="DefaultParagraphFont">
    <w:name w:val="Default Paragraph Font"/>
    <w:uiPriority w:val="1"/>
    <w:unhideWhenUsed/>
    <w:rsid w:val="00330C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CC2"/>
  </w:style>
  <w:style w:type="character" w:customStyle="1" w:styleId="Heading1Char">
    <w:name w:val="Heading 1 Char"/>
    <w:basedOn w:val="DefaultParagraphFont"/>
    <w:link w:val="Heading1"/>
    <w:rsid w:val="00330CC2"/>
    <w:rPr>
      <w:rFonts w:ascii="Times New Roman" w:eastAsia="Times New Roman" w:hAnsi="Times New Roman" w:cs="Times New Roman"/>
      <w:b/>
      <w:sz w:val="32"/>
      <w:szCs w:val="20"/>
      <w:lang w:eastAsia="en-US"/>
    </w:rPr>
  </w:style>
  <w:style w:type="paragraph" w:styleId="BodyText">
    <w:name w:val="Body Text"/>
    <w:basedOn w:val="Normal"/>
    <w:link w:val="BodyTextChar"/>
    <w:rsid w:val="00330C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CC2"/>
    <w:rPr>
      <w:rFonts w:ascii="Times New Roman" w:eastAsia="Times New Roman" w:hAnsi="Times New Roman" w:cs="Times New Roman"/>
      <w:sz w:val="24"/>
      <w:lang w:eastAsia="en-US"/>
    </w:rPr>
  </w:style>
  <w:style w:type="paragraph" w:styleId="ListBullet">
    <w:name w:val="List Bullet"/>
    <w:basedOn w:val="List"/>
    <w:rsid w:val="00330CC2"/>
    <w:pPr>
      <w:numPr>
        <w:numId w:val="12"/>
      </w:numPr>
      <w:tabs>
        <w:tab w:val="clear" w:pos="340"/>
      </w:tabs>
      <w:spacing w:before="40" w:after="40"/>
    </w:pPr>
  </w:style>
  <w:style w:type="character" w:customStyle="1" w:styleId="SpecialBold">
    <w:name w:val="Special Bold"/>
    <w:basedOn w:val="DefaultParagraphFont"/>
    <w:rsid w:val="00330CC2"/>
    <w:rPr>
      <w:b/>
      <w:spacing w:val="0"/>
    </w:rPr>
  </w:style>
  <w:style w:type="paragraph" w:styleId="ListBullet2">
    <w:name w:val="List Bullet 2"/>
    <w:basedOn w:val="List2"/>
    <w:rsid w:val="00330CC2"/>
    <w:pPr>
      <w:numPr>
        <w:numId w:val="13"/>
      </w:numPr>
      <w:tabs>
        <w:tab w:val="clear" w:pos="680"/>
      </w:tabs>
    </w:pPr>
  </w:style>
  <w:style w:type="paragraph" w:customStyle="1" w:styleId="SuperHeading">
    <w:name w:val="SuperHeading"/>
    <w:basedOn w:val="Normal"/>
    <w:rsid w:val="00330CC2"/>
    <w:pPr>
      <w:spacing w:before="240" w:after="120"/>
      <w:outlineLvl w:val="0"/>
    </w:pPr>
    <w:rPr>
      <w:rFonts w:ascii="Times New Roman" w:hAnsi="Times New Roman"/>
      <w:b/>
      <w:sz w:val="32"/>
    </w:rPr>
  </w:style>
  <w:style w:type="paragraph" w:customStyle="1" w:styleId="AllowPageBreak">
    <w:name w:val="AllowPageBreak"/>
    <w:rsid w:val="00330C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C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C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C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C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C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C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C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CC2"/>
    <w:rPr>
      <w:rFonts w:ascii="Courier New" w:eastAsia="Times New Roman" w:hAnsi="Courier New" w:cs="Times New Roman"/>
      <w:i/>
      <w:szCs w:val="20"/>
      <w:lang w:eastAsia="en-US"/>
    </w:rPr>
  </w:style>
  <w:style w:type="paragraph" w:customStyle="1" w:styleId="HeadingBase">
    <w:name w:val="Heading Base"/>
    <w:rsid w:val="00330C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CC2"/>
    <w:pPr>
      <w:tabs>
        <w:tab w:val="right" w:leader="dot" w:pos="9072"/>
      </w:tabs>
      <w:ind w:left="567"/>
    </w:pPr>
    <w:rPr>
      <w:szCs w:val="22"/>
    </w:rPr>
  </w:style>
  <w:style w:type="paragraph" w:customStyle="1" w:styleId="TOCBase">
    <w:name w:val="TOC Base"/>
    <w:rsid w:val="00330C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CC2"/>
    <w:pPr>
      <w:tabs>
        <w:tab w:val="right" w:leader="dot" w:pos="9072"/>
      </w:tabs>
      <w:spacing w:before="40" w:after="40"/>
      <w:ind w:left="284"/>
    </w:pPr>
    <w:rPr>
      <w:rFonts w:ascii="Times New Roman" w:hAnsi="Times New Roman"/>
    </w:rPr>
  </w:style>
  <w:style w:type="paragraph" w:styleId="TOC1">
    <w:name w:val="toc 1"/>
    <w:basedOn w:val="TOCBase"/>
    <w:next w:val="Normal"/>
    <w:rsid w:val="00330C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C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CC2"/>
    <w:rPr>
      <w:rFonts w:ascii="Times New Roman" w:eastAsia="Times New Roman" w:hAnsi="Times New Roman" w:cs="Times New Roman"/>
      <w:sz w:val="16"/>
      <w:lang w:eastAsia="en-US"/>
    </w:rPr>
  </w:style>
  <w:style w:type="paragraph" w:styleId="Title">
    <w:name w:val="Title"/>
    <w:basedOn w:val="HeadingBase"/>
    <w:link w:val="TitleChar"/>
    <w:qFormat/>
    <w:rsid w:val="00330CC2"/>
    <w:pPr>
      <w:spacing w:before="5040"/>
      <w:jc w:val="center"/>
    </w:pPr>
    <w:rPr>
      <w:sz w:val="48"/>
      <w:szCs w:val="72"/>
      <w:lang w:val="en-US"/>
    </w:rPr>
  </w:style>
  <w:style w:type="character" w:customStyle="1" w:styleId="TitleChar">
    <w:name w:val="Title Char"/>
    <w:basedOn w:val="DefaultParagraphFont"/>
    <w:link w:val="Title"/>
    <w:rsid w:val="00330C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CC2"/>
    <w:pPr>
      <w:tabs>
        <w:tab w:val="left" w:pos="3600"/>
        <w:tab w:val="left" w:pos="3958"/>
      </w:tabs>
    </w:pPr>
  </w:style>
  <w:style w:type="paragraph" w:styleId="List">
    <w:name w:val="List"/>
    <w:basedOn w:val="BodyText"/>
    <w:next w:val="BodyText"/>
    <w:rsid w:val="00330CC2"/>
    <w:pPr>
      <w:tabs>
        <w:tab w:val="left" w:pos="340"/>
      </w:tabs>
      <w:spacing w:before="60" w:after="60"/>
      <w:ind w:left="340" w:hanging="340"/>
    </w:pPr>
  </w:style>
  <w:style w:type="paragraph" w:customStyle="1" w:styleId="Note">
    <w:name w:val="Note"/>
    <w:basedOn w:val="BodyText"/>
    <w:rsid w:val="00330C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CC2"/>
    <w:pPr>
      <w:framePr w:wrap="auto" w:hAnchor="text" w:y="6049"/>
    </w:pPr>
    <w:rPr>
      <w:color w:val="000000"/>
      <w:sz w:val="40"/>
    </w:rPr>
  </w:style>
  <w:style w:type="paragraph" w:customStyle="1" w:styleId="TOCTitle">
    <w:name w:val="TOCTitle"/>
    <w:basedOn w:val="Heading1"/>
    <w:rsid w:val="00330CC2"/>
    <w:pPr>
      <w:spacing w:after="240"/>
      <w:jc w:val="center"/>
      <w:outlineLvl w:val="9"/>
    </w:pPr>
    <w:rPr>
      <w:caps/>
    </w:rPr>
  </w:style>
  <w:style w:type="paragraph" w:customStyle="1" w:styleId="Version">
    <w:name w:val="Version"/>
    <w:rsid w:val="00330C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CC2"/>
    <w:pPr>
      <w:keepNext w:val="0"/>
      <w:tabs>
        <w:tab w:val="right" w:pos="4176"/>
      </w:tabs>
      <w:ind w:left="198" w:hanging="198"/>
    </w:pPr>
    <w:rPr>
      <w:rFonts w:ascii="Garamond" w:hAnsi="Garamond"/>
    </w:rPr>
  </w:style>
  <w:style w:type="paragraph" w:styleId="IndexHeading">
    <w:name w:val="index heading"/>
    <w:basedOn w:val="Normal"/>
    <w:next w:val="Index1"/>
    <w:semiHidden/>
    <w:rsid w:val="00330CC2"/>
    <w:pPr>
      <w:spacing w:before="120" w:after="120"/>
    </w:pPr>
    <w:rPr>
      <w:rFonts w:ascii="Arial" w:hAnsi="Arial"/>
      <w:b/>
      <w:color w:val="918585"/>
      <w:sz w:val="24"/>
    </w:rPr>
  </w:style>
  <w:style w:type="paragraph" w:styleId="Header">
    <w:name w:val="header"/>
    <w:basedOn w:val="Normal"/>
    <w:link w:val="HeaderChar"/>
    <w:rsid w:val="00330C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CC2"/>
    <w:rPr>
      <w:rFonts w:ascii="Times New Roman" w:eastAsia="Times New Roman" w:hAnsi="Times New Roman" w:cs="Times New Roman"/>
      <w:sz w:val="16"/>
      <w:szCs w:val="20"/>
      <w:lang w:val="en-GB" w:eastAsia="en-US"/>
    </w:rPr>
  </w:style>
  <w:style w:type="paragraph" w:customStyle="1" w:styleId="Chapter">
    <w:name w:val="Chapter"/>
    <w:basedOn w:val="Normal"/>
    <w:rsid w:val="00330CC2"/>
    <w:pPr>
      <w:spacing w:before="240"/>
    </w:pPr>
    <w:rPr>
      <w:rFonts w:ascii="Times New Roman" w:hAnsi="Times New Roman"/>
      <w:smallCaps/>
      <w:spacing w:val="80"/>
      <w:sz w:val="28"/>
    </w:rPr>
  </w:style>
  <w:style w:type="paragraph" w:customStyle="1" w:styleId="InChapter">
    <w:name w:val="InChapter"/>
    <w:basedOn w:val="Heading3"/>
    <w:rsid w:val="00330CC2"/>
    <w:pPr>
      <w:spacing w:after="240"/>
      <w:outlineLvl w:val="9"/>
    </w:pPr>
    <w:rPr>
      <w:noProof/>
    </w:rPr>
  </w:style>
  <w:style w:type="paragraph" w:styleId="Index2">
    <w:name w:val="index 2"/>
    <w:basedOn w:val="Normal"/>
    <w:next w:val="Normal"/>
    <w:semiHidden/>
    <w:rsid w:val="00330CC2"/>
    <w:pPr>
      <w:tabs>
        <w:tab w:val="right" w:pos="4176"/>
      </w:tabs>
      <w:ind w:left="568" w:hanging="284"/>
    </w:pPr>
    <w:rPr>
      <w:rFonts w:ascii="Garamond" w:hAnsi="Garamond"/>
    </w:rPr>
  </w:style>
  <w:style w:type="paragraph" w:customStyle="1" w:styleId="Byline">
    <w:name w:val="Byline"/>
    <w:rsid w:val="00330C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CC2"/>
    <w:pPr>
      <w:tabs>
        <w:tab w:val="clear" w:pos="3600"/>
        <w:tab w:val="clear" w:pos="3958"/>
      </w:tabs>
      <w:jc w:val="right"/>
    </w:pPr>
  </w:style>
  <w:style w:type="character" w:styleId="Emphasis">
    <w:name w:val="Emphasis"/>
    <w:basedOn w:val="DefaultParagraphFont"/>
    <w:qFormat/>
    <w:rsid w:val="00330CC2"/>
    <w:rPr>
      <w:i/>
    </w:rPr>
  </w:style>
  <w:style w:type="paragraph" w:styleId="Caption">
    <w:name w:val="caption"/>
    <w:basedOn w:val="BodyText"/>
    <w:next w:val="Normal"/>
    <w:qFormat/>
    <w:rsid w:val="00330CC2"/>
    <w:pPr>
      <w:framePr w:w="2268" w:hSpace="181" w:vSpace="181" w:wrap="around" w:vAnchor="text" w:hAnchor="page" w:x="1135" w:y="285" w:anchorLock="1"/>
    </w:pPr>
    <w:rPr>
      <w:i/>
    </w:rPr>
  </w:style>
  <w:style w:type="paragraph" w:customStyle="1" w:styleId="MiniTOCTitle">
    <w:name w:val="MiniTOCTitle"/>
    <w:basedOn w:val="Heading4"/>
    <w:rsid w:val="00330CC2"/>
    <w:pPr>
      <w:spacing w:before="240"/>
      <w:outlineLvl w:val="9"/>
    </w:pPr>
    <w:rPr>
      <w:noProof/>
      <w:sz w:val="24"/>
    </w:rPr>
  </w:style>
  <w:style w:type="paragraph" w:customStyle="1" w:styleId="MiniTOCItem">
    <w:name w:val="MiniTOCItem"/>
    <w:basedOn w:val="ListBullet"/>
    <w:rsid w:val="00330CC2"/>
    <w:pPr>
      <w:numPr>
        <w:numId w:val="0"/>
      </w:numPr>
      <w:tabs>
        <w:tab w:val="right" w:leader="dot" w:pos="6521"/>
      </w:tabs>
      <w:spacing w:before="0" w:after="0"/>
    </w:pPr>
  </w:style>
  <w:style w:type="paragraph" w:customStyle="1" w:styleId="TOFTitle">
    <w:name w:val="TOFTitle"/>
    <w:basedOn w:val="TOCTitle"/>
    <w:rsid w:val="00330CC2"/>
  </w:style>
  <w:style w:type="paragraph" w:styleId="TableofFigures">
    <w:name w:val="table of figures"/>
    <w:basedOn w:val="Normal"/>
    <w:next w:val="Normal"/>
    <w:semiHidden/>
    <w:rsid w:val="00330CC2"/>
    <w:pPr>
      <w:tabs>
        <w:tab w:val="right" w:leader="dot" w:pos="9072"/>
      </w:tabs>
      <w:ind w:left="970" w:hanging="403"/>
    </w:pPr>
    <w:rPr>
      <w:rFonts w:ascii="Times New Roman" w:hAnsi="Times New Roman"/>
      <w:b/>
    </w:rPr>
  </w:style>
  <w:style w:type="paragraph" w:styleId="ListNumber">
    <w:name w:val="List Number"/>
    <w:basedOn w:val="List"/>
    <w:rsid w:val="00330CC2"/>
    <w:pPr>
      <w:numPr>
        <w:numId w:val="15"/>
      </w:numPr>
      <w:tabs>
        <w:tab w:val="clear" w:pos="340"/>
      </w:tabs>
    </w:pPr>
  </w:style>
  <w:style w:type="character" w:customStyle="1" w:styleId="WingdingSymbols">
    <w:name w:val="Wingding Symbols"/>
    <w:rsid w:val="00330CC2"/>
    <w:rPr>
      <w:rFonts w:ascii="Wingdings" w:hAnsi="Wingdings"/>
    </w:rPr>
  </w:style>
  <w:style w:type="paragraph" w:customStyle="1" w:styleId="TableHeading">
    <w:name w:val="Table Heading"/>
    <w:basedOn w:val="HeadingBase"/>
    <w:rsid w:val="00330CC2"/>
    <w:pPr>
      <w:keepLines/>
      <w:pBdr>
        <w:bottom w:val="single" w:sz="6" w:space="1" w:color="918585"/>
      </w:pBdr>
      <w:spacing w:before="240"/>
    </w:pPr>
  </w:style>
  <w:style w:type="character" w:customStyle="1" w:styleId="HotSpot">
    <w:name w:val="HotSpot"/>
    <w:rsid w:val="00330CC2"/>
    <w:rPr>
      <w:color w:val="0033CC"/>
      <w:u w:val="none"/>
    </w:rPr>
  </w:style>
  <w:style w:type="paragraph" w:customStyle="1" w:styleId="BodyTextRight">
    <w:name w:val="Body Text Right"/>
    <w:basedOn w:val="BodyText"/>
    <w:rsid w:val="00330CC2"/>
    <w:pPr>
      <w:spacing w:before="0" w:after="0"/>
      <w:jc w:val="right"/>
    </w:pPr>
  </w:style>
  <w:style w:type="paragraph" w:styleId="Index3">
    <w:name w:val="index 3"/>
    <w:basedOn w:val="ListNumber2"/>
    <w:next w:val="Normal"/>
    <w:semiHidden/>
    <w:rsid w:val="00330CC2"/>
    <w:pPr>
      <w:numPr>
        <w:numId w:val="0"/>
      </w:numPr>
      <w:tabs>
        <w:tab w:val="right" w:leader="dot" w:pos="4176"/>
      </w:tabs>
    </w:pPr>
  </w:style>
  <w:style w:type="paragraph" w:styleId="ListNumber2">
    <w:name w:val="List Number 2"/>
    <w:basedOn w:val="List2"/>
    <w:rsid w:val="00330CC2"/>
    <w:pPr>
      <w:numPr>
        <w:numId w:val="10"/>
      </w:numPr>
      <w:tabs>
        <w:tab w:val="clear" w:pos="1060"/>
      </w:tabs>
    </w:pPr>
  </w:style>
  <w:style w:type="paragraph" w:customStyle="1" w:styleId="MarginNote">
    <w:name w:val="Margin Note"/>
    <w:basedOn w:val="BodyText"/>
    <w:rsid w:val="00330C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C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C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CC2"/>
    <w:rPr>
      <w:sz w:val="32"/>
    </w:rPr>
  </w:style>
  <w:style w:type="paragraph" w:customStyle="1" w:styleId="HeadingProcedure">
    <w:name w:val="Heading Procedure"/>
    <w:basedOn w:val="HeadingBase"/>
    <w:next w:val="Normal"/>
    <w:rsid w:val="00330CC2"/>
    <w:pPr>
      <w:tabs>
        <w:tab w:val="left" w:pos="0"/>
      </w:tabs>
      <w:spacing w:before="120" w:after="60"/>
    </w:pPr>
    <w:rPr>
      <w:i/>
      <w:color w:val="918585"/>
      <w:sz w:val="22"/>
    </w:rPr>
  </w:style>
  <w:style w:type="paragraph" w:customStyle="1" w:styleId="TableBodyText">
    <w:name w:val="Table Body Text"/>
    <w:basedOn w:val="BodyText"/>
    <w:rsid w:val="00330CC2"/>
    <w:pPr>
      <w:spacing w:before="60" w:after="60"/>
    </w:pPr>
  </w:style>
  <w:style w:type="paragraph" w:styleId="ListContinue">
    <w:name w:val="List Continue"/>
    <w:basedOn w:val="List"/>
    <w:rsid w:val="00330CC2"/>
    <w:pPr>
      <w:ind w:firstLine="0"/>
    </w:pPr>
  </w:style>
  <w:style w:type="paragraph" w:customStyle="1" w:styleId="ListNote">
    <w:name w:val="List Note"/>
    <w:basedOn w:val="List"/>
    <w:rsid w:val="00330CC2"/>
    <w:pPr>
      <w:pBdr>
        <w:top w:val="single" w:sz="6" w:space="2" w:color="918585"/>
        <w:bottom w:val="single" w:sz="6" w:space="2" w:color="918585"/>
      </w:pBdr>
      <w:tabs>
        <w:tab w:val="left" w:pos="1021"/>
      </w:tabs>
      <w:ind w:firstLine="0"/>
    </w:pPr>
  </w:style>
  <w:style w:type="paragraph" w:customStyle="1" w:styleId="Warning">
    <w:name w:val="Warning"/>
    <w:basedOn w:val="BodyText"/>
    <w:rsid w:val="00330CC2"/>
    <w:pPr>
      <w:shd w:val="clear" w:color="auto" w:fill="D9D9D9"/>
      <w:tabs>
        <w:tab w:val="left" w:pos="992"/>
      </w:tabs>
      <w:ind w:left="119" w:right="119"/>
    </w:pPr>
    <w:rPr>
      <w:sz w:val="20"/>
    </w:rPr>
  </w:style>
  <w:style w:type="paragraph" w:customStyle="1" w:styleId="MarginIcons">
    <w:name w:val="Margin Icons"/>
    <w:basedOn w:val="BodyText"/>
    <w:rsid w:val="00330C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CC2"/>
    <w:rPr>
      <w:rFonts w:ascii="Courier New" w:hAnsi="Courier New"/>
    </w:rPr>
  </w:style>
  <w:style w:type="paragraph" w:customStyle="1" w:styleId="NoteBullet">
    <w:name w:val="Note Bullet"/>
    <w:basedOn w:val="Note"/>
    <w:rsid w:val="00330CC2"/>
    <w:pPr>
      <w:tabs>
        <w:tab w:val="clear" w:pos="680"/>
      </w:tabs>
      <w:spacing w:before="60" w:after="60"/>
    </w:pPr>
  </w:style>
  <w:style w:type="paragraph" w:customStyle="1" w:styleId="SubHeading2">
    <w:name w:val="SubHeading2"/>
    <w:basedOn w:val="HeadingBase"/>
    <w:rsid w:val="00330CC2"/>
    <w:pPr>
      <w:spacing w:before="240" w:after="60"/>
    </w:pPr>
    <w:rPr>
      <w:sz w:val="20"/>
    </w:rPr>
  </w:style>
  <w:style w:type="paragraph" w:customStyle="1" w:styleId="SubHeading1">
    <w:name w:val="SubHeading1"/>
    <w:basedOn w:val="HeadingBase"/>
    <w:rsid w:val="00330CC2"/>
    <w:pPr>
      <w:spacing w:before="240" w:after="60"/>
    </w:pPr>
    <w:rPr>
      <w:color w:val="918585"/>
      <w:sz w:val="22"/>
    </w:rPr>
  </w:style>
  <w:style w:type="paragraph" w:customStyle="1" w:styleId="SideHeading">
    <w:name w:val="Side Heading"/>
    <w:basedOn w:val="HeadingBase"/>
    <w:rsid w:val="00330C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CC2"/>
    <w:pPr>
      <w:tabs>
        <w:tab w:val="num" w:pos="360"/>
      </w:tabs>
    </w:pPr>
  </w:style>
  <w:style w:type="paragraph" w:styleId="PlainText">
    <w:name w:val="Plain Text"/>
    <w:basedOn w:val="Normal"/>
    <w:link w:val="PlainTextChar"/>
    <w:rsid w:val="00330CC2"/>
    <w:rPr>
      <w:sz w:val="20"/>
    </w:rPr>
  </w:style>
  <w:style w:type="character" w:customStyle="1" w:styleId="PlainTextChar">
    <w:name w:val="Plain Text Char"/>
    <w:basedOn w:val="DefaultParagraphFont"/>
    <w:link w:val="PlainText"/>
    <w:rsid w:val="00330CC2"/>
    <w:rPr>
      <w:rFonts w:ascii="Courier New" w:eastAsia="Times New Roman" w:hAnsi="Courier New" w:cs="Times New Roman"/>
      <w:sz w:val="20"/>
      <w:szCs w:val="20"/>
      <w:lang w:eastAsia="en-US"/>
    </w:rPr>
  </w:style>
  <w:style w:type="character" w:customStyle="1" w:styleId="MenuOption">
    <w:name w:val="Menu Option"/>
    <w:basedOn w:val="DefaultParagraphFont"/>
    <w:rsid w:val="00330CC2"/>
    <w:rPr>
      <w:b/>
      <w:smallCaps/>
    </w:rPr>
  </w:style>
  <w:style w:type="paragraph" w:customStyle="1" w:styleId="TableListNumber">
    <w:name w:val="Table List Number"/>
    <w:basedOn w:val="ListNumber"/>
    <w:rsid w:val="00330CC2"/>
    <w:pPr>
      <w:numPr>
        <w:numId w:val="0"/>
      </w:numPr>
    </w:pPr>
  </w:style>
  <w:style w:type="paragraph" w:styleId="TOC4">
    <w:name w:val="toc 4"/>
    <w:basedOn w:val="TOCBase"/>
    <w:next w:val="Normal"/>
    <w:semiHidden/>
    <w:rsid w:val="00330CC2"/>
    <w:pPr>
      <w:tabs>
        <w:tab w:val="right" w:leader="dot" w:pos="9071"/>
      </w:tabs>
      <w:ind w:left="1701"/>
    </w:pPr>
  </w:style>
  <w:style w:type="paragraph" w:customStyle="1" w:styleId="ListAlpha">
    <w:name w:val="List Alpha"/>
    <w:basedOn w:val="List"/>
    <w:rsid w:val="00330CC2"/>
    <w:pPr>
      <w:numPr>
        <w:numId w:val="9"/>
      </w:numPr>
    </w:pPr>
  </w:style>
  <w:style w:type="paragraph" w:customStyle="1" w:styleId="ListAlpha2">
    <w:name w:val="List Alpha 2"/>
    <w:basedOn w:val="List2"/>
    <w:rsid w:val="00330CC2"/>
    <w:pPr>
      <w:numPr>
        <w:numId w:val="8"/>
      </w:numPr>
    </w:pPr>
  </w:style>
  <w:style w:type="paragraph" w:styleId="List2">
    <w:name w:val="List 2"/>
    <w:basedOn w:val="BodyText"/>
    <w:rsid w:val="00330CC2"/>
    <w:pPr>
      <w:tabs>
        <w:tab w:val="left" w:pos="680"/>
      </w:tabs>
      <w:spacing w:before="60" w:after="60"/>
      <w:ind w:left="680" w:hanging="340"/>
    </w:pPr>
  </w:style>
  <w:style w:type="paragraph" w:styleId="List3">
    <w:name w:val="List 3"/>
    <w:basedOn w:val="BodyText"/>
    <w:rsid w:val="00330CC2"/>
    <w:pPr>
      <w:tabs>
        <w:tab w:val="left" w:pos="1021"/>
      </w:tabs>
      <w:spacing w:before="60" w:after="60"/>
      <w:ind w:left="1020" w:hanging="340"/>
    </w:pPr>
  </w:style>
  <w:style w:type="paragraph" w:styleId="List4">
    <w:name w:val="List 4"/>
    <w:basedOn w:val="BodyText"/>
    <w:rsid w:val="00330CC2"/>
    <w:pPr>
      <w:tabs>
        <w:tab w:val="left" w:pos="1361"/>
      </w:tabs>
      <w:spacing w:before="60" w:after="60"/>
      <w:ind w:left="1361" w:hanging="340"/>
    </w:pPr>
  </w:style>
  <w:style w:type="paragraph" w:styleId="List5">
    <w:name w:val="List 5"/>
    <w:basedOn w:val="BodyText"/>
    <w:rsid w:val="00330CC2"/>
    <w:pPr>
      <w:tabs>
        <w:tab w:val="left" w:pos="1701"/>
      </w:tabs>
      <w:spacing w:before="60" w:after="60"/>
      <w:ind w:left="1701" w:hanging="340"/>
    </w:pPr>
  </w:style>
  <w:style w:type="paragraph" w:styleId="ListBullet3">
    <w:name w:val="List Bullet 3"/>
    <w:basedOn w:val="List3"/>
    <w:rsid w:val="00330CC2"/>
    <w:pPr>
      <w:numPr>
        <w:numId w:val="14"/>
      </w:numPr>
      <w:tabs>
        <w:tab w:val="clear" w:pos="1021"/>
      </w:tabs>
      <w:ind w:left="1037" w:hanging="357"/>
    </w:pPr>
  </w:style>
  <w:style w:type="paragraph" w:styleId="ListBullet4">
    <w:name w:val="List Bullet 4"/>
    <w:basedOn w:val="List4"/>
    <w:rsid w:val="00330CC2"/>
    <w:pPr>
      <w:numPr>
        <w:numId w:val="3"/>
      </w:numPr>
      <w:tabs>
        <w:tab w:val="clear" w:pos="1361"/>
      </w:tabs>
    </w:pPr>
  </w:style>
  <w:style w:type="paragraph" w:styleId="ListBullet5">
    <w:name w:val="List Bullet 5"/>
    <w:basedOn w:val="List5"/>
    <w:rsid w:val="00330CC2"/>
    <w:pPr>
      <w:numPr>
        <w:numId w:val="4"/>
      </w:numPr>
    </w:pPr>
  </w:style>
  <w:style w:type="paragraph" w:styleId="ListContinue2">
    <w:name w:val="List Continue 2"/>
    <w:basedOn w:val="List2"/>
    <w:rsid w:val="00330CC2"/>
    <w:pPr>
      <w:ind w:firstLine="0"/>
    </w:pPr>
  </w:style>
  <w:style w:type="paragraph" w:styleId="ListContinue3">
    <w:name w:val="List Continue 3"/>
    <w:basedOn w:val="List3"/>
    <w:rsid w:val="00330CC2"/>
    <w:pPr>
      <w:ind w:left="1021" w:firstLine="0"/>
    </w:pPr>
  </w:style>
  <w:style w:type="paragraph" w:styleId="ListContinue4">
    <w:name w:val="List Continue 4"/>
    <w:basedOn w:val="List4"/>
    <w:rsid w:val="00330CC2"/>
    <w:pPr>
      <w:ind w:firstLine="0"/>
    </w:pPr>
  </w:style>
  <w:style w:type="paragraph" w:styleId="ListContinue5">
    <w:name w:val="List Continue 5"/>
    <w:basedOn w:val="List5"/>
    <w:rsid w:val="00330CC2"/>
    <w:pPr>
      <w:ind w:firstLine="0"/>
    </w:pPr>
  </w:style>
  <w:style w:type="paragraph" w:styleId="ListNumber3">
    <w:name w:val="List Number 3"/>
    <w:basedOn w:val="List3"/>
    <w:rsid w:val="00330CC2"/>
    <w:pPr>
      <w:numPr>
        <w:numId w:val="5"/>
      </w:numPr>
    </w:pPr>
  </w:style>
  <w:style w:type="paragraph" w:styleId="ListNumber4">
    <w:name w:val="List Number 4"/>
    <w:basedOn w:val="List4"/>
    <w:rsid w:val="00330CC2"/>
    <w:pPr>
      <w:numPr>
        <w:numId w:val="6"/>
      </w:numPr>
    </w:pPr>
  </w:style>
  <w:style w:type="paragraph" w:styleId="ListNumber5">
    <w:name w:val="List Number 5"/>
    <w:basedOn w:val="List5"/>
    <w:rsid w:val="00330CC2"/>
    <w:pPr>
      <w:numPr>
        <w:numId w:val="7"/>
      </w:numPr>
    </w:pPr>
  </w:style>
  <w:style w:type="paragraph" w:styleId="BlockText">
    <w:name w:val="Block Text"/>
    <w:basedOn w:val="Normal"/>
    <w:rsid w:val="00330CC2"/>
    <w:pPr>
      <w:spacing w:after="120"/>
      <w:ind w:left="1440" w:right="1440"/>
    </w:pPr>
  </w:style>
  <w:style w:type="character" w:customStyle="1" w:styleId="Subscript">
    <w:name w:val="Subscript"/>
    <w:basedOn w:val="DefaultParagraphFont"/>
    <w:rsid w:val="00330CC2"/>
    <w:rPr>
      <w:sz w:val="16"/>
      <w:vertAlign w:val="subscript"/>
    </w:rPr>
  </w:style>
  <w:style w:type="character" w:customStyle="1" w:styleId="Superscript">
    <w:name w:val="Superscript"/>
    <w:basedOn w:val="DefaultParagraphFont"/>
    <w:rsid w:val="00330CC2"/>
    <w:rPr>
      <w:sz w:val="16"/>
      <w:vertAlign w:val="superscript"/>
    </w:rPr>
  </w:style>
  <w:style w:type="character" w:customStyle="1" w:styleId="Symbols">
    <w:name w:val="Symbols"/>
    <w:basedOn w:val="DefaultParagraphFont"/>
    <w:rsid w:val="00330CC2"/>
    <w:rPr>
      <w:rFonts w:ascii="Symbol" w:hAnsi="Symbol"/>
    </w:rPr>
  </w:style>
  <w:style w:type="character" w:customStyle="1" w:styleId="MenuOptions">
    <w:name w:val="Menu Options"/>
    <w:basedOn w:val="DefaultParagraphFont"/>
    <w:rsid w:val="00330CC2"/>
    <w:rPr>
      <w:rFonts w:ascii="Arial Narrow" w:hAnsi="Arial Narrow"/>
      <w:smallCaps/>
    </w:rPr>
  </w:style>
  <w:style w:type="character" w:customStyle="1" w:styleId="Buttons">
    <w:name w:val="Buttons"/>
    <w:basedOn w:val="DefaultParagraphFont"/>
    <w:rsid w:val="00330CC2"/>
    <w:rPr>
      <w:b/>
    </w:rPr>
  </w:style>
  <w:style w:type="character" w:customStyle="1" w:styleId="Underlined">
    <w:name w:val="Underlined"/>
    <w:basedOn w:val="DefaultParagraphFont"/>
    <w:rsid w:val="00330CC2"/>
    <w:rPr>
      <w:u w:val="single"/>
    </w:rPr>
  </w:style>
  <w:style w:type="paragraph" w:customStyle="1" w:styleId="TableBodyTextRight">
    <w:name w:val="Table Body Text Right"/>
    <w:basedOn w:val="TableBodyText"/>
    <w:rsid w:val="00330CC2"/>
    <w:pPr>
      <w:widowControl w:val="0"/>
      <w:autoSpaceDE w:val="0"/>
      <w:autoSpaceDN w:val="0"/>
      <w:adjustRightInd w:val="0"/>
      <w:jc w:val="right"/>
    </w:pPr>
    <w:rPr>
      <w:rFonts w:cs="Arial"/>
      <w:szCs w:val="18"/>
    </w:rPr>
  </w:style>
  <w:style w:type="paragraph" w:customStyle="1" w:styleId="CopyrightText">
    <w:name w:val="Copyright Text"/>
    <w:basedOn w:val="BodyText"/>
    <w:rsid w:val="00330CC2"/>
    <w:rPr>
      <w:sz w:val="18"/>
    </w:rPr>
  </w:style>
  <w:style w:type="paragraph" w:customStyle="1" w:styleId="BodySmallRight">
    <w:name w:val="Body Small Right"/>
    <w:basedOn w:val="BodyTextRight"/>
    <w:rsid w:val="00330CC2"/>
    <w:rPr>
      <w:sz w:val="18"/>
      <w:szCs w:val="18"/>
    </w:rPr>
  </w:style>
  <w:style w:type="paragraph" w:customStyle="1" w:styleId="MarginEdition">
    <w:name w:val="Margin Edition"/>
    <w:basedOn w:val="MarginNote"/>
    <w:rsid w:val="00330CC2"/>
    <w:pPr>
      <w:spacing w:before="0" w:after="0"/>
    </w:pPr>
    <w:rPr>
      <w:rFonts w:ascii="Times New Roman" w:hAnsi="Times New Roman"/>
      <w:color w:val="999999"/>
    </w:rPr>
  </w:style>
  <w:style w:type="paragraph" w:customStyle="1" w:styleId="Spacer">
    <w:name w:val="Spacer"/>
    <w:basedOn w:val="Normal"/>
    <w:rsid w:val="00330CC2"/>
    <w:rPr>
      <w:sz w:val="2"/>
      <w:szCs w:val="2"/>
    </w:rPr>
  </w:style>
  <w:style w:type="character" w:customStyle="1" w:styleId="Small">
    <w:name w:val="Small"/>
    <w:basedOn w:val="DefaultParagraphFont"/>
    <w:rsid w:val="00330CC2"/>
    <w:rPr>
      <w:sz w:val="16"/>
    </w:rPr>
  </w:style>
  <w:style w:type="paragraph" w:customStyle="1" w:styleId="WideTable">
    <w:name w:val="Wide Table"/>
    <w:basedOn w:val="Normal"/>
    <w:rsid w:val="00330CC2"/>
    <w:pPr>
      <w:ind w:left="-1418"/>
    </w:pPr>
    <w:rPr>
      <w:sz w:val="2"/>
      <w:szCs w:val="2"/>
    </w:rPr>
  </w:style>
  <w:style w:type="character" w:styleId="PageNumber">
    <w:name w:val="page number"/>
    <w:basedOn w:val="DefaultParagraphFont"/>
    <w:rsid w:val="00330CC2"/>
  </w:style>
  <w:style w:type="paragraph" w:styleId="Quote">
    <w:name w:val="Quote"/>
    <w:basedOn w:val="Heading1"/>
    <w:link w:val="QuoteChar"/>
    <w:qFormat/>
    <w:rsid w:val="00330CC2"/>
    <w:rPr>
      <w:b w:val="0"/>
      <w:sz w:val="72"/>
      <w:szCs w:val="72"/>
      <w:lang w:val="en-NZ"/>
    </w:rPr>
  </w:style>
  <w:style w:type="character" w:customStyle="1" w:styleId="QuoteChar">
    <w:name w:val="Quote Char"/>
    <w:basedOn w:val="DefaultParagraphFont"/>
    <w:link w:val="Quote"/>
    <w:rsid w:val="00330C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CC2"/>
    <w:pPr>
      <w:pageBreakBefore/>
    </w:pPr>
  </w:style>
  <w:style w:type="paragraph" w:customStyle="1" w:styleId="Border">
    <w:name w:val="Border"/>
    <w:basedOn w:val="Normal"/>
    <w:qFormat/>
    <w:rsid w:val="00330C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CC2"/>
    <w:rPr>
      <w:b/>
      <w:bCs/>
      <w:i/>
      <w:iCs/>
      <w:color w:val="auto"/>
    </w:rPr>
  </w:style>
  <w:style w:type="paragraph" w:styleId="IntenseQuote">
    <w:name w:val="Intense Quote"/>
    <w:basedOn w:val="Normal"/>
    <w:next w:val="Normal"/>
    <w:link w:val="IntenseQuoteChar"/>
    <w:uiPriority w:val="30"/>
    <w:qFormat/>
    <w:rsid w:val="00330C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C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CC2"/>
    <w:rPr>
      <w:smallCaps/>
      <w:color w:val="auto"/>
      <w:u w:val="single"/>
    </w:rPr>
  </w:style>
  <w:style w:type="character" w:styleId="IntenseReference">
    <w:name w:val="Intense Reference"/>
    <w:basedOn w:val="DefaultParagraphFont"/>
    <w:uiPriority w:val="32"/>
    <w:qFormat/>
    <w:rsid w:val="00330CC2"/>
    <w:rPr>
      <w:b/>
      <w:bCs/>
      <w:smallCaps/>
      <w:color w:val="auto"/>
      <w:spacing w:val="5"/>
      <w:u w:val="single"/>
    </w:rPr>
  </w:style>
  <w:style w:type="paragraph" w:customStyle="1" w:styleId="2ColumnHeading">
    <w:name w:val="2Column Heading"/>
    <w:basedOn w:val="BodyText"/>
    <w:qFormat/>
    <w:rsid w:val="00330CC2"/>
    <w:pPr>
      <w:spacing w:after="60"/>
      <w:ind w:left="-2268"/>
    </w:pPr>
    <w:rPr>
      <w:b/>
    </w:rPr>
  </w:style>
  <w:style w:type="paragraph" w:customStyle="1" w:styleId="Heading1TOC">
    <w:name w:val="Heading1 TOC"/>
    <w:basedOn w:val="Normal"/>
    <w:qFormat/>
    <w:rsid w:val="00330CC2"/>
    <w:pPr>
      <w:spacing w:before="240" w:after="120"/>
    </w:pPr>
    <w:rPr>
      <w:rFonts w:ascii="Times New Roman" w:hAnsi="Times New Roman"/>
      <w:b/>
      <w:sz w:val="32"/>
    </w:rPr>
  </w:style>
  <w:style w:type="paragraph" w:customStyle="1" w:styleId="Heading2TOC">
    <w:name w:val="Heading2 TOC"/>
    <w:basedOn w:val="Normal"/>
    <w:qFormat/>
    <w:rsid w:val="00330CC2"/>
    <w:pPr>
      <w:spacing w:before="240" w:after="60"/>
    </w:pPr>
    <w:rPr>
      <w:rFonts w:ascii="Times New Roman" w:hAnsi="Times New Roman"/>
      <w:b/>
      <w:sz w:val="28"/>
    </w:rPr>
  </w:style>
  <w:style w:type="character" w:customStyle="1" w:styleId="Underline">
    <w:name w:val="Underline"/>
    <w:basedOn w:val="DefaultParagraphFont"/>
    <w:qFormat/>
    <w:rsid w:val="00330CC2"/>
    <w:rPr>
      <w:u w:val="single"/>
    </w:rPr>
  </w:style>
  <w:style w:type="character" w:customStyle="1" w:styleId="BoldandItalics">
    <w:name w:val="Bold and Italics"/>
    <w:qFormat/>
    <w:rsid w:val="00330CC2"/>
    <w:rPr>
      <w:b/>
      <w:i/>
      <w:u w:val="none"/>
    </w:rPr>
  </w:style>
  <w:style w:type="paragraph" w:styleId="BalloonText">
    <w:name w:val="Balloon Text"/>
    <w:basedOn w:val="Normal"/>
    <w:link w:val="BalloonTextChar"/>
    <w:rsid w:val="00330CC2"/>
    <w:rPr>
      <w:rFonts w:ascii="Tahoma" w:hAnsi="Tahoma" w:cs="Tahoma"/>
      <w:sz w:val="16"/>
      <w:szCs w:val="16"/>
    </w:rPr>
  </w:style>
  <w:style w:type="character" w:customStyle="1" w:styleId="BalloonTextChar">
    <w:name w:val="Balloon Text Char"/>
    <w:basedOn w:val="DefaultParagraphFont"/>
    <w:link w:val="BalloonText"/>
    <w:rsid w:val="00330C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C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C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CC2"/>
    <w:rPr>
      <w:b/>
      <w:color w:val="660033"/>
      <w:spacing w:val="0"/>
    </w:rPr>
  </w:style>
  <w:style w:type="paragraph" w:customStyle="1" w:styleId="Nameditemlist">
    <w:name w:val="Named item list"/>
    <w:basedOn w:val="BodyText"/>
    <w:qFormat/>
    <w:rsid w:val="00330CC2"/>
    <w:pPr>
      <w:tabs>
        <w:tab w:val="left" w:pos="2835"/>
      </w:tabs>
      <w:ind w:left="2835" w:hanging="2835"/>
    </w:pPr>
  </w:style>
  <w:style w:type="paragraph" w:customStyle="1" w:styleId="BodyTextnopadding">
    <w:name w:val="Body Text no padding"/>
    <w:basedOn w:val="BodyText"/>
    <w:qFormat/>
    <w:rsid w:val="00330CC2"/>
    <w:pPr>
      <w:spacing w:before="0" w:after="0"/>
    </w:pPr>
  </w:style>
  <w:style w:type="paragraph" w:customStyle="1" w:styleId="BodyTextBold">
    <w:name w:val="Body Text Bold"/>
    <w:basedOn w:val="BodyText"/>
    <w:qFormat/>
    <w:rsid w:val="00330CC2"/>
    <w:rPr>
      <w:b/>
    </w:rPr>
  </w:style>
  <w:style w:type="character" w:styleId="Hyperlink">
    <w:name w:val="Hyperlink"/>
    <w:basedOn w:val="DefaultParagraphFont"/>
    <w:uiPriority w:val="99"/>
    <w:unhideWhenUsed/>
    <w:rsid w:val="00DB4C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8863</Characters>
  <Application>Microsoft Office Word</Application>
  <DocSecurity>0</DocSecurity>
  <Lines>253</Lines>
  <Paragraphs>144</Paragraphs>
  <ScaleCrop>false</ScaleCrop>
  <Company>Author-it Software Corporation Ltd.</Company>
  <LinksUpToDate>false</LinksUpToDate>
  <CharactersWithSpaces>10116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MEA101 Interpret work health and safety practices in aviation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2025-03-02T03:15:00Z</dcterms:created>
  <dcterms:modified xsi:type="dcterms:W3CDTF">2025-03-02T03:15:00Z</dcterms:modified>
</cp:coreProperties>
</file>