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800" w:rsidP="00771800">
      <w:pPr>
        <w:pStyle w:val="Title"/>
      </w:pPr>
      <w:r>
        <w:fldChar w:fldCharType="begin"/>
      </w:r>
      <w:r>
        <w:instrText xml:space="preserve"> TITLE   \* MERGEFORMAT </w:instrText>
      </w:r>
      <w:r>
        <w:fldChar w:fldCharType="separate"/>
      </w:r>
      <w:r>
        <w:t>MARO5002A Transmit and receive information by the Global Maritime Distress and Safety System</w:t>
      </w:r>
      <w:r>
        <w:fldChar w:fldCharType="end"/>
      </w:r>
    </w:p>
    <w:p w:rsidR="00771800" w:rsidP="00771800">
      <w:pPr>
        <w:pStyle w:val="Version"/>
        <w:sectPr w:rsidSect="000878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803" w:rsidP="00087803">
      <w:pPr>
        <w:pStyle w:val="SuperHeading"/>
      </w:pPr>
      <w:r w:rsidRPr="00087803">
        <w:t>MARO5002A Transmit and receive information by the Global Maritime Distress and Safety System</w:t>
      </w:r>
    </w:p>
    <w:p w:rsidR="00000000" w:rsidRPr="00087803" w:rsidP="00087803">
      <w:pPr>
        <w:pStyle w:val="Heading1"/>
      </w:pPr>
      <w:bookmarkStart w:id="1" w:name="O_539015"/>
      <w:bookmarkEnd w:id="1"/>
      <w:r w:rsidRPr="00087803">
        <w:t>Modification History</w:t>
      </w:r>
    </w:p>
    <w:p w:rsidR="00000000" w:rsidRPr="00087803" w:rsidP="00087803">
      <w:pPr>
        <w:pStyle w:val="BodyText"/>
      </w:pPr>
      <w:r w:rsidRPr="00087803">
        <w:t>Release 1</w:t>
      </w:r>
    </w:p>
    <w:p w:rsidR="00000000" w:rsidRPr="00087803" w:rsidP="00087803">
      <w:pPr>
        <w:pStyle w:val="BodyText"/>
      </w:pPr>
      <w:r w:rsidRPr="00087803">
        <w:t>This is the first release of this unit.</w:t>
      </w:r>
    </w:p>
    <w:p w:rsidR="00000000" w:rsidRPr="00087803" w:rsidP="00087803">
      <w:pPr>
        <w:pStyle w:val="BodyText"/>
      </w:pPr>
      <w:r w:rsidRPr="00087803">
        <w:t>This unit replaces and is equivalent to TDMME807C Transmit and receive information by GMDSS subsystems and equipment.</w:t>
      </w:r>
    </w:p>
    <w:p w:rsidR="00000000" w:rsidRPr="00087803" w:rsidP="00087803">
      <w:pPr>
        <w:pStyle w:val="AllowPageBreak"/>
      </w:pPr>
    </w:p>
    <w:p w:rsidR="00000000" w:rsidRPr="00087803" w:rsidP="00087803">
      <w:pPr>
        <w:pStyle w:val="Heading1"/>
      </w:pPr>
      <w:bookmarkStart w:id="2" w:name="O_539027"/>
      <w:bookmarkEnd w:id="2"/>
      <w:r w:rsidRPr="00087803">
        <w:t>Unit Descriptor</w:t>
      </w:r>
    </w:p>
    <w:p w:rsidR="00000000" w:rsidRPr="00087803" w:rsidP="00087803">
      <w:pPr>
        <w:pStyle w:val="BodyText"/>
      </w:pPr>
      <w:r w:rsidRPr="00087803">
        <w:t>This unit involves the skills and knowledge required to transmit and receive information by global mariti</w:t>
      </w:r>
      <w:r w:rsidRPr="00087803">
        <w:t>me distress and safety system (GMDSS) subsystems and equipment.</w:t>
      </w:r>
    </w:p>
    <w:p w:rsidR="00000000" w:rsidRPr="00087803" w:rsidP="00087803">
      <w:pPr>
        <w:pStyle w:val="AllowPageBreak"/>
      </w:pPr>
    </w:p>
    <w:p w:rsidR="00000000" w:rsidRPr="00087803" w:rsidP="00087803">
      <w:pPr>
        <w:pStyle w:val="Heading1"/>
      </w:pPr>
      <w:bookmarkStart w:id="3" w:name="O_539026"/>
      <w:bookmarkEnd w:id="3"/>
      <w:r w:rsidRPr="00087803">
        <w:t>Application of the Unit</w:t>
      </w:r>
    </w:p>
    <w:p w:rsidR="00000000" w:rsidRPr="00087803" w:rsidP="00087803">
      <w:pPr>
        <w:pStyle w:val="BodyText"/>
      </w:pPr>
      <w:r w:rsidRPr="00087803">
        <w:t>This unit applies to those in charge of or performing radio duties on a ship required to participate in the GMDSS.</w:t>
      </w:r>
    </w:p>
    <w:p w:rsidR="00000000" w:rsidRPr="00087803" w:rsidP="00087803">
      <w:pPr>
        <w:pStyle w:val="AllowPageBreak"/>
      </w:pPr>
    </w:p>
    <w:p w:rsidR="00000000" w:rsidRPr="00087803" w:rsidP="00087803">
      <w:pPr>
        <w:pStyle w:val="Heading1"/>
      </w:pPr>
      <w:bookmarkStart w:id="4" w:name="O_539025"/>
      <w:bookmarkEnd w:id="4"/>
      <w:r w:rsidRPr="00087803">
        <w:t>Licensing/Regulator</w:t>
      </w:r>
      <w:r w:rsidRPr="00087803">
        <w:t>y Information</w:t>
      </w:r>
    </w:p>
    <w:p w:rsidR="00000000" w:rsidRPr="00087803" w:rsidP="00087803">
      <w:pPr>
        <w:pStyle w:val="BodyText"/>
      </w:pPr>
      <w:r w:rsidRPr="00087803">
        <w:t>Not applicable.</w:t>
      </w:r>
    </w:p>
    <w:p w:rsidR="00000000" w:rsidRPr="00087803" w:rsidP="00087803">
      <w:pPr>
        <w:pStyle w:val="AllowPageBreak"/>
      </w:pPr>
    </w:p>
    <w:p w:rsidR="00000000" w:rsidRPr="00087803" w:rsidP="00087803">
      <w:pPr>
        <w:pStyle w:val="Heading1"/>
      </w:pPr>
      <w:bookmarkStart w:id="5" w:name="O_539024"/>
      <w:bookmarkEnd w:id="5"/>
      <w:r w:rsidRPr="00087803">
        <w:t>Pre-Requisites</w:t>
      </w:r>
    </w:p>
    <w:p w:rsidR="00000000" w:rsidRPr="00087803" w:rsidP="00087803">
      <w:pPr>
        <w:pStyle w:val="BodyText"/>
      </w:pPr>
      <w:r w:rsidRPr="00087803">
        <w:t>Not applicable.</w:t>
      </w:r>
    </w:p>
    <w:p w:rsidR="00000000" w:rsidRPr="00087803" w:rsidP="00087803">
      <w:pPr>
        <w:pStyle w:val="AllowPageBreak"/>
      </w:pPr>
    </w:p>
    <w:p w:rsidR="00000000" w:rsidRPr="00087803" w:rsidP="00087803">
      <w:pPr>
        <w:pStyle w:val="Heading1"/>
      </w:pPr>
      <w:bookmarkStart w:id="6" w:name="O_539023"/>
      <w:bookmarkEnd w:id="6"/>
      <w:r w:rsidRPr="00087803">
        <w:t>Employability Skills Information</w:t>
      </w:r>
    </w:p>
    <w:p w:rsidR="00000000" w:rsidRPr="00087803" w:rsidP="00087803">
      <w:pPr>
        <w:pStyle w:val="BodyText"/>
      </w:pPr>
      <w:r w:rsidRPr="00087803">
        <w:t>This unit contains employability skills.</w:t>
      </w:r>
    </w:p>
    <w:p w:rsidR="00000000" w:rsidRPr="00087803" w:rsidP="00087803">
      <w:pPr>
        <w:pStyle w:val="AllowPageBreak"/>
      </w:pPr>
    </w:p>
    <w:p w:rsidR="00000000" w:rsidRPr="00087803" w:rsidP="00087803">
      <w:pPr>
        <w:pStyle w:val="Heading1"/>
      </w:pPr>
      <w:bookmarkStart w:id="7" w:name="O_539022"/>
      <w:bookmarkEnd w:id="7"/>
      <w:r w:rsidRPr="00087803">
        <w:t>Elements and Performance Criteria Pre-Content</w:t>
      </w:r>
    </w:p>
    <w:tbl>
      <w:tblPr>
        <w:tblW w:w="9640" w:type="dxa"/>
        <w:tblLayout w:type="fixed"/>
        <w:tblCellMar>
          <w:left w:w="62" w:type="dxa"/>
          <w:right w:w="62" w:type="dxa"/>
        </w:tblCellMar>
        <w:tblLook w:val="0000"/>
      </w:tblPr>
      <w:tblGrid>
        <w:gridCol w:w="2776"/>
        <w:gridCol w:w="6864"/>
      </w:tblGrid>
      <w:tr w:rsidTr="0077180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Elements describe the es</w:t>
            </w:r>
            <w:r w:rsidRPr="00087803">
              <w:t>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Performance criteria describe the required performance needed to demonstrate achievement of the element. Assessment of performance is to be consistent with the evidence guide.</w:t>
            </w:r>
          </w:p>
        </w:tc>
      </w:tr>
    </w:tbl>
    <w:p w:rsidR="00000000" w:rsidRPr="00087803" w:rsidP="00087803">
      <w:pPr>
        <w:pStyle w:val="BodyText"/>
      </w:pPr>
    </w:p>
    <w:p w:rsidR="00000000" w:rsidRPr="00087803" w:rsidP="00087803">
      <w:pPr>
        <w:pStyle w:val="AllowPageBreak"/>
      </w:pPr>
    </w:p>
    <w:p w:rsidR="00000000" w:rsidRPr="00087803" w:rsidP="00087803">
      <w:pPr>
        <w:pStyle w:val="Heading1"/>
      </w:pPr>
      <w:bookmarkStart w:id="8" w:name="O_539021"/>
      <w:bookmarkEnd w:id="8"/>
      <w:r w:rsidRPr="0008780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7180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Operate GMDSS subsystems and equipment to send and receive messages</w:t>
            </w:r>
          </w:p>
        </w:tc>
        <w:tc>
          <w:tcPr>
            <w:tcW w:w="58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1.1</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BoldandItalics"/>
              </w:rPr>
              <w:t>GMDSS communication equipment</w:t>
            </w:r>
            <w:r w:rsidRPr="00087803">
              <w:t xml:space="preserve"> is operated to send and receive various types of signals according to manufacturer instructions, established GMDSS pro</w:t>
            </w:r>
            <w:r w:rsidRPr="00087803">
              <w:t>cedures and regulatory requirements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1.2</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GMDSS procedures appropriate for the sea area concerned are correctly applied according to regulatory requirements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1.3</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BoldandItalics"/>
              </w:rPr>
              <w:t xml:space="preserve">Regulations </w:t>
            </w:r>
            <w:r w:rsidRPr="00087803">
              <w:t>and procedures applicable to vessel stations equipped with GMDSS communication equipment and digital selective calling facilities are applied during radio communication</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1.4</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Work health and safety (WHS)/occupational health and safety (OHS) procedures and</w:t>
            </w:r>
            <w:r w:rsidRPr="00087803">
              <w:t xml:space="preserve"> hazard control strategies are applied when operating radio equipment according to vessel ISM Code safety management system</w:t>
            </w:r>
          </w:p>
        </w:tc>
      </w:tr>
      <w:tr w:rsidTr="0077180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Maintain radio equipment</w:t>
            </w:r>
          </w:p>
        </w:tc>
        <w:tc>
          <w:tcPr>
            <w:tcW w:w="58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2.1</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BoldandItalics"/>
              </w:rPr>
              <w:t xml:space="preserve">Routine maintenance checks </w:t>
            </w:r>
            <w:r w:rsidRPr="00087803">
              <w:t>are conducted on GMDSS equipment according to manufacturer specifications</w:t>
            </w:r>
            <w:r w:rsidRPr="00087803">
              <w:t xml:space="preserve"> and organisational procedures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2.2</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 xml:space="preserve">Out-of-specification performance and faults are investigated using fault finding techniques </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2.3</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Identified faults and defective equipment and component parts are r</w:t>
            </w:r>
            <w:r w:rsidRPr="00087803">
              <w:t>ectified or replaced according to manufacturer specifications and organisational procedures</w:t>
            </w:r>
          </w:p>
        </w:tc>
      </w:tr>
      <w:tr w:rsidTr="0077180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Provide radio services during emergencies</w:t>
            </w:r>
          </w:p>
        </w:tc>
        <w:tc>
          <w:tcPr>
            <w:tcW w:w="58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3.1</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BoldandItalics"/>
              </w:rPr>
              <w:t xml:space="preserve">Emergencies </w:t>
            </w:r>
            <w:r w:rsidRPr="00087803">
              <w:t>are correctly identified according to organisational procedures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3.2</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 xml:space="preserve">Organisational procedures are conformed with when taking initial action on becoming aware of an emergency or abnormal situation </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3.3</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Communications are established with others using GMDSS communication equipment to facilitate the emergency response proc</w:t>
            </w:r>
            <w:r w:rsidRPr="00087803">
              <w:t>ess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3.4</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Contact is maintained at all times with others to keep them briefed on the emergency response process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3.5</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Radio procedures as defined in the international and national radio regulations and safety of life at sea (SOLAS) convention are applied during the emergency</w:t>
            </w:r>
          </w:p>
        </w:tc>
      </w:tr>
      <w:tr w:rsidTr="0077180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Maintain records</w:t>
            </w:r>
          </w:p>
        </w:tc>
        <w:tc>
          <w:tcPr>
            <w:tcW w:w="58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4.1</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BoldandItalics"/>
              </w:rPr>
              <w:t xml:space="preserve">Records </w:t>
            </w:r>
            <w:r w:rsidRPr="00087803">
              <w:t>are completed and maintained as required according to regulatory a</w:t>
            </w:r>
            <w:r w:rsidRPr="00087803">
              <w:t>nd organisational requirements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4.2</w:t>
            </w:r>
          </w:p>
        </w:tc>
        <w:tc>
          <w:tcPr>
            <w:tcW w:w="686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Relevant records are sent to appropriate bodies and copies are filed according to regulatory and organisational requirements</w:t>
            </w:r>
          </w:p>
        </w:tc>
      </w:tr>
      <w:tr w:rsidTr="0077180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4.3</w:t>
            </w:r>
          </w:p>
        </w:tc>
        <w:tc>
          <w:tcPr>
            <w:tcW w:w="6864"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Documents are stored according to regulatory and organisational requirements</w:t>
            </w:r>
          </w:p>
        </w:tc>
      </w:tr>
    </w:tbl>
    <w:p w:rsidR="00000000" w:rsidRPr="00087803" w:rsidP="00087803">
      <w:pPr>
        <w:pStyle w:val="BodyText"/>
      </w:pPr>
    </w:p>
    <w:p w:rsidR="00000000" w:rsidRPr="00087803" w:rsidP="00087803">
      <w:pPr>
        <w:pStyle w:val="AllowPageBreak"/>
      </w:pPr>
    </w:p>
    <w:p w:rsidR="00000000" w:rsidRPr="00087803" w:rsidP="00087803">
      <w:pPr>
        <w:pStyle w:val="Heading1"/>
      </w:pPr>
      <w:bookmarkStart w:id="9" w:name="O_539020"/>
      <w:bookmarkEnd w:id="9"/>
      <w:r w:rsidRPr="00087803">
        <w:t>Required Skills and Knowledge</w:t>
      </w:r>
    </w:p>
    <w:tbl>
      <w:tblPr>
        <w:tblW w:w="0" w:type="auto"/>
        <w:tblCellMar>
          <w:left w:w="62" w:type="dxa"/>
          <w:right w:w="62" w:type="dxa"/>
        </w:tblCellMar>
        <w:tblLook w:val="0000"/>
      </w:tblPr>
      <w:tblGrid>
        <w:gridCol w:w="9196"/>
      </w:tblGrid>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This section describes the skills and knowledge required for this unit.</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Required Skills: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Apply WHS/OHS procedures when operating GMDSS subsystems and equipment</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Communicate effectively with others when using GMDSS subsystems and equipment</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Conduct operational checks on GMDSS subsystems and equipment</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Keep records of radio communications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Operate GMDSS subsystems and equipment according to manufacturer instructi</w:t>
            </w:r>
            <w:r w:rsidRPr="00087803">
              <w:t>ons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Read and interpret instructions for the use of GMDSS subsystems and equipment</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Recognise typical faults with GMDSS subsystems and equipment, and take appropriate action</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Use the phonetic alphabet</w:t>
            </w:r>
          </w:p>
        </w:tc>
      </w:tr>
    </w:tbl>
    <w:p w:rsidR="00000000" w:rsidRPr="00087803" w:rsidP="00087803">
      <w:pPr>
        <w:pStyle w:val="BodyText"/>
      </w:pPr>
    </w:p>
    <w:tbl>
      <w:tblPr>
        <w:tblW w:w="0" w:type="auto"/>
        <w:tblCellMar>
          <w:left w:w="62" w:type="dxa"/>
          <w:right w:w="62" w:type="dxa"/>
        </w:tblCellMar>
        <w:tblLook w:val="0000"/>
      </w:tblPr>
      <w:tblGrid>
        <w:gridCol w:w="9196"/>
      </w:tblGrid>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Required Knowledge:</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Basic principles and features of marine radio communications including correct use of frequencies, frequency bands and modes of emission; frequencies for routine call and reply; distress, urgency and safety communication; definition of coverage and sea are</w:t>
            </w:r>
            <w:r w:rsidRPr="00087803">
              <w:t xml:space="preserve">as for digital selective calling (DSC); radio calling, replying and relaying procedures; purpose of silence periods when operating radio equipment; limitations on the performance of different types of marine radio equipment; purpose for and procedures for </w:t>
            </w:r>
            <w:r w:rsidRPr="00087803">
              <w:t>the monitoring of calling and working frequencies; methods of communicating vessel position</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Different types of marine radio equipment, their features, applications, operating characteristics and operating procedures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Hazards associated with radio transm</w:t>
            </w:r>
            <w:r w:rsidRPr="00087803">
              <w:t>ission and the repair and maintenance of radio equipment and related hazard control measures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International and national radio regulations applicable to mobile marine communication</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Maintenance strategies and requirements for GMDSS equipment as defined i</w:t>
            </w:r>
            <w:r w:rsidRPr="00087803">
              <w:t>n SOLAS and Radio Regulations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Means to prevent the transmission of false distress alerts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Operational checks including checking radio performance; testing fuses; measuring capacity of batteries and the specific gravity of the electrolyte; measuring on a</w:t>
            </w:r>
            <w:r w:rsidRPr="00087803">
              <w:t>nd off load voltage</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Principles of radio propagation including basic propagation mechanisms at LF, MF, HF and VHF;</w:t>
            </w:r>
            <w:r w:rsidRPr="00087803">
              <w:t xml:space="preserve"> maximum user frequency (MUF); optimum working frequency (OWF); frequency bands; classes of emission; duplex, simplex paired frequencies and ITU channels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Procedures for:</w:t>
            </w:r>
          </w:p>
          <w:p w:rsidR="00000000" w:rsidRPr="00087803" w:rsidP="00087803">
            <w:pPr>
              <w:pStyle w:val="ListBullet2"/>
            </w:pPr>
            <w:r w:rsidRPr="00087803">
              <w:t>keeping records of radio communication</w:t>
            </w:r>
          </w:p>
          <w:p w:rsidR="00000000" w:rsidRPr="00087803" w:rsidP="00087803">
            <w:pPr>
              <w:pStyle w:val="ListBullet2"/>
            </w:pPr>
            <w:r w:rsidRPr="00087803">
              <w:t>transmitting and decoding the phonetic alpha</w:t>
            </w:r>
            <w:r w:rsidRPr="00087803">
              <w:t>bet excluding the figure code</w:t>
            </w:r>
          </w:p>
          <w:p w:rsidR="00000000" w:rsidP="00087803">
            <w:pPr>
              <w:pStyle w:val="ListBullet2"/>
              <w:rPr>
                <w:lang w:val="en-NZ"/>
              </w:rPr>
            </w:pPr>
            <w:r w:rsidRPr="00087803">
              <w:t>using various GMDSS systems and services including Inmarsat services (B, C, M and E); Enhanced Group Calling system (EGC); DSC facilities and usage; EGC receiver; MSI services; NAVTEXT system; SafetyNET system</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Prohibitions on connecting non-GMDSS equipment</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Radio communication problems and appropriate actions and solutions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Radio equipment faults, defects and related fault finding techniques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Requirements of ship reporting systems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ListBullet"/>
              <w:rPr>
                <w:lang w:val="en-NZ"/>
              </w:rPr>
            </w:pPr>
            <w:r w:rsidRPr="00087803">
              <w:t>Types, applications and fe</w:t>
            </w:r>
            <w:r w:rsidRPr="00087803">
              <w:t>atures of basic antenna systems used in marine radio communications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Use of radio medical services</w:t>
            </w:r>
          </w:p>
        </w:tc>
      </w:tr>
    </w:tbl>
    <w:p w:rsidR="00000000" w:rsidRPr="00087803" w:rsidP="00087803">
      <w:pPr>
        <w:pStyle w:val="BodyText"/>
      </w:pPr>
    </w:p>
    <w:p w:rsidR="00000000" w:rsidRPr="00087803" w:rsidP="00087803">
      <w:pPr>
        <w:pStyle w:val="AllowPageBreak"/>
      </w:pPr>
    </w:p>
    <w:p w:rsidR="00000000" w:rsidRPr="00087803" w:rsidP="00087803">
      <w:pPr>
        <w:pStyle w:val="Heading1"/>
      </w:pPr>
      <w:bookmarkStart w:id="10" w:name="O_539019"/>
      <w:bookmarkEnd w:id="10"/>
      <w:r w:rsidRPr="00087803">
        <w:t>Evidence Guide</w:t>
      </w:r>
    </w:p>
    <w:tbl>
      <w:tblPr>
        <w:tblW w:w="9499" w:type="dxa"/>
        <w:tblLayout w:type="fixed"/>
        <w:tblCellMar>
          <w:left w:w="62" w:type="dxa"/>
          <w:right w:w="62" w:type="dxa"/>
        </w:tblCellMar>
        <w:tblLook w:val="0000"/>
      </w:tblPr>
      <w:tblGrid>
        <w:gridCol w:w="3340"/>
        <w:gridCol w:w="6159"/>
      </w:tblGrid>
      <w:tr w:rsidTr="0008780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The evidence guide provides advice on assessment and must be read in conjunction with the performance criteria, the required skills and knowledge, the range statement and the Assessment Guidelines for the Training Package.</w:t>
            </w:r>
          </w:p>
        </w:tc>
      </w:tr>
      <w:tr w:rsidTr="000878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Critical aspects for assessment</w:t>
            </w:r>
            <w:r w:rsidRPr="0008780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The evidence required to demonstrate competence in this unit must be relevant to and satisfy all of the requirements of the Elements, Performance Criteria, Required Skills, Required Knowledge an</w:t>
            </w:r>
            <w:r w:rsidRPr="00087803">
              <w:t>d include:</w:t>
            </w:r>
          </w:p>
          <w:p w:rsidR="00000000" w:rsidRPr="00087803" w:rsidP="00087803">
            <w:pPr>
              <w:pStyle w:val="ListBullet"/>
            </w:pPr>
            <w:r w:rsidRPr="00087803">
              <w:t>ensuring currency of relevant legislative and regulatory knowledge</w:t>
            </w:r>
          </w:p>
          <w:p w:rsidR="00000000" w:rsidP="00087803">
            <w:pPr>
              <w:pStyle w:val="ListBullet"/>
              <w:rPr>
                <w:lang w:val="en-NZ"/>
              </w:rPr>
            </w:pPr>
            <w:r w:rsidRPr="00087803">
              <w:t>attention to appropriate level of detail in recordkeeping.</w:t>
            </w:r>
          </w:p>
        </w:tc>
      </w:tr>
      <w:tr w:rsidTr="00087803">
        <w:tblPrEx>
          <w:tblW w:w="9499" w:type="dxa"/>
          <w:tblLayout w:type="fixed"/>
          <w:tblCellMar>
            <w:left w:w="62" w:type="dxa"/>
            <w:right w:w="62" w:type="dxa"/>
          </w:tblCellMar>
          <w:tblLook w:val="0000"/>
        </w:tblPrEx>
        <w:trPr>
          <w:trHeight w:val="4809"/>
        </w:trPr>
        <w:tc>
          <w:tcPr>
            <w:tcW w:w="3340"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Performance is demonstrated consistently over time and in a suitable range of contexts.</w:t>
            </w:r>
          </w:p>
          <w:p w:rsidR="00000000" w:rsidRPr="00087803" w:rsidP="00087803">
            <w:pPr>
              <w:pStyle w:val="BodyText"/>
            </w:pPr>
            <w:r w:rsidRPr="00087803">
              <w:t>Resources for assessment include access to:</w:t>
            </w:r>
          </w:p>
          <w:p w:rsidR="00000000" w:rsidRPr="00087803" w:rsidP="00087803">
            <w:pPr>
              <w:pStyle w:val="ListBullet"/>
            </w:pPr>
            <w:r w:rsidRPr="00087803">
              <w:t>industry-approved marine operations site where transmitting and receiving information by GMDSS subsystems and equipment can</w:t>
            </w:r>
            <w:r w:rsidRPr="00087803">
              <w:t xml:space="preserve"> be conducted</w:t>
            </w:r>
          </w:p>
          <w:p w:rsidR="00000000" w:rsidRPr="00087803" w:rsidP="00087803">
            <w:pPr>
              <w:pStyle w:val="ListBullet"/>
            </w:pPr>
            <w:r w:rsidRPr="00087803">
              <w:t>tools, equipment and personal protective equipment currently used in industry</w:t>
            </w:r>
          </w:p>
          <w:p w:rsidR="00000000" w:rsidRPr="00087803" w:rsidP="00087803">
            <w:pPr>
              <w:pStyle w:val="ListBullet"/>
            </w:pPr>
            <w:r w:rsidRPr="00087803">
              <w:t>relevant regulatory and equipment documentation that impacts on work activities</w:t>
            </w:r>
          </w:p>
          <w:p w:rsidR="00000000" w:rsidRPr="00087803" w:rsidP="00087803">
            <w:pPr>
              <w:pStyle w:val="ListBullet"/>
            </w:pPr>
            <w:r w:rsidRPr="00087803">
              <w:t>range of relevant exercises, case studies and/or other simulated practical and knowl</w:t>
            </w:r>
            <w:r w:rsidRPr="00087803">
              <w:t>edge assessments</w:t>
            </w:r>
          </w:p>
          <w:p w:rsidR="00000000" w:rsidRPr="00087803" w:rsidP="00087803">
            <w:pPr>
              <w:pStyle w:val="ListBullet"/>
            </w:pPr>
            <w:r w:rsidRPr="00087803">
              <w:t>appropriate range of relevant operational situations in the workplace.</w:t>
            </w:r>
          </w:p>
          <w:p w:rsidR="00000000" w:rsidRPr="00087803" w:rsidP="00087803">
            <w:pPr>
              <w:pStyle w:val="BodyText"/>
            </w:pPr>
            <w:r w:rsidRPr="00087803">
              <w:t>In both real and simulated environments, access is required to:</w:t>
            </w:r>
          </w:p>
          <w:p w:rsidR="00000000" w:rsidRPr="00087803" w:rsidP="00087803">
            <w:pPr>
              <w:pStyle w:val="ListBullet"/>
            </w:pPr>
            <w:r w:rsidRPr="00087803">
              <w:t>relevant and appropriate materials and equipment</w:t>
            </w:r>
          </w:p>
          <w:p w:rsidR="00000000" w:rsidP="00087803">
            <w:pPr>
              <w:pStyle w:val="ListBullet"/>
              <w:rPr>
                <w:lang w:val="en-NZ"/>
              </w:rPr>
            </w:pPr>
            <w:r w:rsidRPr="00087803">
              <w:t>applicable documentation including workplace procedure</w:t>
            </w:r>
            <w:r w:rsidRPr="00087803">
              <w:t>s, regulations, codes of practice and operation manuals.</w:t>
            </w:r>
          </w:p>
        </w:tc>
      </w:tr>
      <w:tr w:rsidTr="000878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Practical assessment must occur in an:</w:t>
            </w:r>
          </w:p>
          <w:p w:rsidR="00000000" w:rsidRPr="00087803" w:rsidP="00087803">
            <w:pPr>
              <w:pStyle w:val="ListBullet"/>
            </w:pPr>
            <w:r w:rsidRPr="00087803">
              <w:t>appropriately simulated workplace environment and/or</w:t>
            </w:r>
          </w:p>
          <w:p w:rsidR="00000000" w:rsidRPr="00087803" w:rsidP="00087803">
            <w:pPr>
              <w:pStyle w:val="ListBullet"/>
            </w:pPr>
            <w:r w:rsidRPr="00087803">
              <w:t>appropriate range of situations in the workplace.</w:t>
            </w:r>
          </w:p>
          <w:p w:rsidR="00000000" w:rsidRPr="00087803" w:rsidP="00087803">
            <w:pPr>
              <w:pStyle w:val="BodyText"/>
            </w:pPr>
            <w:r w:rsidRPr="00087803">
              <w:t>A range of assessment methods should be used to assess practical skills and knowledge. The following examples are appropriate to this unit:</w:t>
            </w:r>
          </w:p>
          <w:p w:rsidR="00000000" w:rsidRPr="00087803" w:rsidP="00087803">
            <w:pPr>
              <w:pStyle w:val="ListBullet"/>
            </w:pPr>
            <w:r w:rsidRPr="00087803">
              <w:t>direct observation of the candidate transmitting and receiving information by GMDSS subsystems and equipment</w:t>
            </w:r>
          </w:p>
          <w:p w:rsidR="00000000" w:rsidP="00087803">
            <w:pPr>
              <w:pStyle w:val="ListBullet"/>
              <w:rPr>
                <w:lang w:val="en-NZ"/>
              </w:rPr>
            </w:pPr>
            <w:r w:rsidRPr="00087803">
              <w:t>direct</w:t>
            </w:r>
            <w:r w:rsidRPr="00087803">
              <w:t xml:space="preserve"> observation of the candidate applying relevant WHS/OHS requirements and work practices.</w:t>
            </w:r>
          </w:p>
        </w:tc>
      </w:tr>
      <w:tr w:rsidTr="0008780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87803" w:rsidP="00087803">
            <w:pPr>
              <w:pStyle w:val="BodyText"/>
            </w:pPr>
            <w:r w:rsidRPr="00087803">
              <w:t>Holistic assessment with other units relevant to the industry sector, workplace and job role is recommended.</w:t>
            </w:r>
          </w:p>
          <w:p w:rsidR="00000000" w:rsidRPr="00087803" w:rsidP="00087803">
            <w:pPr>
              <w:pStyle w:val="BodyText"/>
            </w:pPr>
            <w:r w:rsidRPr="00087803">
              <w:t>In all cases where pr</w:t>
            </w:r>
            <w:r w:rsidRPr="00087803">
              <w:t>actical assessment is used it should be combined with targeted questioning to assess Required Knowledge.</w:t>
            </w:r>
          </w:p>
          <w:p w:rsidR="00000000" w:rsidRPr="00087803" w:rsidP="00087803">
            <w:pPr>
              <w:pStyle w:val="BodyText"/>
            </w:pPr>
            <w:r w:rsidRPr="00087803">
              <w:t>Assessment processes and techniques must be appropriate to the language and literacy requirements of the work being performed and the capacity of the c</w:t>
            </w:r>
            <w:r w:rsidRPr="00087803">
              <w:t>andidate.</w:t>
            </w:r>
          </w:p>
        </w:tc>
      </w:tr>
    </w:tbl>
    <w:p w:rsidR="00000000" w:rsidRPr="00087803" w:rsidP="00087803">
      <w:pPr>
        <w:pStyle w:val="BodyText"/>
      </w:pPr>
    </w:p>
    <w:p w:rsidR="00000000" w:rsidRPr="00087803" w:rsidP="00087803">
      <w:pPr>
        <w:pStyle w:val="AllowPageBreak"/>
      </w:pPr>
    </w:p>
    <w:p w:rsidR="00000000" w:rsidRPr="00087803" w:rsidP="00087803">
      <w:pPr>
        <w:pStyle w:val="Heading1"/>
      </w:pPr>
      <w:bookmarkStart w:id="11" w:name="O_539018"/>
      <w:bookmarkEnd w:id="11"/>
      <w:r w:rsidRPr="00087803">
        <w:t>Range Statement</w:t>
      </w:r>
    </w:p>
    <w:tbl>
      <w:tblPr>
        <w:tblW w:w="0" w:type="auto"/>
        <w:tblCellMar>
          <w:left w:w="62" w:type="dxa"/>
          <w:right w:w="62" w:type="dxa"/>
        </w:tblCellMar>
        <w:tblLook w:val="0000"/>
      </w:tblPr>
      <w:tblGrid>
        <w:gridCol w:w="2586"/>
        <w:gridCol w:w="6610"/>
      </w:tblGrid>
      <w:tr w:rsidTr="007718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The range statement relates to the unit of competency as a whole. It allows for different work environments and situations that may affect performance. Bold italicised wording, if used in the performance criteri</w:t>
            </w:r>
            <w:r w:rsidRPr="00087803">
              <w:t>a, is detailed below.</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GMDSS communication equipment must include:</w:t>
            </w:r>
          </w:p>
        </w:tc>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Antennas</w:t>
            </w:r>
          </w:p>
          <w:p w:rsidR="00000000" w:rsidRPr="00087803" w:rsidP="00087803">
            <w:pPr>
              <w:pStyle w:val="ListBullet"/>
            </w:pPr>
            <w:r w:rsidRPr="00087803">
              <w:t>Batteries</w:t>
            </w:r>
          </w:p>
          <w:p w:rsidR="00000000" w:rsidRPr="00087803" w:rsidP="00087803">
            <w:pPr>
              <w:pStyle w:val="ListBullet"/>
            </w:pPr>
            <w:r w:rsidRPr="00087803">
              <w:t>Digital selective calling (DSC) equipment</w:t>
            </w:r>
          </w:p>
          <w:p w:rsidR="00000000" w:rsidRPr="00087803" w:rsidP="00087803">
            <w:pPr>
              <w:pStyle w:val="ListBullet"/>
            </w:pPr>
            <w:r w:rsidRPr="00087803">
              <w:t>ECG receiver</w:t>
            </w:r>
          </w:p>
          <w:p w:rsidR="00000000" w:rsidRPr="00087803" w:rsidP="00087803">
            <w:pPr>
              <w:pStyle w:val="ListBullet"/>
            </w:pPr>
            <w:r w:rsidRPr="00087803">
              <w:t>Electrical and radio cable connections</w:t>
            </w:r>
          </w:p>
          <w:p w:rsidR="00000000" w:rsidRPr="00087803" w:rsidP="00087803">
            <w:pPr>
              <w:pStyle w:val="ListBullet"/>
            </w:pPr>
            <w:r w:rsidRPr="00087803">
              <w:t xml:space="preserve">Electrical fuses </w:t>
            </w:r>
          </w:p>
          <w:p w:rsidR="00000000" w:rsidRPr="00087803" w:rsidP="00087803">
            <w:pPr>
              <w:pStyle w:val="ListBullet"/>
            </w:pPr>
            <w:r w:rsidRPr="00087803">
              <w:t>Emergency position indicating radio beacon (EPIRB)</w:t>
            </w:r>
          </w:p>
          <w:p w:rsidR="00000000" w:rsidRPr="00087803" w:rsidP="00087803">
            <w:pPr>
              <w:pStyle w:val="ListBullet"/>
            </w:pPr>
            <w:r w:rsidRPr="00087803">
              <w:t xml:space="preserve">Medium frequency/high frequency (MF/HF)equipment </w:t>
            </w:r>
          </w:p>
          <w:p w:rsidR="00000000" w:rsidRPr="00087803" w:rsidP="00087803">
            <w:pPr>
              <w:pStyle w:val="ListBullet"/>
            </w:pPr>
            <w:r w:rsidRPr="00087803">
              <w:t>Navtext receiver</w:t>
            </w:r>
          </w:p>
          <w:p w:rsidR="00000000" w:rsidRPr="00087803" w:rsidP="00087803">
            <w:pPr>
              <w:pStyle w:val="ListBullet"/>
            </w:pPr>
            <w:r w:rsidRPr="00087803">
              <w:t>Search and rescue transmitter (SART)</w:t>
            </w:r>
          </w:p>
          <w:p w:rsidR="00000000" w:rsidP="00087803">
            <w:pPr>
              <w:pStyle w:val="ListBullet"/>
              <w:rPr>
                <w:lang w:val="en-NZ"/>
              </w:rPr>
            </w:pPr>
            <w:r w:rsidRPr="00087803">
              <w:t xml:space="preserve">Very high frequency (VHF) equipment </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Regulations must include:</w:t>
            </w:r>
          </w:p>
        </w:tc>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IMO STCW 95 Code concerning radio communication</w:t>
            </w:r>
          </w:p>
          <w:p w:rsidR="00000000" w:rsidRPr="00087803" w:rsidP="00087803">
            <w:pPr>
              <w:pStyle w:val="ListBullet"/>
            </w:pPr>
            <w:r w:rsidRPr="00087803">
              <w:t>Australian Maritime Safety Authority (AMSA) Marine Orders</w:t>
            </w:r>
          </w:p>
          <w:p w:rsidR="00000000" w:rsidRPr="00087803" w:rsidP="00087803">
            <w:pPr>
              <w:pStyle w:val="ListBullet"/>
            </w:pPr>
            <w:r w:rsidRPr="00087803">
              <w:t>SOLAS Convention</w:t>
            </w:r>
          </w:p>
          <w:p w:rsidR="00000000" w:rsidP="00087803">
            <w:pPr>
              <w:pStyle w:val="ListBullet"/>
              <w:rPr>
                <w:lang w:val="en-NZ"/>
              </w:rPr>
            </w:pPr>
            <w:r w:rsidRPr="00087803">
              <w:t>ITU Regulations</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Routine maintenance checks may include:</w:t>
            </w:r>
          </w:p>
        </w:tc>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Battery level checks</w:t>
            </w:r>
          </w:p>
          <w:p w:rsidR="00000000" w:rsidP="00087803">
            <w:pPr>
              <w:pStyle w:val="ListBullet"/>
              <w:rPr>
                <w:lang w:val="en-NZ"/>
              </w:rPr>
            </w:pPr>
            <w:r w:rsidRPr="00087803">
              <w:t>Equipment testing</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Emergencies may include:</w:t>
            </w:r>
          </w:p>
        </w:tc>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Abandon ship</w:t>
            </w:r>
          </w:p>
          <w:p w:rsidR="00000000" w:rsidRPr="00087803" w:rsidP="00087803">
            <w:pPr>
              <w:pStyle w:val="ListBullet"/>
            </w:pPr>
            <w:r w:rsidRPr="00087803">
              <w:t>Assisting vessels in distress</w:t>
            </w:r>
          </w:p>
          <w:p w:rsidR="00000000" w:rsidRPr="00087803" w:rsidP="00087803">
            <w:pPr>
              <w:pStyle w:val="ListBullet"/>
            </w:pPr>
            <w:r w:rsidRPr="00087803">
              <w:t xml:space="preserve">Fire on board </w:t>
            </w:r>
            <w:r w:rsidRPr="00087803">
              <w:t>ship</w:t>
            </w:r>
          </w:p>
          <w:p w:rsidR="00000000" w:rsidRPr="00087803" w:rsidP="00087803">
            <w:pPr>
              <w:pStyle w:val="ListBullet"/>
            </w:pPr>
            <w:r w:rsidRPr="00087803">
              <w:t>Partial or full breakdown of radio installations</w:t>
            </w:r>
          </w:p>
          <w:p w:rsidR="00000000" w:rsidP="00087803">
            <w:pPr>
              <w:pStyle w:val="ListBullet"/>
              <w:rPr>
                <w:lang w:val="en-NZ"/>
              </w:rPr>
            </w:pPr>
            <w:r w:rsidRPr="00087803">
              <w:t>Rescuing persons from the water</w:t>
            </w:r>
          </w:p>
        </w:tc>
      </w:tr>
      <w:tr w:rsidTr="007718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803">
            <w:pPr>
              <w:pStyle w:val="BodyText"/>
              <w:rPr>
                <w:lang w:val="en-NZ"/>
              </w:rPr>
            </w:pPr>
            <w:r w:rsidRPr="00087803">
              <w:t>Records may include:</w:t>
            </w:r>
          </w:p>
        </w:tc>
        <w:tc>
          <w:tcPr>
            <w:tcW w:w="0" w:type="auto"/>
            <w:tcBorders>
              <w:top w:val="nil"/>
              <w:left w:val="nil"/>
              <w:bottom w:val="nil"/>
              <w:right w:val="nil"/>
            </w:tcBorders>
            <w:tcMar>
              <w:top w:w="0" w:type="dxa"/>
              <w:left w:w="62" w:type="dxa"/>
              <w:bottom w:w="0" w:type="dxa"/>
              <w:right w:w="62" w:type="dxa"/>
            </w:tcMar>
          </w:tcPr>
          <w:p w:rsidR="00000000" w:rsidRPr="00087803" w:rsidP="00087803">
            <w:pPr>
              <w:pStyle w:val="ListBullet"/>
            </w:pPr>
            <w:r w:rsidRPr="00087803">
              <w:t>Radio communication log</w:t>
            </w:r>
          </w:p>
          <w:p w:rsidR="00000000" w:rsidRPr="00087803" w:rsidP="00087803">
            <w:pPr>
              <w:pStyle w:val="ListBullet"/>
            </w:pPr>
            <w:r w:rsidRPr="00087803">
              <w:t>Records of radio communication</w:t>
            </w:r>
          </w:p>
        </w:tc>
      </w:tr>
    </w:tbl>
    <w:p w:rsidR="00000000" w:rsidRPr="00087803" w:rsidP="00087803">
      <w:pPr>
        <w:pStyle w:val="BodyText"/>
      </w:pPr>
    </w:p>
    <w:p w:rsidR="00000000" w:rsidRPr="00087803" w:rsidP="00087803">
      <w:pPr>
        <w:pStyle w:val="AllowPageBreak"/>
      </w:pPr>
    </w:p>
    <w:p w:rsidR="00000000" w:rsidRPr="00087803" w:rsidP="00087803">
      <w:pPr>
        <w:pStyle w:val="Heading1"/>
      </w:pPr>
      <w:bookmarkStart w:id="12" w:name="O_539017"/>
      <w:bookmarkEnd w:id="12"/>
      <w:r w:rsidRPr="00087803">
        <w:t>Unit Sector(s)</w:t>
      </w:r>
    </w:p>
    <w:p w:rsidR="00000000" w:rsidRPr="00087803" w:rsidP="00087803">
      <w:pPr>
        <w:pStyle w:val="BodyText"/>
      </w:pPr>
      <w:r w:rsidRPr="00087803">
        <w:t>Not applicable.</w:t>
      </w:r>
    </w:p>
    <w:p w:rsidR="00000000" w:rsidRPr="00087803" w:rsidP="00087803">
      <w:pPr>
        <w:pStyle w:val="AllowPageBreak"/>
      </w:pPr>
    </w:p>
    <w:p w:rsidR="00000000" w:rsidRPr="00087803" w:rsidP="00087803">
      <w:pPr>
        <w:pStyle w:val="Heading1"/>
      </w:pPr>
      <w:bookmarkStart w:id="13" w:name="O_539016"/>
      <w:bookmarkEnd w:id="13"/>
      <w:r w:rsidRPr="00087803">
        <w:t>Competency Field</w:t>
      </w:r>
    </w:p>
    <w:p w:rsidR="00000000" w:rsidRPr="00087803" w:rsidP="00087803">
      <w:pPr>
        <w:pStyle w:val="BodyText"/>
      </w:pPr>
      <w:r w:rsidRPr="00087803">
        <w:t>Watchkeeping</w:t>
      </w:r>
    </w:p>
    <w:p w:rsidR="00000000" w:rsidRPr="00087803" w:rsidP="00087803"/>
    <w:sectPr w:rsidSect="000878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03" w:rsidRPr="00771800" w:rsidP="00771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00" w:rsidP="00087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71800" w:rsidP="000878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1800" w:rsidP="00087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03" w:rsidRPr="00771800" w:rsidP="007718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00" w:rsidRPr="002D2AF8" w:rsidP="00087803">
    <w:pPr>
      <w:pStyle w:val="Header"/>
      <w:framePr w:wrap="around"/>
    </w:pPr>
    <w:r>
      <w:fldChar w:fldCharType="begin"/>
    </w:r>
    <w:r>
      <w:instrText xml:space="preserve"> TITLE   \* MERGEFORMAT </w:instrText>
    </w:r>
    <w:r>
      <w:fldChar w:fldCharType="separate"/>
    </w:r>
    <w:r>
      <w:t>MARO5002A Transmit and receive information by the Global Maritime Distress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771800" w:rsidP="00087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367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147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EE9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803"/>
    <w:pPr>
      <w:spacing w:before="360" w:after="60"/>
      <w:outlineLvl w:val="0"/>
    </w:pPr>
    <w:rPr>
      <w:sz w:val="32"/>
    </w:rPr>
  </w:style>
  <w:style w:type="paragraph" w:styleId="Heading2">
    <w:name w:val="heading 2"/>
    <w:basedOn w:val="HeadingBase"/>
    <w:next w:val="BodyText"/>
    <w:link w:val="Heading2Char"/>
    <w:qFormat/>
    <w:rsid w:val="00087803"/>
    <w:pPr>
      <w:keepLines/>
      <w:spacing w:before="240" w:after="120"/>
      <w:outlineLvl w:val="1"/>
    </w:pPr>
    <w:rPr>
      <w:sz w:val="28"/>
      <w:szCs w:val="40"/>
    </w:rPr>
  </w:style>
  <w:style w:type="paragraph" w:styleId="Heading3">
    <w:name w:val="heading 3"/>
    <w:basedOn w:val="HeadingBase"/>
    <w:next w:val="BodyText"/>
    <w:link w:val="Heading3Char"/>
    <w:qFormat/>
    <w:rsid w:val="00087803"/>
    <w:pPr>
      <w:spacing w:before="180" w:after="120"/>
      <w:outlineLvl w:val="2"/>
    </w:pPr>
    <w:rPr>
      <w:spacing w:val="-10"/>
      <w:kern w:val="32"/>
    </w:rPr>
  </w:style>
  <w:style w:type="paragraph" w:styleId="Heading4">
    <w:name w:val="heading 4"/>
    <w:basedOn w:val="HeadingBase"/>
    <w:next w:val="BodyText"/>
    <w:link w:val="Heading4Char"/>
    <w:qFormat/>
    <w:rsid w:val="00087803"/>
    <w:pPr>
      <w:spacing w:before="160" w:after="120"/>
      <w:outlineLvl w:val="3"/>
    </w:pPr>
    <w:rPr>
      <w:sz w:val="22"/>
    </w:rPr>
  </w:style>
  <w:style w:type="paragraph" w:styleId="Heading5">
    <w:name w:val="heading 5"/>
    <w:basedOn w:val="HeadingBase"/>
    <w:next w:val="Normal"/>
    <w:link w:val="Heading5Char"/>
    <w:qFormat/>
    <w:rsid w:val="00087803"/>
    <w:pPr>
      <w:spacing w:before="80"/>
      <w:outlineLvl w:val="4"/>
    </w:pPr>
    <w:rPr>
      <w:color w:val="918585"/>
      <w:sz w:val="20"/>
    </w:rPr>
  </w:style>
  <w:style w:type="paragraph" w:styleId="Heading6">
    <w:name w:val="heading 6"/>
    <w:basedOn w:val="HeadingBase"/>
    <w:next w:val="Normal"/>
    <w:link w:val="Heading6Char"/>
    <w:qFormat/>
    <w:rsid w:val="00087803"/>
    <w:pPr>
      <w:spacing w:before="60"/>
      <w:outlineLvl w:val="5"/>
    </w:pPr>
    <w:rPr>
      <w:color w:val="918585"/>
      <w:sz w:val="20"/>
    </w:rPr>
  </w:style>
  <w:style w:type="paragraph" w:styleId="Heading7">
    <w:name w:val="heading 7"/>
    <w:basedOn w:val="Normal"/>
    <w:next w:val="Normal"/>
    <w:link w:val="Heading7Char"/>
    <w:qFormat/>
    <w:rsid w:val="00087803"/>
    <w:pPr>
      <w:ind w:left="720"/>
      <w:outlineLvl w:val="6"/>
    </w:pPr>
    <w:rPr>
      <w:i/>
    </w:rPr>
  </w:style>
  <w:style w:type="paragraph" w:styleId="Heading8">
    <w:name w:val="heading 8"/>
    <w:basedOn w:val="Normal"/>
    <w:next w:val="Normal"/>
    <w:link w:val="Heading8Char"/>
    <w:qFormat/>
    <w:rsid w:val="00087803"/>
    <w:pPr>
      <w:ind w:left="720"/>
      <w:outlineLvl w:val="7"/>
    </w:pPr>
    <w:rPr>
      <w:i/>
    </w:rPr>
  </w:style>
  <w:style w:type="paragraph" w:styleId="Heading9">
    <w:name w:val="heading 9"/>
    <w:basedOn w:val="Normal"/>
    <w:next w:val="Normal"/>
    <w:link w:val="Heading9Char"/>
    <w:qFormat/>
    <w:rsid w:val="00087803"/>
    <w:pPr>
      <w:ind w:left="720"/>
      <w:outlineLvl w:val="8"/>
    </w:pPr>
    <w:rPr>
      <w:i/>
    </w:rPr>
  </w:style>
  <w:style w:type="character" w:default="1" w:styleId="DefaultParagraphFont">
    <w:name w:val="Default Paragraph Font"/>
    <w:uiPriority w:val="1"/>
    <w:unhideWhenUsed/>
    <w:rsid w:val="00087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803"/>
  </w:style>
  <w:style w:type="character" w:customStyle="1" w:styleId="Heading1Char">
    <w:name w:val="Heading 1 Char"/>
    <w:basedOn w:val="DefaultParagraphFont"/>
    <w:link w:val="Heading1"/>
    <w:rsid w:val="00087803"/>
    <w:rPr>
      <w:rFonts w:ascii="Times New Roman" w:eastAsia="Times New Roman" w:hAnsi="Times New Roman" w:cs="Times New Roman"/>
      <w:b/>
      <w:sz w:val="32"/>
      <w:szCs w:val="20"/>
      <w:lang w:eastAsia="en-US"/>
    </w:rPr>
  </w:style>
  <w:style w:type="paragraph" w:styleId="BodyText">
    <w:name w:val="Body Text"/>
    <w:basedOn w:val="Normal"/>
    <w:link w:val="BodyTextChar"/>
    <w:rsid w:val="000878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803"/>
    <w:rPr>
      <w:rFonts w:ascii="Times New Roman" w:eastAsia="Times New Roman" w:hAnsi="Times New Roman" w:cs="Times New Roman"/>
      <w:sz w:val="24"/>
      <w:lang w:eastAsia="en-US"/>
    </w:rPr>
  </w:style>
  <w:style w:type="paragraph" w:styleId="ListBullet">
    <w:name w:val="List Bullet"/>
    <w:basedOn w:val="List"/>
    <w:rsid w:val="00087803"/>
    <w:pPr>
      <w:numPr>
        <w:numId w:val="13"/>
      </w:numPr>
      <w:tabs>
        <w:tab w:val="clear" w:pos="340"/>
      </w:tabs>
      <w:spacing w:before="40" w:after="40"/>
    </w:pPr>
  </w:style>
  <w:style w:type="character" w:customStyle="1" w:styleId="SpecialBold">
    <w:name w:val="Special Bold"/>
    <w:basedOn w:val="DefaultParagraphFont"/>
    <w:rsid w:val="00087803"/>
    <w:rPr>
      <w:b/>
      <w:spacing w:val="0"/>
    </w:rPr>
  </w:style>
  <w:style w:type="paragraph" w:styleId="ListBullet2">
    <w:name w:val="List Bullet 2"/>
    <w:basedOn w:val="List2"/>
    <w:rsid w:val="00087803"/>
    <w:pPr>
      <w:numPr>
        <w:numId w:val="14"/>
      </w:numPr>
      <w:tabs>
        <w:tab w:val="clear" w:pos="680"/>
      </w:tabs>
    </w:pPr>
  </w:style>
  <w:style w:type="paragraph" w:customStyle="1" w:styleId="SuperHeading">
    <w:name w:val="SuperHeading"/>
    <w:basedOn w:val="Normal"/>
    <w:rsid w:val="00087803"/>
    <w:pPr>
      <w:spacing w:before="240" w:after="120"/>
      <w:outlineLvl w:val="0"/>
    </w:pPr>
    <w:rPr>
      <w:rFonts w:ascii="Times New Roman" w:hAnsi="Times New Roman"/>
      <w:b/>
      <w:sz w:val="32"/>
    </w:rPr>
  </w:style>
  <w:style w:type="paragraph" w:customStyle="1" w:styleId="AllowPageBreak">
    <w:name w:val="AllowPageBreak"/>
    <w:rsid w:val="00087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7803"/>
    <w:rPr>
      <w:b/>
      <w:i/>
      <w:u w:val="none"/>
    </w:rPr>
  </w:style>
  <w:style w:type="character" w:customStyle="1" w:styleId="Heading2Char">
    <w:name w:val="Heading 2 Char"/>
    <w:basedOn w:val="DefaultParagraphFont"/>
    <w:link w:val="Heading2"/>
    <w:rsid w:val="00087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803"/>
    <w:rPr>
      <w:rFonts w:ascii="Courier New" w:eastAsia="Times New Roman" w:hAnsi="Courier New" w:cs="Times New Roman"/>
      <w:i/>
      <w:szCs w:val="20"/>
      <w:lang w:eastAsia="en-US"/>
    </w:rPr>
  </w:style>
  <w:style w:type="paragraph" w:customStyle="1" w:styleId="HeadingBase">
    <w:name w:val="Heading Base"/>
    <w:rsid w:val="00087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803"/>
    <w:pPr>
      <w:tabs>
        <w:tab w:val="right" w:leader="dot" w:pos="9072"/>
      </w:tabs>
      <w:ind w:left="567"/>
    </w:pPr>
    <w:rPr>
      <w:szCs w:val="22"/>
    </w:rPr>
  </w:style>
  <w:style w:type="paragraph" w:customStyle="1" w:styleId="TOCBase">
    <w:name w:val="TOC Base"/>
    <w:rsid w:val="00087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803"/>
    <w:pPr>
      <w:tabs>
        <w:tab w:val="right" w:leader="dot" w:pos="9072"/>
      </w:tabs>
      <w:spacing w:before="40" w:after="40"/>
      <w:ind w:left="284"/>
    </w:pPr>
    <w:rPr>
      <w:rFonts w:ascii="Times New Roman" w:hAnsi="Times New Roman"/>
    </w:rPr>
  </w:style>
  <w:style w:type="paragraph" w:styleId="TOC1">
    <w:name w:val="toc 1"/>
    <w:basedOn w:val="TOCBase"/>
    <w:next w:val="Normal"/>
    <w:rsid w:val="00087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803"/>
    <w:rPr>
      <w:rFonts w:ascii="Times New Roman" w:eastAsia="Times New Roman" w:hAnsi="Times New Roman" w:cs="Times New Roman"/>
      <w:sz w:val="16"/>
      <w:lang w:eastAsia="en-US"/>
    </w:rPr>
  </w:style>
  <w:style w:type="paragraph" w:styleId="Title">
    <w:name w:val="Title"/>
    <w:basedOn w:val="HeadingBase"/>
    <w:link w:val="TitleChar"/>
    <w:qFormat/>
    <w:rsid w:val="00087803"/>
    <w:pPr>
      <w:spacing w:before="5040"/>
      <w:jc w:val="center"/>
    </w:pPr>
    <w:rPr>
      <w:sz w:val="48"/>
      <w:szCs w:val="72"/>
      <w:lang w:val="en-US"/>
    </w:rPr>
  </w:style>
  <w:style w:type="character" w:customStyle="1" w:styleId="TitleChar">
    <w:name w:val="Title Char"/>
    <w:basedOn w:val="DefaultParagraphFont"/>
    <w:link w:val="Title"/>
    <w:rsid w:val="00087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803"/>
    <w:pPr>
      <w:tabs>
        <w:tab w:val="left" w:pos="3600"/>
        <w:tab w:val="left" w:pos="3958"/>
      </w:tabs>
    </w:pPr>
  </w:style>
  <w:style w:type="paragraph" w:styleId="List">
    <w:name w:val="List"/>
    <w:basedOn w:val="BodyText"/>
    <w:next w:val="BodyText"/>
    <w:rsid w:val="00087803"/>
    <w:pPr>
      <w:tabs>
        <w:tab w:val="left" w:pos="340"/>
      </w:tabs>
      <w:spacing w:before="60" w:after="60"/>
      <w:ind w:left="340" w:hanging="340"/>
    </w:pPr>
  </w:style>
  <w:style w:type="paragraph" w:customStyle="1" w:styleId="Note">
    <w:name w:val="Note"/>
    <w:basedOn w:val="BodyText"/>
    <w:rsid w:val="00087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803"/>
    <w:pPr>
      <w:framePr w:wrap="auto" w:hAnchor="text" w:y="6049"/>
    </w:pPr>
    <w:rPr>
      <w:color w:val="000000"/>
      <w:sz w:val="40"/>
    </w:rPr>
  </w:style>
  <w:style w:type="paragraph" w:customStyle="1" w:styleId="TOCTitle">
    <w:name w:val="TOCTitle"/>
    <w:basedOn w:val="Heading1"/>
    <w:rsid w:val="00087803"/>
    <w:pPr>
      <w:spacing w:after="240"/>
      <w:jc w:val="center"/>
      <w:outlineLvl w:val="9"/>
    </w:pPr>
    <w:rPr>
      <w:caps/>
    </w:rPr>
  </w:style>
  <w:style w:type="paragraph" w:customStyle="1" w:styleId="Version">
    <w:name w:val="Version"/>
    <w:rsid w:val="00087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803"/>
    <w:pPr>
      <w:keepNext w:val="0"/>
      <w:tabs>
        <w:tab w:val="right" w:pos="4176"/>
      </w:tabs>
      <w:ind w:left="198" w:hanging="198"/>
    </w:pPr>
    <w:rPr>
      <w:rFonts w:ascii="Garamond" w:hAnsi="Garamond"/>
    </w:rPr>
  </w:style>
  <w:style w:type="paragraph" w:styleId="IndexHeading">
    <w:name w:val="index heading"/>
    <w:basedOn w:val="Normal"/>
    <w:next w:val="Index1"/>
    <w:semiHidden/>
    <w:rsid w:val="00087803"/>
    <w:pPr>
      <w:spacing w:before="120" w:after="120"/>
    </w:pPr>
    <w:rPr>
      <w:rFonts w:ascii="Arial" w:hAnsi="Arial"/>
      <w:b/>
      <w:color w:val="918585"/>
      <w:sz w:val="24"/>
    </w:rPr>
  </w:style>
  <w:style w:type="paragraph" w:styleId="Header">
    <w:name w:val="header"/>
    <w:basedOn w:val="Normal"/>
    <w:link w:val="HeaderChar"/>
    <w:rsid w:val="00087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803"/>
    <w:rPr>
      <w:rFonts w:ascii="Times New Roman" w:eastAsia="Times New Roman" w:hAnsi="Times New Roman" w:cs="Times New Roman"/>
      <w:sz w:val="16"/>
      <w:szCs w:val="20"/>
      <w:lang w:val="en-GB" w:eastAsia="en-US"/>
    </w:rPr>
  </w:style>
  <w:style w:type="paragraph" w:customStyle="1" w:styleId="Chapter">
    <w:name w:val="Chapter"/>
    <w:basedOn w:val="Normal"/>
    <w:rsid w:val="00087803"/>
    <w:pPr>
      <w:spacing w:before="240"/>
    </w:pPr>
    <w:rPr>
      <w:rFonts w:ascii="Times New Roman" w:hAnsi="Times New Roman"/>
      <w:smallCaps/>
      <w:spacing w:val="80"/>
      <w:sz w:val="28"/>
    </w:rPr>
  </w:style>
  <w:style w:type="paragraph" w:customStyle="1" w:styleId="InChapter">
    <w:name w:val="InChapter"/>
    <w:basedOn w:val="Heading3"/>
    <w:rsid w:val="00087803"/>
    <w:pPr>
      <w:spacing w:after="240"/>
      <w:outlineLvl w:val="9"/>
    </w:pPr>
    <w:rPr>
      <w:noProof/>
    </w:rPr>
  </w:style>
  <w:style w:type="paragraph" w:styleId="Index2">
    <w:name w:val="index 2"/>
    <w:basedOn w:val="Normal"/>
    <w:next w:val="Normal"/>
    <w:semiHidden/>
    <w:rsid w:val="00087803"/>
    <w:pPr>
      <w:tabs>
        <w:tab w:val="right" w:pos="4176"/>
      </w:tabs>
      <w:ind w:left="568" w:hanging="284"/>
    </w:pPr>
    <w:rPr>
      <w:rFonts w:ascii="Garamond" w:hAnsi="Garamond"/>
    </w:rPr>
  </w:style>
  <w:style w:type="paragraph" w:customStyle="1" w:styleId="Byline">
    <w:name w:val="Byline"/>
    <w:rsid w:val="00087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803"/>
    <w:pPr>
      <w:tabs>
        <w:tab w:val="clear" w:pos="3600"/>
        <w:tab w:val="clear" w:pos="3958"/>
      </w:tabs>
      <w:jc w:val="right"/>
    </w:pPr>
  </w:style>
  <w:style w:type="character" w:styleId="Emphasis">
    <w:name w:val="Emphasis"/>
    <w:basedOn w:val="DefaultParagraphFont"/>
    <w:qFormat/>
    <w:rsid w:val="00087803"/>
    <w:rPr>
      <w:i/>
    </w:rPr>
  </w:style>
  <w:style w:type="paragraph" w:styleId="Caption">
    <w:name w:val="caption"/>
    <w:basedOn w:val="BodyText"/>
    <w:next w:val="Normal"/>
    <w:qFormat/>
    <w:rsid w:val="00087803"/>
    <w:pPr>
      <w:framePr w:w="2268" w:hSpace="181" w:vSpace="181" w:wrap="around" w:vAnchor="text" w:hAnchor="page" w:x="1135" w:y="285" w:anchorLock="1"/>
    </w:pPr>
    <w:rPr>
      <w:i/>
    </w:rPr>
  </w:style>
  <w:style w:type="paragraph" w:customStyle="1" w:styleId="MiniTOCTitle">
    <w:name w:val="MiniTOCTitle"/>
    <w:basedOn w:val="Heading4"/>
    <w:rsid w:val="00087803"/>
    <w:pPr>
      <w:spacing w:before="240"/>
      <w:outlineLvl w:val="9"/>
    </w:pPr>
    <w:rPr>
      <w:noProof/>
      <w:sz w:val="24"/>
    </w:rPr>
  </w:style>
  <w:style w:type="paragraph" w:customStyle="1" w:styleId="MiniTOCItem">
    <w:name w:val="MiniTOCItem"/>
    <w:basedOn w:val="ListBullet"/>
    <w:rsid w:val="00087803"/>
    <w:pPr>
      <w:numPr>
        <w:numId w:val="0"/>
      </w:numPr>
      <w:tabs>
        <w:tab w:val="right" w:leader="dot" w:pos="6521"/>
      </w:tabs>
      <w:spacing w:before="0" w:after="0"/>
    </w:pPr>
  </w:style>
  <w:style w:type="paragraph" w:customStyle="1" w:styleId="TOFTitle">
    <w:name w:val="TOFTitle"/>
    <w:basedOn w:val="TOCTitle"/>
    <w:rsid w:val="00087803"/>
  </w:style>
  <w:style w:type="paragraph" w:styleId="TableofFigures">
    <w:name w:val="table of figures"/>
    <w:basedOn w:val="Normal"/>
    <w:next w:val="Normal"/>
    <w:semiHidden/>
    <w:rsid w:val="00087803"/>
    <w:pPr>
      <w:tabs>
        <w:tab w:val="right" w:leader="dot" w:pos="9072"/>
      </w:tabs>
      <w:ind w:left="970" w:hanging="403"/>
    </w:pPr>
    <w:rPr>
      <w:rFonts w:ascii="Times New Roman" w:hAnsi="Times New Roman"/>
      <w:b/>
    </w:rPr>
  </w:style>
  <w:style w:type="paragraph" w:styleId="ListNumber">
    <w:name w:val="List Number"/>
    <w:basedOn w:val="List"/>
    <w:rsid w:val="00087803"/>
    <w:pPr>
      <w:numPr>
        <w:numId w:val="11"/>
      </w:numPr>
    </w:pPr>
  </w:style>
  <w:style w:type="character" w:customStyle="1" w:styleId="WingdingSymbols">
    <w:name w:val="Wingding Symbols"/>
    <w:rsid w:val="00087803"/>
    <w:rPr>
      <w:rFonts w:ascii="Wingdings" w:hAnsi="Wingdings"/>
    </w:rPr>
  </w:style>
  <w:style w:type="paragraph" w:customStyle="1" w:styleId="TableHeading">
    <w:name w:val="Table Heading"/>
    <w:basedOn w:val="HeadingBase"/>
    <w:rsid w:val="00087803"/>
    <w:pPr>
      <w:keepLines/>
      <w:pBdr>
        <w:bottom w:val="single" w:sz="6" w:space="1" w:color="918585"/>
      </w:pBdr>
      <w:spacing w:before="240"/>
    </w:pPr>
  </w:style>
  <w:style w:type="character" w:customStyle="1" w:styleId="HotSpot">
    <w:name w:val="HotSpot"/>
    <w:rsid w:val="00087803"/>
    <w:rPr>
      <w:color w:val="0033CC"/>
      <w:u w:val="none"/>
    </w:rPr>
  </w:style>
  <w:style w:type="paragraph" w:customStyle="1" w:styleId="BodyTextRight">
    <w:name w:val="Body Text Right"/>
    <w:basedOn w:val="BodyText"/>
    <w:rsid w:val="00087803"/>
    <w:pPr>
      <w:spacing w:before="0" w:after="0"/>
      <w:jc w:val="right"/>
    </w:pPr>
  </w:style>
  <w:style w:type="paragraph" w:styleId="Index3">
    <w:name w:val="index 3"/>
    <w:basedOn w:val="ListNumber2"/>
    <w:next w:val="Normal"/>
    <w:semiHidden/>
    <w:rsid w:val="00087803"/>
    <w:pPr>
      <w:numPr>
        <w:numId w:val="0"/>
      </w:numPr>
      <w:tabs>
        <w:tab w:val="right" w:leader="dot" w:pos="4176"/>
      </w:tabs>
    </w:pPr>
  </w:style>
  <w:style w:type="paragraph" w:styleId="ListNumber2">
    <w:name w:val="List Number 2"/>
    <w:basedOn w:val="List2"/>
    <w:rsid w:val="00087803"/>
    <w:pPr>
      <w:numPr>
        <w:numId w:val="10"/>
      </w:numPr>
      <w:tabs>
        <w:tab w:val="clear" w:pos="1060"/>
      </w:tabs>
    </w:pPr>
  </w:style>
  <w:style w:type="paragraph" w:customStyle="1" w:styleId="MarginNote">
    <w:name w:val="Margin Note"/>
    <w:basedOn w:val="BodyText"/>
    <w:rsid w:val="00087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803"/>
    <w:rPr>
      <w:sz w:val="32"/>
    </w:rPr>
  </w:style>
  <w:style w:type="paragraph" w:customStyle="1" w:styleId="HeadingProcedure">
    <w:name w:val="Heading Procedure"/>
    <w:basedOn w:val="HeadingBase"/>
    <w:next w:val="Normal"/>
    <w:rsid w:val="00087803"/>
    <w:pPr>
      <w:tabs>
        <w:tab w:val="left" w:pos="0"/>
      </w:tabs>
      <w:spacing w:before="120" w:after="60"/>
    </w:pPr>
    <w:rPr>
      <w:i/>
      <w:color w:val="918585"/>
      <w:sz w:val="22"/>
    </w:rPr>
  </w:style>
  <w:style w:type="paragraph" w:customStyle="1" w:styleId="TableBodyText">
    <w:name w:val="Table Body Text"/>
    <w:basedOn w:val="BodyText"/>
    <w:rsid w:val="00087803"/>
    <w:pPr>
      <w:spacing w:before="60" w:after="60"/>
    </w:pPr>
  </w:style>
  <w:style w:type="paragraph" w:styleId="ListContinue">
    <w:name w:val="List Continue"/>
    <w:basedOn w:val="List"/>
    <w:rsid w:val="00087803"/>
    <w:pPr>
      <w:ind w:firstLine="0"/>
    </w:pPr>
  </w:style>
  <w:style w:type="paragraph" w:customStyle="1" w:styleId="ListNote">
    <w:name w:val="List Note"/>
    <w:basedOn w:val="List"/>
    <w:rsid w:val="00087803"/>
    <w:pPr>
      <w:pBdr>
        <w:top w:val="single" w:sz="6" w:space="2" w:color="918585"/>
        <w:bottom w:val="single" w:sz="6" w:space="2" w:color="918585"/>
      </w:pBdr>
      <w:tabs>
        <w:tab w:val="left" w:pos="1021"/>
      </w:tabs>
      <w:ind w:firstLine="0"/>
    </w:pPr>
  </w:style>
  <w:style w:type="paragraph" w:customStyle="1" w:styleId="Warning">
    <w:name w:val="Warning"/>
    <w:basedOn w:val="BodyText"/>
    <w:rsid w:val="00087803"/>
    <w:pPr>
      <w:shd w:val="clear" w:color="auto" w:fill="D9D9D9"/>
      <w:tabs>
        <w:tab w:val="left" w:pos="992"/>
      </w:tabs>
      <w:ind w:left="119" w:right="119"/>
    </w:pPr>
    <w:rPr>
      <w:sz w:val="20"/>
    </w:rPr>
  </w:style>
  <w:style w:type="paragraph" w:customStyle="1" w:styleId="MarginIcons">
    <w:name w:val="Margin Icons"/>
    <w:basedOn w:val="BodyText"/>
    <w:rsid w:val="00087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803"/>
    <w:rPr>
      <w:rFonts w:ascii="Courier New" w:hAnsi="Courier New"/>
    </w:rPr>
  </w:style>
  <w:style w:type="paragraph" w:customStyle="1" w:styleId="NoteBullet">
    <w:name w:val="Note Bullet"/>
    <w:basedOn w:val="Note"/>
    <w:rsid w:val="00087803"/>
    <w:pPr>
      <w:tabs>
        <w:tab w:val="clear" w:pos="680"/>
      </w:tabs>
      <w:spacing w:before="60" w:after="60"/>
    </w:pPr>
  </w:style>
  <w:style w:type="paragraph" w:customStyle="1" w:styleId="SubHeading2">
    <w:name w:val="SubHeading2"/>
    <w:basedOn w:val="HeadingBase"/>
    <w:rsid w:val="00087803"/>
    <w:pPr>
      <w:spacing w:before="240" w:after="60"/>
    </w:pPr>
    <w:rPr>
      <w:sz w:val="20"/>
    </w:rPr>
  </w:style>
  <w:style w:type="paragraph" w:customStyle="1" w:styleId="SubHeading1">
    <w:name w:val="SubHeading1"/>
    <w:basedOn w:val="HeadingBase"/>
    <w:rsid w:val="00087803"/>
    <w:pPr>
      <w:spacing w:before="240" w:after="60"/>
    </w:pPr>
    <w:rPr>
      <w:color w:val="918585"/>
      <w:sz w:val="22"/>
    </w:rPr>
  </w:style>
  <w:style w:type="paragraph" w:customStyle="1" w:styleId="SideHeading">
    <w:name w:val="Side Heading"/>
    <w:basedOn w:val="HeadingBase"/>
    <w:rsid w:val="00087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803"/>
    <w:pPr>
      <w:numPr>
        <w:numId w:val="12"/>
      </w:numPr>
    </w:pPr>
  </w:style>
  <w:style w:type="paragraph" w:styleId="PlainText">
    <w:name w:val="Plain Text"/>
    <w:basedOn w:val="Normal"/>
    <w:link w:val="PlainTextChar"/>
    <w:rsid w:val="00087803"/>
    <w:rPr>
      <w:sz w:val="20"/>
    </w:rPr>
  </w:style>
  <w:style w:type="character" w:customStyle="1" w:styleId="PlainTextChar">
    <w:name w:val="Plain Text Char"/>
    <w:basedOn w:val="DefaultParagraphFont"/>
    <w:link w:val="PlainText"/>
    <w:rsid w:val="00087803"/>
    <w:rPr>
      <w:rFonts w:ascii="Courier New" w:eastAsia="Times New Roman" w:hAnsi="Courier New" w:cs="Times New Roman"/>
      <w:sz w:val="20"/>
      <w:szCs w:val="20"/>
      <w:lang w:eastAsia="en-US"/>
    </w:rPr>
  </w:style>
  <w:style w:type="character" w:customStyle="1" w:styleId="MenuOption">
    <w:name w:val="Menu Option"/>
    <w:basedOn w:val="DefaultParagraphFont"/>
    <w:rsid w:val="00087803"/>
    <w:rPr>
      <w:b/>
      <w:smallCaps/>
    </w:rPr>
  </w:style>
  <w:style w:type="paragraph" w:customStyle="1" w:styleId="TableListNumber">
    <w:name w:val="Table List Number"/>
    <w:basedOn w:val="ListNumber"/>
    <w:rsid w:val="00087803"/>
    <w:pPr>
      <w:numPr>
        <w:numId w:val="0"/>
      </w:numPr>
    </w:pPr>
  </w:style>
  <w:style w:type="paragraph" w:styleId="TOC4">
    <w:name w:val="toc 4"/>
    <w:basedOn w:val="TOCBase"/>
    <w:next w:val="Normal"/>
    <w:semiHidden/>
    <w:rsid w:val="00087803"/>
    <w:pPr>
      <w:tabs>
        <w:tab w:val="right" w:leader="dot" w:pos="9071"/>
      </w:tabs>
      <w:ind w:left="1701"/>
    </w:pPr>
  </w:style>
  <w:style w:type="paragraph" w:customStyle="1" w:styleId="ListAlpha">
    <w:name w:val="List Alpha"/>
    <w:basedOn w:val="List"/>
    <w:rsid w:val="00087803"/>
    <w:pPr>
      <w:numPr>
        <w:numId w:val="9"/>
      </w:numPr>
    </w:pPr>
  </w:style>
  <w:style w:type="paragraph" w:customStyle="1" w:styleId="ListAlpha2">
    <w:name w:val="List Alpha 2"/>
    <w:basedOn w:val="List2"/>
    <w:rsid w:val="00087803"/>
    <w:pPr>
      <w:numPr>
        <w:numId w:val="8"/>
      </w:numPr>
    </w:pPr>
  </w:style>
  <w:style w:type="paragraph" w:styleId="List2">
    <w:name w:val="List 2"/>
    <w:basedOn w:val="BodyText"/>
    <w:rsid w:val="00087803"/>
    <w:pPr>
      <w:tabs>
        <w:tab w:val="left" w:pos="680"/>
      </w:tabs>
      <w:spacing w:before="60" w:after="60"/>
      <w:ind w:left="680" w:hanging="340"/>
    </w:pPr>
  </w:style>
  <w:style w:type="paragraph" w:styleId="List3">
    <w:name w:val="List 3"/>
    <w:basedOn w:val="BodyText"/>
    <w:rsid w:val="00087803"/>
    <w:pPr>
      <w:tabs>
        <w:tab w:val="left" w:pos="1021"/>
      </w:tabs>
      <w:spacing w:before="60" w:after="60"/>
      <w:ind w:left="1020" w:hanging="340"/>
    </w:pPr>
  </w:style>
  <w:style w:type="paragraph" w:styleId="List4">
    <w:name w:val="List 4"/>
    <w:basedOn w:val="BodyText"/>
    <w:rsid w:val="00087803"/>
    <w:pPr>
      <w:tabs>
        <w:tab w:val="left" w:pos="1361"/>
      </w:tabs>
      <w:spacing w:before="60" w:after="60"/>
      <w:ind w:left="1361" w:hanging="340"/>
    </w:pPr>
  </w:style>
  <w:style w:type="paragraph" w:styleId="List5">
    <w:name w:val="List 5"/>
    <w:basedOn w:val="BodyText"/>
    <w:rsid w:val="00087803"/>
    <w:pPr>
      <w:tabs>
        <w:tab w:val="left" w:pos="1701"/>
      </w:tabs>
      <w:spacing w:before="60" w:after="60"/>
      <w:ind w:left="1701" w:hanging="340"/>
    </w:pPr>
  </w:style>
  <w:style w:type="paragraph" w:styleId="ListBullet3">
    <w:name w:val="List Bullet 3"/>
    <w:basedOn w:val="List3"/>
    <w:rsid w:val="00087803"/>
    <w:pPr>
      <w:numPr>
        <w:numId w:val="15"/>
      </w:numPr>
      <w:tabs>
        <w:tab w:val="clear" w:pos="1021"/>
      </w:tabs>
      <w:ind w:left="1037" w:hanging="357"/>
    </w:pPr>
  </w:style>
  <w:style w:type="paragraph" w:styleId="ListBullet4">
    <w:name w:val="List Bullet 4"/>
    <w:basedOn w:val="List4"/>
    <w:rsid w:val="00087803"/>
    <w:pPr>
      <w:numPr>
        <w:numId w:val="3"/>
      </w:numPr>
    </w:pPr>
  </w:style>
  <w:style w:type="paragraph" w:styleId="ListBullet5">
    <w:name w:val="List Bullet 5"/>
    <w:basedOn w:val="List5"/>
    <w:rsid w:val="00087803"/>
    <w:pPr>
      <w:numPr>
        <w:numId w:val="4"/>
      </w:numPr>
    </w:pPr>
  </w:style>
  <w:style w:type="paragraph" w:styleId="ListContinue2">
    <w:name w:val="List Continue 2"/>
    <w:basedOn w:val="List2"/>
    <w:rsid w:val="00087803"/>
    <w:pPr>
      <w:ind w:firstLine="0"/>
    </w:pPr>
  </w:style>
  <w:style w:type="paragraph" w:styleId="ListContinue3">
    <w:name w:val="List Continue 3"/>
    <w:basedOn w:val="List3"/>
    <w:rsid w:val="00087803"/>
    <w:pPr>
      <w:ind w:left="1021" w:firstLine="0"/>
    </w:pPr>
  </w:style>
  <w:style w:type="paragraph" w:styleId="ListContinue4">
    <w:name w:val="List Continue 4"/>
    <w:basedOn w:val="List4"/>
    <w:rsid w:val="00087803"/>
    <w:pPr>
      <w:ind w:firstLine="0"/>
    </w:pPr>
  </w:style>
  <w:style w:type="paragraph" w:styleId="ListContinue5">
    <w:name w:val="List Continue 5"/>
    <w:basedOn w:val="List5"/>
    <w:rsid w:val="00087803"/>
    <w:pPr>
      <w:ind w:firstLine="0"/>
    </w:pPr>
  </w:style>
  <w:style w:type="paragraph" w:styleId="ListNumber3">
    <w:name w:val="List Number 3"/>
    <w:basedOn w:val="List3"/>
    <w:rsid w:val="00087803"/>
    <w:pPr>
      <w:numPr>
        <w:numId w:val="5"/>
      </w:numPr>
    </w:pPr>
  </w:style>
  <w:style w:type="paragraph" w:styleId="ListNumber4">
    <w:name w:val="List Number 4"/>
    <w:basedOn w:val="List4"/>
    <w:rsid w:val="00087803"/>
    <w:pPr>
      <w:numPr>
        <w:numId w:val="6"/>
      </w:numPr>
    </w:pPr>
  </w:style>
  <w:style w:type="paragraph" w:styleId="ListNumber5">
    <w:name w:val="List Number 5"/>
    <w:basedOn w:val="List5"/>
    <w:rsid w:val="00087803"/>
    <w:pPr>
      <w:numPr>
        <w:numId w:val="7"/>
      </w:numPr>
    </w:pPr>
  </w:style>
  <w:style w:type="paragraph" w:styleId="BlockText">
    <w:name w:val="Block Text"/>
    <w:basedOn w:val="Normal"/>
    <w:rsid w:val="00087803"/>
    <w:pPr>
      <w:spacing w:after="120"/>
      <w:ind w:left="1440" w:right="1440"/>
    </w:pPr>
  </w:style>
  <w:style w:type="character" w:customStyle="1" w:styleId="Subscript">
    <w:name w:val="Subscript"/>
    <w:basedOn w:val="DefaultParagraphFont"/>
    <w:rsid w:val="00087803"/>
    <w:rPr>
      <w:sz w:val="16"/>
      <w:vertAlign w:val="subscript"/>
    </w:rPr>
  </w:style>
  <w:style w:type="character" w:customStyle="1" w:styleId="Superscript">
    <w:name w:val="Superscript"/>
    <w:basedOn w:val="DefaultParagraphFont"/>
    <w:rsid w:val="00087803"/>
    <w:rPr>
      <w:sz w:val="16"/>
      <w:vertAlign w:val="superscript"/>
    </w:rPr>
  </w:style>
  <w:style w:type="character" w:customStyle="1" w:styleId="Symbols">
    <w:name w:val="Symbols"/>
    <w:basedOn w:val="DefaultParagraphFont"/>
    <w:rsid w:val="00087803"/>
    <w:rPr>
      <w:rFonts w:ascii="Symbol" w:hAnsi="Symbol"/>
    </w:rPr>
  </w:style>
  <w:style w:type="character" w:customStyle="1" w:styleId="MenuOptions">
    <w:name w:val="Menu Options"/>
    <w:basedOn w:val="DefaultParagraphFont"/>
    <w:rsid w:val="00087803"/>
    <w:rPr>
      <w:rFonts w:ascii="Arial Narrow" w:hAnsi="Arial Narrow"/>
      <w:smallCaps/>
    </w:rPr>
  </w:style>
  <w:style w:type="character" w:customStyle="1" w:styleId="Buttons">
    <w:name w:val="Buttons"/>
    <w:basedOn w:val="DefaultParagraphFont"/>
    <w:rsid w:val="00087803"/>
    <w:rPr>
      <w:b/>
    </w:rPr>
  </w:style>
  <w:style w:type="character" w:customStyle="1" w:styleId="Underlined">
    <w:name w:val="Underlined"/>
    <w:basedOn w:val="DefaultParagraphFont"/>
    <w:rsid w:val="00087803"/>
    <w:rPr>
      <w:u w:val="single"/>
    </w:rPr>
  </w:style>
  <w:style w:type="paragraph" w:customStyle="1" w:styleId="TableBodyTextRight">
    <w:name w:val="Table Body Text Right"/>
    <w:basedOn w:val="TableBodyText"/>
    <w:rsid w:val="00087803"/>
    <w:pPr>
      <w:widowControl w:val="0"/>
      <w:autoSpaceDE w:val="0"/>
      <w:autoSpaceDN w:val="0"/>
      <w:adjustRightInd w:val="0"/>
      <w:jc w:val="right"/>
    </w:pPr>
    <w:rPr>
      <w:rFonts w:cs="Arial"/>
      <w:szCs w:val="18"/>
    </w:rPr>
  </w:style>
  <w:style w:type="paragraph" w:customStyle="1" w:styleId="CopyrightText">
    <w:name w:val="Copyright Text"/>
    <w:basedOn w:val="BodyText"/>
    <w:rsid w:val="00087803"/>
    <w:rPr>
      <w:sz w:val="18"/>
    </w:rPr>
  </w:style>
  <w:style w:type="paragraph" w:customStyle="1" w:styleId="BodySmallRight">
    <w:name w:val="Body Small Right"/>
    <w:basedOn w:val="BodyTextRight"/>
    <w:rsid w:val="00087803"/>
    <w:rPr>
      <w:sz w:val="18"/>
      <w:szCs w:val="18"/>
    </w:rPr>
  </w:style>
  <w:style w:type="paragraph" w:customStyle="1" w:styleId="MarginEdition">
    <w:name w:val="Margin Edition"/>
    <w:basedOn w:val="MarginNote"/>
    <w:rsid w:val="00087803"/>
    <w:pPr>
      <w:spacing w:before="0" w:after="0"/>
    </w:pPr>
    <w:rPr>
      <w:rFonts w:ascii="Times New Roman" w:hAnsi="Times New Roman"/>
      <w:color w:val="999999"/>
    </w:rPr>
  </w:style>
  <w:style w:type="paragraph" w:customStyle="1" w:styleId="Spacer">
    <w:name w:val="Spacer"/>
    <w:basedOn w:val="Normal"/>
    <w:rsid w:val="00087803"/>
    <w:rPr>
      <w:sz w:val="2"/>
      <w:szCs w:val="2"/>
    </w:rPr>
  </w:style>
  <w:style w:type="character" w:customStyle="1" w:styleId="Small">
    <w:name w:val="Small"/>
    <w:basedOn w:val="DefaultParagraphFont"/>
    <w:rsid w:val="00087803"/>
    <w:rPr>
      <w:sz w:val="16"/>
    </w:rPr>
  </w:style>
  <w:style w:type="paragraph" w:customStyle="1" w:styleId="WideTable">
    <w:name w:val="Wide Table"/>
    <w:basedOn w:val="Normal"/>
    <w:rsid w:val="00087803"/>
    <w:pPr>
      <w:ind w:left="-1418"/>
    </w:pPr>
    <w:rPr>
      <w:sz w:val="2"/>
      <w:szCs w:val="2"/>
    </w:rPr>
  </w:style>
  <w:style w:type="character" w:styleId="PageNumber">
    <w:name w:val="page number"/>
    <w:basedOn w:val="DefaultParagraphFont"/>
    <w:rsid w:val="00087803"/>
  </w:style>
  <w:style w:type="paragraph" w:styleId="Quote">
    <w:name w:val="Quote"/>
    <w:basedOn w:val="Heading1"/>
    <w:link w:val="QuoteChar"/>
    <w:qFormat/>
    <w:rsid w:val="00087803"/>
    <w:rPr>
      <w:b w:val="0"/>
      <w:sz w:val="72"/>
      <w:szCs w:val="72"/>
      <w:lang w:val="en-NZ"/>
    </w:rPr>
  </w:style>
  <w:style w:type="character" w:customStyle="1" w:styleId="QuoteChar">
    <w:name w:val="Quote Char"/>
    <w:basedOn w:val="DefaultParagraphFont"/>
    <w:link w:val="Quote"/>
    <w:rsid w:val="00087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803"/>
    <w:pPr>
      <w:pageBreakBefore/>
    </w:pPr>
  </w:style>
  <w:style w:type="paragraph" w:customStyle="1" w:styleId="Border">
    <w:name w:val="Border"/>
    <w:basedOn w:val="Normal"/>
    <w:qFormat/>
    <w:rsid w:val="00087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803"/>
    <w:rPr>
      <w:b/>
      <w:bCs/>
      <w:i/>
      <w:iCs/>
      <w:color w:val="auto"/>
    </w:rPr>
  </w:style>
  <w:style w:type="paragraph" w:styleId="IntenseQuote">
    <w:name w:val="Intense Quote"/>
    <w:basedOn w:val="Normal"/>
    <w:next w:val="Normal"/>
    <w:link w:val="IntenseQuoteChar"/>
    <w:uiPriority w:val="30"/>
    <w:qFormat/>
    <w:rsid w:val="00087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803"/>
    <w:rPr>
      <w:smallCaps/>
      <w:color w:val="auto"/>
      <w:u w:val="single"/>
    </w:rPr>
  </w:style>
  <w:style w:type="character" w:styleId="IntenseReference">
    <w:name w:val="Intense Reference"/>
    <w:basedOn w:val="DefaultParagraphFont"/>
    <w:uiPriority w:val="32"/>
    <w:qFormat/>
    <w:rsid w:val="00087803"/>
    <w:rPr>
      <w:b/>
      <w:bCs/>
      <w:smallCaps/>
      <w:color w:val="auto"/>
      <w:spacing w:val="5"/>
      <w:u w:val="single"/>
    </w:rPr>
  </w:style>
  <w:style w:type="paragraph" w:customStyle="1" w:styleId="2ColumnHeading">
    <w:name w:val="2Column Heading"/>
    <w:basedOn w:val="BodyText"/>
    <w:qFormat/>
    <w:rsid w:val="00087803"/>
    <w:pPr>
      <w:spacing w:after="60"/>
      <w:ind w:left="-2268"/>
    </w:pPr>
    <w:rPr>
      <w:b/>
    </w:rPr>
  </w:style>
  <w:style w:type="paragraph" w:customStyle="1" w:styleId="Heading1TOC">
    <w:name w:val="Heading1 TOC"/>
    <w:basedOn w:val="Normal"/>
    <w:qFormat/>
    <w:rsid w:val="00087803"/>
    <w:pPr>
      <w:spacing w:before="240" w:after="120"/>
    </w:pPr>
    <w:rPr>
      <w:rFonts w:ascii="Times New Roman" w:hAnsi="Times New Roman"/>
      <w:b/>
      <w:sz w:val="32"/>
    </w:rPr>
  </w:style>
  <w:style w:type="paragraph" w:customStyle="1" w:styleId="Heading2TOC">
    <w:name w:val="Heading2 TOC"/>
    <w:basedOn w:val="Normal"/>
    <w:qFormat/>
    <w:rsid w:val="00087803"/>
    <w:pPr>
      <w:spacing w:before="240" w:after="60"/>
    </w:pPr>
    <w:rPr>
      <w:rFonts w:ascii="Times New Roman" w:hAnsi="Times New Roman"/>
      <w:b/>
      <w:sz w:val="28"/>
    </w:rPr>
  </w:style>
  <w:style w:type="character" w:customStyle="1" w:styleId="Underline">
    <w:name w:val="Underline"/>
    <w:basedOn w:val="DefaultParagraphFont"/>
    <w:qFormat/>
    <w:rsid w:val="00087803"/>
    <w:rPr>
      <w:u w:val="single"/>
    </w:rPr>
  </w:style>
  <w:style w:type="paragraph" w:styleId="BalloonText">
    <w:name w:val="Balloon Text"/>
    <w:basedOn w:val="Normal"/>
    <w:link w:val="BalloonTextChar"/>
    <w:rsid w:val="00087803"/>
    <w:rPr>
      <w:rFonts w:ascii="Tahoma" w:hAnsi="Tahoma" w:cs="Tahoma"/>
      <w:sz w:val="16"/>
      <w:szCs w:val="16"/>
    </w:rPr>
  </w:style>
  <w:style w:type="character" w:customStyle="1" w:styleId="BalloonTextChar">
    <w:name w:val="Balloon Text Char"/>
    <w:basedOn w:val="DefaultParagraphFont"/>
    <w:link w:val="BalloonText"/>
    <w:rsid w:val="00087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8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803"/>
    <w:rPr>
      <w:b/>
      <w:color w:val="660033"/>
      <w:spacing w:val="0"/>
    </w:rPr>
  </w:style>
  <w:style w:type="paragraph" w:customStyle="1" w:styleId="Nameditemlist">
    <w:name w:val="Named item list"/>
    <w:basedOn w:val="BodyText"/>
    <w:qFormat/>
    <w:rsid w:val="000878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1338</Words>
  <Characters>8603</Characters>
  <Application>Microsoft Office Word</Application>
  <DocSecurity>0</DocSecurity>
  <Lines>282</Lines>
  <Paragraphs>152</Paragraphs>
  <ScaleCrop>false</ScaleCrop>
  <Company>Author-it Software Corporation Ltd.</Company>
  <LinksUpToDate>false</LinksUpToDate>
  <CharactersWithSpaces>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MARO5002A Transmit and receive information by the Global Maritime Distress and Safety System</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2013-06-06T05:19:00Z</dcterms:created>
  <dcterms:modified xsi:type="dcterms:W3CDTF">2013-06-06T05:19:00Z</dcterms:modified>
</cp:coreProperties>
</file>