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BAD" w:rsidP="00E56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MARN5001A Maintain seaworthiness of a vessel</w:t>
      </w:r>
      <w:r>
        <w:fldChar w:fldCharType="end"/>
      </w:r>
    </w:p>
    <w:p w:rsidR="00E56BAD" w:rsidP="00E56BAD">
      <w:pPr>
        <w:pStyle w:val="Version"/>
        <w:sectPr w:rsidSect="00081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1FCF" w:rsidP="00081FCF">
      <w:pPr>
        <w:pStyle w:val="SuperHeading"/>
      </w:pPr>
      <w:r w:rsidRPr="00081FCF">
        <w:t>MARN5001A Maintain seaworthiness of a vessel</w:t>
      </w:r>
    </w:p>
    <w:p w:rsidR="00000000" w:rsidRPr="00081FCF" w:rsidP="00081FCF">
      <w:pPr>
        <w:pStyle w:val="Heading1"/>
      </w:pPr>
      <w:bookmarkStart w:id="1" w:name="O_538891"/>
      <w:bookmarkEnd w:id="1"/>
      <w:r w:rsidRPr="00081FCF">
        <w:t>Modification History</w:t>
      </w:r>
    </w:p>
    <w:p w:rsidR="00000000" w:rsidRPr="00081FCF" w:rsidP="00081FCF">
      <w:pPr>
        <w:pStyle w:val="BodyText"/>
      </w:pPr>
      <w:r w:rsidRPr="00081FCF">
        <w:t>Release 1</w:t>
      </w:r>
    </w:p>
    <w:p w:rsidR="00000000" w:rsidRPr="00081FCF" w:rsidP="00081FCF">
      <w:pPr>
        <w:pStyle w:val="BodyText"/>
      </w:pPr>
      <w:r w:rsidRPr="00081FCF">
        <w:t>This is the first release of this unit.</w:t>
      </w:r>
    </w:p>
    <w:p w:rsidR="00000000" w:rsidRPr="00081FCF" w:rsidP="00081FCF">
      <w:pPr>
        <w:pStyle w:val="BodyText"/>
      </w:pPr>
      <w:r w:rsidRPr="00081FCF">
        <w:t>This unit replaces and is equivalent to TDMMB4607A Apply information on vessel structure to maintenance and seaworthiness.</w:t>
      </w: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2" w:name="O_538903"/>
      <w:bookmarkEnd w:id="2"/>
      <w:r w:rsidRPr="00081FCF">
        <w:t>Unit Descriptor</w:t>
      </w:r>
    </w:p>
    <w:p w:rsidR="00000000" w:rsidRPr="00081FCF" w:rsidP="00081FCF">
      <w:pPr>
        <w:pStyle w:val="BodyText"/>
      </w:pPr>
      <w:r w:rsidRPr="00081FCF">
        <w:t>This unit involves the skills</w:t>
      </w:r>
      <w:r w:rsidRPr="00081FCF">
        <w:t xml:space="preserve"> and knowledge required to maintain the seaworthiness of a vessel.</w:t>
      </w: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3" w:name="O_538902"/>
      <w:bookmarkEnd w:id="3"/>
      <w:r w:rsidRPr="00081FCF">
        <w:t>Application of the Unit</w:t>
      </w:r>
    </w:p>
    <w:p w:rsidR="00000000" w:rsidRPr="00081FCF" w:rsidP="00081FCF">
      <w:pPr>
        <w:pStyle w:val="BodyText"/>
      </w:pPr>
      <w:r w:rsidRPr="00081FCF">
        <w:t>This unit has application for a Watchkeeper Deck and Master &lt; 500 GT.</w:t>
      </w: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4" w:name="O_538901"/>
      <w:bookmarkEnd w:id="4"/>
      <w:r w:rsidRPr="00081FCF">
        <w:t>Licensing/Regulatory Information</w:t>
      </w:r>
    </w:p>
    <w:p w:rsidR="00000000" w:rsidRPr="00081FCF" w:rsidP="00081FCF">
      <w:pPr>
        <w:pStyle w:val="BodyText"/>
      </w:pPr>
      <w:r w:rsidRPr="00081FCF">
        <w:t>Not applicable.</w:t>
      </w: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5" w:name="O_538900"/>
      <w:bookmarkEnd w:id="5"/>
      <w:r w:rsidRPr="00081FCF">
        <w:t>Pre-Requisites</w:t>
      </w:r>
    </w:p>
    <w:p w:rsidR="00000000" w:rsidRPr="00081FCF" w:rsidP="00081FCF">
      <w:pPr>
        <w:pStyle w:val="BodyText"/>
      </w:pPr>
      <w:r w:rsidRPr="00081FCF">
        <w:t>Not applicable.</w:t>
      </w: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6" w:name="O_538899"/>
      <w:bookmarkEnd w:id="6"/>
      <w:r w:rsidRPr="00081FCF">
        <w:t>Employability Skills Information</w:t>
      </w:r>
    </w:p>
    <w:p w:rsidR="00000000" w:rsidRPr="00081FCF" w:rsidP="00081FCF">
      <w:pPr>
        <w:pStyle w:val="BodyText"/>
      </w:pPr>
      <w:r w:rsidRPr="00081FCF">
        <w:t>This unit contains employability skills.</w:t>
      </w: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7" w:name="O_538898"/>
      <w:bookmarkEnd w:id="7"/>
      <w:r w:rsidRPr="00081FC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81FCF" w:rsidP="00081FCF">
      <w:pPr>
        <w:pStyle w:val="BodyText"/>
      </w:pP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8" w:name="O_538897"/>
      <w:bookmarkEnd w:id="8"/>
      <w:r w:rsidRPr="00081FC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Check weather tight and watertight integrity of vessel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BoldandItalics"/>
              </w:rPr>
              <w:t xml:space="preserve">Structural members of vessel </w:t>
            </w:r>
            <w:r w:rsidRPr="00081FCF">
              <w:t>are investigated to establish weather tight and watertight requirements of vessel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BoldandItalics"/>
              </w:rPr>
              <w:t xml:space="preserve">Inspections of vessel </w:t>
            </w:r>
            <w:r w:rsidRPr="00081FCF">
              <w:t>are planned according to regulatory and organisational re</w:t>
            </w:r>
            <w:r w:rsidRPr="00081FCF">
              <w:t>quirements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Checks are completed to confirm weather tight and watertight integrity of vessel at all times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BoldandItalics"/>
              </w:rPr>
              <w:t>Defects and damage</w:t>
            </w:r>
            <w:r w:rsidRPr="00081FCF">
              <w:t xml:space="preserve"> to vessel are identified and reported according to organisational procedures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Take action to meet environmental changes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 xml:space="preserve">Anticipated sea and weather conditions are analysed to identify </w:t>
            </w:r>
            <w:r w:rsidRPr="00081FCF">
              <w:rPr>
                <w:rStyle w:val="BoldandItalics"/>
              </w:rPr>
              <w:t>situations that may jeopardise vessel weather tight and watertight integrity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Effect of severe wind and rolling in associated sea conditions on vessel weather tight and watertight integrity is recognised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Effect of water on deck on vessel weather tight and watertight integrity is ascertained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BoldandItalics"/>
              </w:rPr>
              <w:t>Appropriate action</w:t>
            </w:r>
            <w:r w:rsidRPr="00081FCF">
              <w:t xml:space="preserve"> is taken </w:t>
            </w:r>
            <w:r w:rsidRPr="00081FCF">
              <w:t>to maintain vessel weather tight and watertight integrity according to organisational procedures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Maintain records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BoldandItalics"/>
              </w:rPr>
              <w:t>Relevant documents and records</w:t>
            </w:r>
            <w:r w:rsidRPr="00081FCF">
              <w:t xml:space="preserve"> are completed and maintained as required according to regulatory and organisational requirements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Relevant documents are sent to appropriate bodies and copies are filed according to regulatory and organisational requirements</w:t>
            </w:r>
          </w:p>
        </w:tc>
      </w:tr>
      <w:tr w:rsidTr="00E5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Documents are stored according to regulatory and organisational requirements</w:t>
            </w:r>
          </w:p>
        </w:tc>
      </w:tr>
    </w:tbl>
    <w:p w:rsidR="00000000" w:rsidRPr="00081FCF" w:rsidP="00081FCF">
      <w:pPr>
        <w:pStyle w:val="BodyText"/>
      </w:pP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9" w:name="O_538896"/>
      <w:bookmarkEnd w:id="9"/>
      <w:r w:rsidRPr="00081FCF">
        <w:t>Req</w:t>
      </w:r>
      <w:r w:rsidRPr="00081FCF">
        <w:t>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This section describes the skills and knowledge required for this unit.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Required Skills: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Complete required records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Read and interpret vessel specifications and drawings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>Take actions to ensure and maintain the weather tight and watertight integrity of vessel</w:t>
            </w:r>
          </w:p>
        </w:tc>
      </w:tr>
    </w:tbl>
    <w:p w:rsidR="00000000" w:rsidRPr="00081FCF" w:rsidP="00081FC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Required Knowledge: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Application of appropriate safety, environment and hazard control procedures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Characteristics of stress and the principal stresses acting on a</w:t>
            </w:r>
            <w:r w:rsidRPr="00081FCF">
              <w:t xml:space="preserve"> vessel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Corrosion control methods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Damage control measures that may be required to maintain the integrity of the hull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Fundamental actions to be taken in the event of partial loss of intact buoyancy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Fundamentals of watertight integrity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Maintenance procedures contained in the safety management system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Principal materials used in the construction of a vessel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Principal structured members and layout of a vessel and the proper names for various parts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Principles and procedures to ensure t</w:t>
            </w:r>
            <w:r w:rsidRPr="00081FCF">
              <w:t>he watertight integrity of vessel hull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Procedures for checking and inspecting vessel seaworthiness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Stability, trim and stress tables, diagrams and stress calculating equipment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>Work health and safety (WHS)/occupational health and safety (OHS) requirements and work practices</w:t>
            </w:r>
          </w:p>
        </w:tc>
      </w:tr>
    </w:tbl>
    <w:p w:rsidR="00E56BAD" w:rsidP="00081FCF">
      <w:pPr>
        <w:pStyle w:val="BodyText"/>
      </w:pPr>
    </w:p>
    <w:p w:rsidR="00E56BAD" w:rsidP="00081FCF">
      <w:pPr>
        <w:pStyle w:val="BodyText"/>
      </w:pPr>
    </w:p>
    <w:p w:rsidR="00000000" w:rsidRPr="00081FCF" w:rsidP="00081FCF">
      <w:pPr>
        <w:pStyle w:val="Heading1"/>
      </w:pPr>
      <w:bookmarkStart w:id="10" w:name="O_538895"/>
      <w:bookmarkEnd w:id="10"/>
      <w:r w:rsidRPr="00081FC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081F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The evidence guide provides advice on assessment and must be read in conjunction with the performance criteria, the require</w:t>
            </w:r>
            <w:r w:rsidRPr="00081FCF">
              <w:t>d skills and knowledge, the range statement and the Assessment Guidelines for the Training Package.</w:t>
            </w:r>
          </w:p>
        </w:tc>
      </w:tr>
      <w:tr w:rsidTr="00081F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081FCF" w:rsidP="00081FCF">
            <w:pPr>
              <w:pStyle w:val="ListBullet"/>
            </w:pPr>
            <w:r w:rsidRPr="00081FCF">
              <w:t>attention to appropriate level of detail in record</w:t>
            </w:r>
            <w:r w:rsidRPr="00081FCF">
              <w:t>keeping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awareness of one’s surroundings and changes to these surroundings.</w:t>
            </w:r>
          </w:p>
        </w:tc>
      </w:tr>
      <w:tr w:rsidTr="00081F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Performance is demonstrated consistently over time and in a suitable range of contexts.</w:t>
            </w:r>
          </w:p>
          <w:p w:rsidR="00000000" w:rsidRPr="00081FCF" w:rsidP="00081FCF">
            <w:pPr>
              <w:pStyle w:val="BodyText"/>
            </w:pPr>
            <w:r w:rsidRPr="00081FCF">
              <w:t>Resources for assessment include access to:</w:t>
            </w:r>
          </w:p>
          <w:p w:rsidR="00000000" w:rsidRPr="00081FCF" w:rsidP="00081FCF">
            <w:pPr>
              <w:pStyle w:val="ListBullet"/>
            </w:pPr>
            <w:r w:rsidRPr="00081FCF">
              <w:t xml:space="preserve">industry-approved marine operations site where maintaining seaworthiness of a vessel can be conducted </w:t>
            </w:r>
          </w:p>
          <w:p w:rsidR="00000000" w:rsidRPr="00081FCF" w:rsidP="00081FCF">
            <w:pPr>
              <w:pStyle w:val="ListBullet"/>
            </w:pPr>
            <w:r w:rsidRPr="00081FCF">
              <w:t>marine operations site where assessment of damage control measures may be demonstrated</w:t>
            </w:r>
          </w:p>
          <w:p w:rsidR="00000000" w:rsidRPr="00081FCF" w:rsidP="00081FCF">
            <w:pPr>
              <w:pStyle w:val="ListBullet"/>
            </w:pPr>
            <w:r w:rsidRPr="00081FCF">
              <w:t>tools, equipment and personal protective equipment currently used in industry</w:t>
            </w:r>
          </w:p>
          <w:p w:rsidR="00000000" w:rsidRPr="00081FCF" w:rsidP="00081FCF">
            <w:pPr>
              <w:pStyle w:val="ListBullet"/>
            </w:pPr>
            <w:r w:rsidRPr="00081FCF">
              <w:t>relevant regulatory and equipment documentation that impacts on work activities</w:t>
            </w:r>
          </w:p>
          <w:p w:rsidR="00000000" w:rsidRPr="00081FCF" w:rsidP="00081FCF">
            <w:pPr>
              <w:pStyle w:val="ListBullet"/>
            </w:pPr>
            <w:r w:rsidRPr="00081FCF">
              <w:t>range of relevant exercises, case studies and/or other simulated practical and knowledge assessmen</w:t>
            </w:r>
            <w:r w:rsidRPr="00081FCF">
              <w:t>ts</w:t>
            </w:r>
          </w:p>
          <w:p w:rsidR="00000000" w:rsidRPr="00081FCF" w:rsidP="00081FCF">
            <w:pPr>
              <w:pStyle w:val="ListBullet"/>
            </w:pPr>
            <w:r w:rsidRPr="00081FCF">
              <w:t>appropriate range of relevant operational situations in the workplace.</w:t>
            </w:r>
          </w:p>
          <w:p w:rsidR="00000000" w:rsidRPr="00081FCF" w:rsidP="00081FCF">
            <w:pPr>
              <w:pStyle w:val="BodyText"/>
            </w:pPr>
            <w:r w:rsidRPr="00081FCF">
              <w:t>In both real and simulated environments, access is required to:</w:t>
            </w:r>
          </w:p>
          <w:p w:rsidR="00000000" w:rsidRPr="00081FCF" w:rsidP="00081FCF">
            <w:pPr>
              <w:pStyle w:val="ListBullet"/>
            </w:pPr>
            <w:r w:rsidRPr="00081FCF">
              <w:t>relevant and appropriate materials and equipment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applicable documentation including workplace procedures, regulations</w:t>
            </w:r>
            <w:r w:rsidRPr="00081FCF">
              <w:t>, codes of practice and operation manuals.</w:t>
            </w:r>
          </w:p>
        </w:tc>
      </w:tr>
      <w:tr w:rsidTr="00081F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Practical assessment must occur in an:</w:t>
            </w:r>
          </w:p>
          <w:p w:rsidR="00000000" w:rsidRPr="00081FCF" w:rsidP="00081FCF">
            <w:pPr>
              <w:pStyle w:val="ListBullet"/>
            </w:pPr>
            <w:r w:rsidRPr="00081FCF">
              <w:t>appropriately simulated workplace environment and/or</w:t>
            </w:r>
          </w:p>
          <w:p w:rsidR="00000000" w:rsidRPr="00081FCF" w:rsidP="00081FCF">
            <w:pPr>
              <w:pStyle w:val="ListBullet"/>
            </w:pPr>
            <w:r w:rsidRPr="00081FCF">
              <w:t>appropriate range of situations in the workplace.</w:t>
            </w:r>
          </w:p>
          <w:p w:rsidR="00000000" w:rsidRPr="00081FCF" w:rsidP="00081FCF">
            <w:pPr>
              <w:pStyle w:val="BodyText"/>
            </w:pPr>
            <w:r w:rsidRPr="00081FCF">
              <w:t xml:space="preserve">A range of assessment methods should be used to </w:t>
            </w:r>
            <w:r w:rsidRPr="00081FCF">
              <w:t>assess practical skills and knowledge. The following examples are appropriate to this unit:</w:t>
            </w:r>
          </w:p>
          <w:p w:rsidR="00000000" w:rsidRPr="00081FCF" w:rsidP="00081FCF">
            <w:pPr>
              <w:pStyle w:val="ListBullet"/>
            </w:pPr>
            <w:r w:rsidRPr="00081FCF">
              <w:t>direct observation of the candidate maintaining seaworthiness of a vessel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direct observation of the candidate applying relevant WHS/OHS requirements and work pract</w:t>
            </w:r>
            <w:r w:rsidRPr="00081FCF">
              <w:t>ices.</w:t>
            </w:r>
          </w:p>
        </w:tc>
      </w:tr>
      <w:tr w:rsidTr="00081F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BodyText"/>
            </w:pPr>
            <w:r w:rsidRPr="00081FCF">
              <w:t>Holistic assessment with other units relevant to the industry sector, workplace and job role is recommended.</w:t>
            </w:r>
          </w:p>
          <w:p w:rsidR="00000000" w:rsidRPr="00081FCF" w:rsidP="00081FCF">
            <w:pPr>
              <w:pStyle w:val="BodyText"/>
            </w:pPr>
            <w:r w:rsidRPr="00081FCF">
              <w:t>In all cases where practical assessment is used it should be combined with targeted questioning to assess Required Knowledge.</w:t>
            </w:r>
          </w:p>
          <w:p w:rsidR="00000000" w:rsidRPr="00081FCF" w:rsidP="00081FCF">
            <w:pPr>
              <w:pStyle w:val="BodyText"/>
            </w:pPr>
            <w:r w:rsidRPr="00081FCF">
              <w:t xml:space="preserve">Assessment processes and techniques must be appropriate to the language and literacy requirements of the work being performed and </w:t>
            </w:r>
            <w:r w:rsidRPr="00081FCF">
              <w:t>the capacity of the candidate.</w:t>
            </w:r>
          </w:p>
        </w:tc>
      </w:tr>
    </w:tbl>
    <w:p w:rsidR="00000000" w:rsidRPr="00081FCF" w:rsidP="00081FCF">
      <w:pPr>
        <w:pStyle w:val="BodyText"/>
      </w:pP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11" w:name="O_538894"/>
      <w:bookmarkEnd w:id="11"/>
      <w:r w:rsidRPr="00081FC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The range statement relates to the unit of competency as a whole. It allows for different work environments and situations that may affect performance. Bold italicised wording, if used in th</w:t>
            </w:r>
            <w:r w:rsidRPr="00081FCF">
              <w:t>e performance criteria, is detailed below.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Structural members of vessel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>Bulkheads including the collision bulkhead</w:t>
            </w:r>
          </w:p>
          <w:p w:rsidR="00000000" w:rsidRPr="00081FCF" w:rsidP="00081FCF">
            <w:pPr>
              <w:pStyle w:val="ListBullet"/>
            </w:pPr>
            <w:r w:rsidRPr="00081FCF">
              <w:t>Frames</w:t>
            </w:r>
          </w:p>
          <w:p w:rsidR="00000000" w:rsidRPr="00081FCF" w:rsidP="00081FCF">
            <w:pPr>
              <w:pStyle w:val="ListBullet"/>
            </w:pPr>
            <w:r w:rsidRPr="00081FCF">
              <w:t>Freeboard deck</w:t>
            </w:r>
          </w:p>
          <w:p w:rsidR="00000000" w:rsidRPr="00081FCF" w:rsidP="00081FCF">
            <w:pPr>
              <w:pStyle w:val="ListBullet"/>
            </w:pPr>
            <w:r w:rsidRPr="00081FCF">
              <w:t>Hatch and tank openings</w:t>
            </w:r>
          </w:p>
          <w:p w:rsidR="00000000" w:rsidRPr="00081FCF" w:rsidP="00081FCF">
            <w:pPr>
              <w:pStyle w:val="ListBullet"/>
            </w:pPr>
            <w:r w:rsidRPr="00081FCF">
              <w:t>Longitudinal and transverse girders</w:t>
            </w:r>
          </w:p>
          <w:p w:rsidR="00000000" w:rsidRPr="00081FCF" w:rsidP="00081FCF">
            <w:pPr>
              <w:pStyle w:val="ListBullet"/>
            </w:pPr>
            <w:r w:rsidRPr="00081FCF">
              <w:t>Shell plating</w:t>
            </w:r>
          </w:p>
          <w:p w:rsidR="00000000" w:rsidRPr="00081FCF" w:rsidP="00081FCF">
            <w:pPr>
              <w:pStyle w:val="ListBullet"/>
            </w:pPr>
            <w:r w:rsidRPr="00081FCF">
              <w:t>Tank tops</w:t>
            </w:r>
          </w:p>
          <w:p w:rsidR="00000000" w:rsidRPr="00081FCF" w:rsidP="00081FCF">
            <w:pPr>
              <w:pStyle w:val="ListBullet"/>
            </w:pPr>
            <w:r w:rsidRPr="00081FCF">
              <w:t>Various types of keel arrangements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Watertight and weather tight compartments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Inspections of vessel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>Inspection of hull and fittings during dry-docking</w:t>
            </w:r>
          </w:p>
          <w:p w:rsidR="00000000" w:rsidRPr="00081FCF" w:rsidP="00081FCF">
            <w:pPr>
              <w:pStyle w:val="ListBullet"/>
            </w:pPr>
            <w:r w:rsidRPr="00081FCF">
              <w:t>Inspections required after completion of maintenance work</w:t>
            </w:r>
          </w:p>
          <w:p w:rsidR="00000000" w:rsidRPr="00081FCF" w:rsidP="00081FCF">
            <w:pPr>
              <w:pStyle w:val="ListBullet"/>
            </w:pPr>
            <w:r w:rsidRPr="00081FCF">
              <w:t xml:space="preserve">Inspections required after docking prior to refloating </w:t>
            </w:r>
          </w:p>
          <w:p w:rsidR="00000000" w:rsidRPr="00081FCF" w:rsidP="00081FCF">
            <w:pPr>
              <w:pStyle w:val="ListBullet"/>
            </w:pPr>
            <w:r w:rsidRPr="00081FCF">
              <w:t>Inspections to be made after any situation which may have caused damage to the vessel</w:t>
            </w:r>
          </w:p>
          <w:p w:rsidR="00000000" w:rsidRPr="00081FCF" w:rsidP="00081FCF">
            <w:pPr>
              <w:pStyle w:val="ListBullet"/>
            </w:pPr>
            <w:r w:rsidRPr="00081FCF">
              <w:t>Pre sailing inspections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Routine inspections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Defects and damage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>Corrosion to operating or structural</w:t>
            </w:r>
            <w:r w:rsidRPr="00081FCF">
              <w:t xml:space="preserve"> parts of the vessel</w:t>
            </w:r>
          </w:p>
          <w:p w:rsidR="00000000" w:rsidRPr="00081FCF" w:rsidP="00081FCF">
            <w:pPr>
              <w:pStyle w:val="ListBullet"/>
            </w:pPr>
            <w:r w:rsidRPr="00081FCF">
              <w:t xml:space="preserve">Damage to the vessel through cargo shift </w:t>
            </w:r>
          </w:p>
          <w:p w:rsidR="00000000" w:rsidRPr="00081FCF" w:rsidP="00081FCF">
            <w:pPr>
              <w:pStyle w:val="ListBullet"/>
            </w:pPr>
            <w:r w:rsidRPr="00081FCF">
              <w:t>Hatch cover seals</w:t>
            </w:r>
          </w:p>
          <w:p w:rsidR="00000000" w:rsidRPr="00081FCF" w:rsidP="00081FCF">
            <w:pPr>
              <w:pStyle w:val="ListBullet"/>
            </w:pPr>
            <w:r w:rsidRPr="00081FCF">
              <w:t>Structural damage through collision, grounding or fire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Watertight door seals and closing arrangements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Situations that may jeopardise vessel weather tight and watertight integrity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>Collision, grounding or fire</w:t>
            </w:r>
          </w:p>
          <w:p w:rsidR="00000000" w:rsidRPr="00081FCF" w:rsidP="00081FCF">
            <w:pPr>
              <w:pStyle w:val="ListBullet"/>
            </w:pPr>
            <w:r w:rsidRPr="00081FCF">
              <w:t>Failure to conduct appropriate inspections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Heavy weather damage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Appropriate actions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>Avoiding adverse weather</w:t>
            </w:r>
          </w:p>
          <w:p w:rsidR="00000000" w:rsidRPr="00081FCF" w:rsidP="00081FCF">
            <w:pPr>
              <w:pStyle w:val="ListBullet"/>
            </w:pPr>
            <w:r w:rsidRPr="00081FCF">
              <w:t>Checking the</w:t>
            </w:r>
            <w:r w:rsidRPr="00081FCF">
              <w:t xml:space="preserve"> security of the vessel</w:t>
            </w:r>
          </w:p>
          <w:p w:rsidR="00000000" w:rsidRPr="00081FCF" w:rsidP="00081FCF">
            <w:pPr>
              <w:pStyle w:val="ListBullet"/>
            </w:pPr>
            <w:r w:rsidRPr="00081FCF">
              <w:t>Closing openings</w:t>
            </w:r>
          </w:p>
          <w:p w:rsidR="00000000" w:rsidRPr="00081FCF" w:rsidP="00081FCF">
            <w:pPr>
              <w:pStyle w:val="ListBullet"/>
            </w:pPr>
            <w:r w:rsidRPr="00081FCF">
              <w:t>Ensuring appropriate equipment is in readiness for damage control</w:t>
            </w:r>
          </w:p>
          <w:p w:rsidR="00000000" w:rsidRPr="00081FCF" w:rsidP="00081FCF">
            <w:pPr>
              <w:pStyle w:val="ListBullet"/>
            </w:pPr>
            <w:r w:rsidRPr="00081FCF">
              <w:t>Ensuring free surface is minimised in ballast and fuel tanks</w:t>
            </w:r>
          </w:p>
          <w:p w:rsidR="00000000" w:rsidRPr="00081FCF" w:rsidP="00081FCF">
            <w:pPr>
              <w:pStyle w:val="ListBullet"/>
            </w:pPr>
            <w:r w:rsidRPr="00081FCF">
              <w:t>Ensuring freeing ports allow water taken on deck to clear</w:t>
            </w:r>
          </w:p>
          <w:p w:rsidR="00000000" w:rsidRPr="00081FCF" w:rsidP="00081FCF">
            <w:pPr>
              <w:pStyle w:val="ListBullet"/>
            </w:pPr>
            <w:r w:rsidRPr="00081FCF">
              <w:t>Ensuring passenger distributio</w:t>
            </w:r>
            <w:r w:rsidRPr="00081FCF">
              <w:t>n does not exceed allowed limits</w:t>
            </w:r>
          </w:p>
          <w:p w:rsidR="00000000" w:rsidRPr="00081FCF" w:rsidP="00081FCF">
            <w:pPr>
              <w:pStyle w:val="ListBullet"/>
            </w:pPr>
            <w:r w:rsidRPr="00081FCF">
              <w:t xml:space="preserve">Ensuring stores, cargo and equipment are properly stowed and lashed </w:t>
            </w:r>
          </w:p>
          <w:p w:rsidR="00000000" w:rsidRPr="00081FCF" w:rsidP="00081FCF">
            <w:pPr>
              <w:pStyle w:val="ListBullet"/>
            </w:pPr>
            <w:r w:rsidRPr="00081FCF">
              <w:t>Establishing procedures for restoring or managing weather tight and watertight integrity during an emergency</w:t>
            </w:r>
          </w:p>
          <w:p w:rsidR="00000000" w:rsidRPr="00081FCF" w:rsidP="00081FCF">
            <w:pPr>
              <w:pStyle w:val="ListBullet"/>
            </w:pPr>
            <w:r w:rsidRPr="00081FCF">
              <w:t xml:space="preserve">Maintaining the stability condition </w:t>
            </w:r>
            <w:r w:rsidRPr="00081FCF">
              <w:t>within approved limits</w:t>
            </w:r>
          </w:p>
          <w:p w:rsidR="00000000" w:rsidP="00081FCF">
            <w:pPr>
              <w:pStyle w:val="ListBullet"/>
              <w:rPr>
                <w:lang w:val="en-NZ"/>
              </w:rPr>
            </w:pPr>
            <w:r w:rsidRPr="00081FCF">
              <w:t>Testing of tanks and other watertight areas</w:t>
            </w:r>
          </w:p>
        </w:tc>
      </w:tr>
      <w:tr w:rsidTr="00E56B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FCF">
            <w:pPr>
              <w:pStyle w:val="BodyText"/>
              <w:rPr>
                <w:lang w:val="en-NZ"/>
              </w:rPr>
            </w:pPr>
            <w:r w:rsidRPr="00081FCF">
              <w:t>Relevant documents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FCF" w:rsidP="00081FCF">
            <w:pPr>
              <w:pStyle w:val="ListBullet"/>
            </w:pPr>
            <w:r w:rsidRPr="00081FCF">
              <w:t xml:space="preserve">Equipment manufacturer instructions </w:t>
            </w:r>
          </w:p>
          <w:p w:rsidR="00000000" w:rsidRPr="00081FCF" w:rsidP="00081FCF">
            <w:pPr>
              <w:pStyle w:val="ListBullet"/>
            </w:pPr>
            <w:r w:rsidRPr="00081FCF">
              <w:t>Log books, including oil record and garbage log books as applicable</w:t>
            </w:r>
          </w:p>
          <w:p w:rsidR="00000000" w:rsidRPr="00081FCF" w:rsidP="00081FCF">
            <w:pPr>
              <w:pStyle w:val="ListBullet"/>
            </w:pPr>
            <w:r w:rsidRPr="00081FCF">
              <w:t xml:space="preserve">Organisational operation orders under </w:t>
            </w:r>
            <w:r w:rsidRPr="00081FCF">
              <w:t>the ISM Code</w:t>
            </w:r>
          </w:p>
          <w:p w:rsidR="00000000" w:rsidRPr="00081FCF" w:rsidP="00081FCF">
            <w:pPr>
              <w:pStyle w:val="ListBullet"/>
            </w:pPr>
            <w:r w:rsidRPr="00081FCF">
              <w:t>Plans and drawings</w:t>
            </w:r>
          </w:p>
          <w:p w:rsidR="00000000" w:rsidRPr="00081FCF" w:rsidP="00081FCF">
            <w:pPr>
              <w:pStyle w:val="ListBullet"/>
            </w:pPr>
            <w:r w:rsidRPr="00081FCF">
              <w:t>Relevant maritime regulations and legislative requirements</w:t>
            </w:r>
          </w:p>
          <w:p w:rsidR="00000000" w:rsidRPr="00081FCF" w:rsidP="00081FCF">
            <w:pPr>
              <w:pStyle w:val="ListBullet"/>
            </w:pPr>
            <w:r w:rsidRPr="00081FCF">
              <w:t>Stability data manual</w:t>
            </w:r>
          </w:p>
        </w:tc>
      </w:tr>
    </w:tbl>
    <w:p w:rsidR="00000000" w:rsidRPr="00081FCF" w:rsidP="00081FCF">
      <w:pPr>
        <w:pStyle w:val="BodyText"/>
      </w:pP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12" w:name="O_538893"/>
      <w:bookmarkEnd w:id="12"/>
      <w:r w:rsidRPr="00081FCF">
        <w:t>Unit Sector(s)</w:t>
      </w:r>
    </w:p>
    <w:p w:rsidR="00000000" w:rsidRPr="00081FCF" w:rsidP="00081FCF">
      <w:pPr>
        <w:pStyle w:val="BodyText"/>
      </w:pPr>
      <w:r w:rsidRPr="00081FCF">
        <w:t>Not applicable.</w:t>
      </w:r>
    </w:p>
    <w:p w:rsidR="00000000" w:rsidRPr="00081FCF" w:rsidP="00081FCF">
      <w:pPr>
        <w:pStyle w:val="AllowPageBreak"/>
      </w:pPr>
    </w:p>
    <w:p w:rsidR="00000000" w:rsidRPr="00081FCF" w:rsidP="00081FCF">
      <w:pPr>
        <w:pStyle w:val="Heading1"/>
      </w:pPr>
      <w:bookmarkStart w:id="13" w:name="O_538892"/>
      <w:bookmarkEnd w:id="13"/>
      <w:r w:rsidRPr="00081FCF">
        <w:t>Competency Field</w:t>
      </w:r>
    </w:p>
    <w:p w:rsidR="00000000" w:rsidRPr="00081FCF" w:rsidP="00081FCF">
      <w:pPr>
        <w:pStyle w:val="BodyText"/>
      </w:pPr>
      <w:r w:rsidRPr="00081FCF">
        <w:t>Seamanship</w:t>
      </w:r>
    </w:p>
    <w:p w:rsidR="00000000" w:rsidRPr="00081FCF" w:rsidP="00081FCF"/>
    <w:sectPr w:rsidSect="00081F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F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FCF" w:rsidRPr="00E56BAD" w:rsidP="00E56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F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AD" w:rsidP="00081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56BAD" w:rsidP="00081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56BAD" w:rsidP="00081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F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FCF" w:rsidRPr="00E56BAD" w:rsidP="00E56B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F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AD" w:rsidRPr="002D2AF8" w:rsidP="00081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MARN5001A Maintain seaworthiness of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56BAD" w:rsidP="00081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30E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F0E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FCF"/>
  </w:style>
  <w:style w:type="character" w:customStyle="1" w:styleId="Heading1Char">
    <w:name w:val="Heading 1 Char"/>
    <w:basedOn w:val="DefaultParagraphFont"/>
    <w:link w:val="Heading1"/>
    <w:rsid w:val="00081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F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F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F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FCF"/>
    <w:rPr>
      <w:b/>
      <w:spacing w:val="0"/>
    </w:rPr>
  </w:style>
  <w:style w:type="paragraph" w:customStyle="1" w:styleId="SuperHeading">
    <w:name w:val="SuperHeading"/>
    <w:basedOn w:val="Normal"/>
    <w:rsid w:val="00081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1FC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1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F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F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F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F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FCF"/>
    <w:rPr>
      <w:i/>
    </w:rPr>
  </w:style>
  <w:style w:type="paragraph" w:styleId="Caption">
    <w:name w:val="caption"/>
    <w:basedOn w:val="BodyText"/>
    <w:next w:val="Normal"/>
    <w:qFormat/>
    <w:rsid w:val="00081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FCF"/>
  </w:style>
  <w:style w:type="paragraph" w:styleId="TableofFigures">
    <w:name w:val="table of figures"/>
    <w:basedOn w:val="Normal"/>
    <w:next w:val="Normal"/>
    <w:semiHidden/>
    <w:rsid w:val="00081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FCF"/>
    <w:pPr>
      <w:numPr>
        <w:numId w:val="10"/>
      </w:numPr>
    </w:pPr>
  </w:style>
  <w:style w:type="character" w:customStyle="1" w:styleId="WingdingSymbols">
    <w:name w:val="Wingding Symbols"/>
    <w:rsid w:val="00081FCF"/>
    <w:rPr>
      <w:rFonts w:ascii="Wingdings" w:hAnsi="Wingdings"/>
    </w:rPr>
  </w:style>
  <w:style w:type="paragraph" w:customStyle="1" w:styleId="TableHeading">
    <w:name w:val="Table Heading"/>
    <w:basedOn w:val="HeadingBase"/>
    <w:rsid w:val="00081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FCF"/>
    <w:rPr>
      <w:color w:val="0033CC"/>
      <w:u w:val="none"/>
    </w:rPr>
  </w:style>
  <w:style w:type="paragraph" w:customStyle="1" w:styleId="BodyTextRight">
    <w:name w:val="Body Text Right"/>
    <w:basedOn w:val="BodyText"/>
    <w:rsid w:val="00081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F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FCF"/>
    <w:rPr>
      <w:sz w:val="32"/>
    </w:rPr>
  </w:style>
  <w:style w:type="paragraph" w:customStyle="1" w:styleId="HeadingProcedure">
    <w:name w:val="Heading Procedure"/>
    <w:basedOn w:val="HeadingBase"/>
    <w:next w:val="Normal"/>
    <w:rsid w:val="00081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FCF"/>
    <w:pPr>
      <w:spacing w:before="60" w:after="60"/>
    </w:pPr>
  </w:style>
  <w:style w:type="paragraph" w:styleId="ListContinue">
    <w:name w:val="List Continue"/>
    <w:basedOn w:val="List"/>
    <w:rsid w:val="00081FCF"/>
    <w:pPr>
      <w:ind w:firstLine="0"/>
    </w:pPr>
  </w:style>
  <w:style w:type="paragraph" w:customStyle="1" w:styleId="ListNote">
    <w:name w:val="List Note"/>
    <w:basedOn w:val="List"/>
    <w:rsid w:val="00081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FCF"/>
    <w:rPr>
      <w:rFonts w:ascii="Courier New" w:hAnsi="Courier New"/>
    </w:rPr>
  </w:style>
  <w:style w:type="paragraph" w:customStyle="1" w:styleId="NoteBullet">
    <w:name w:val="Note Bullet"/>
    <w:basedOn w:val="Note"/>
    <w:rsid w:val="00081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F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FCF"/>
    <w:rPr>
      <w:b/>
      <w:smallCaps/>
    </w:rPr>
  </w:style>
  <w:style w:type="paragraph" w:customStyle="1" w:styleId="TableListNumber">
    <w:name w:val="Table List Number"/>
    <w:basedOn w:val="ListNumber"/>
    <w:rsid w:val="00081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FCF"/>
    <w:pPr>
      <w:numPr>
        <w:numId w:val="8"/>
      </w:numPr>
    </w:pPr>
  </w:style>
  <w:style w:type="paragraph" w:customStyle="1" w:styleId="ListAlpha2">
    <w:name w:val="List Alpha 2"/>
    <w:basedOn w:val="List2"/>
    <w:rsid w:val="00081FCF"/>
    <w:pPr>
      <w:numPr>
        <w:numId w:val="7"/>
      </w:numPr>
    </w:pPr>
  </w:style>
  <w:style w:type="paragraph" w:styleId="List2">
    <w:name w:val="List 2"/>
    <w:basedOn w:val="BodyText"/>
    <w:rsid w:val="00081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F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F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FCF"/>
    <w:pPr>
      <w:numPr>
        <w:numId w:val="2"/>
      </w:numPr>
    </w:pPr>
  </w:style>
  <w:style w:type="paragraph" w:styleId="ListBullet5">
    <w:name w:val="List Bullet 5"/>
    <w:basedOn w:val="List5"/>
    <w:rsid w:val="00081FCF"/>
    <w:pPr>
      <w:numPr>
        <w:numId w:val="3"/>
      </w:numPr>
    </w:pPr>
  </w:style>
  <w:style w:type="paragraph" w:styleId="ListContinue2">
    <w:name w:val="List Continue 2"/>
    <w:basedOn w:val="List2"/>
    <w:rsid w:val="00081FCF"/>
    <w:pPr>
      <w:ind w:firstLine="0"/>
    </w:pPr>
  </w:style>
  <w:style w:type="paragraph" w:styleId="ListContinue3">
    <w:name w:val="List Continue 3"/>
    <w:basedOn w:val="List3"/>
    <w:rsid w:val="00081FCF"/>
    <w:pPr>
      <w:ind w:left="1021" w:firstLine="0"/>
    </w:pPr>
  </w:style>
  <w:style w:type="paragraph" w:styleId="ListContinue4">
    <w:name w:val="List Continue 4"/>
    <w:basedOn w:val="List4"/>
    <w:rsid w:val="00081FCF"/>
    <w:pPr>
      <w:ind w:firstLine="0"/>
    </w:pPr>
  </w:style>
  <w:style w:type="paragraph" w:styleId="ListContinue5">
    <w:name w:val="List Continue 5"/>
    <w:basedOn w:val="List5"/>
    <w:rsid w:val="00081FCF"/>
    <w:pPr>
      <w:ind w:firstLine="0"/>
    </w:pPr>
  </w:style>
  <w:style w:type="paragraph" w:styleId="ListNumber3">
    <w:name w:val="List Number 3"/>
    <w:basedOn w:val="List3"/>
    <w:rsid w:val="00081FCF"/>
    <w:pPr>
      <w:numPr>
        <w:numId w:val="4"/>
      </w:numPr>
    </w:pPr>
  </w:style>
  <w:style w:type="paragraph" w:styleId="ListNumber4">
    <w:name w:val="List Number 4"/>
    <w:basedOn w:val="List4"/>
    <w:rsid w:val="00081FCF"/>
    <w:pPr>
      <w:numPr>
        <w:numId w:val="5"/>
      </w:numPr>
    </w:pPr>
  </w:style>
  <w:style w:type="paragraph" w:styleId="ListNumber5">
    <w:name w:val="List Number 5"/>
    <w:basedOn w:val="List5"/>
    <w:rsid w:val="00081FCF"/>
    <w:pPr>
      <w:numPr>
        <w:numId w:val="6"/>
      </w:numPr>
    </w:pPr>
  </w:style>
  <w:style w:type="paragraph" w:styleId="BlockText">
    <w:name w:val="Block Text"/>
    <w:basedOn w:val="Normal"/>
    <w:rsid w:val="00081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FCF"/>
    <w:rPr>
      <w:sz w:val="16"/>
      <w:vertAlign w:val="superscript"/>
    </w:rPr>
  </w:style>
  <w:style w:type="character" w:customStyle="1" w:styleId="Symbols">
    <w:name w:val="Symbols"/>
    <w:basedOn w:val="DefaultParagraphFont"/>
    <w:rsid w:val="00081FCF"/>
    <w:rPr>
      <w:rFonts w:ascii="Symbol" w:hAnsi="Symbol"/>
    </w:rPr>
  </w:style>
  <w:style w:type="character" w:customStyle="1" w:styleId="MenuOptions">
    <w:name w:val="Menu Options"/>
    <w:basedOn w:val="DefaultParagraphFont"/>
    <w:rsid w:val="00081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FCF"/>
    <w:rPr>
      <w:b/>
    </w:rPr>
  </w:style>
  <w:style w:type="character" w:customStyle="1" w:styleId="Underlined">
    <w:name w:val="Underlined"/>
    <w:basedOn w:val="DefaultParagraphFont"/>
    <w:rsid w:val="00081FCF"/>
    <w:rPr>
      <w:u w:val="single"/>
    </w:rPr>
  </w:style>
  <w:style w:type="paragraph" w:customStyle="1" w:styleId="TableBodyTextRight">
    <w:name w:val="Table Body Text Right"/>
    <w:basedOn w:val="TableBodyText"/>
    <w:rsid w:val="00081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FCF"/>
    <w:rPr>
      <w:sz w:val="18"/>
    </w:rPr>
  </w:style>
  <w:style w:type="paragraph" w:customStyle="1" w:styleId="BodySmallRight">
    <w:name w:val="Body Small Right"/>
    <w:basedOn w:val="BodyTextRight"/>
    <w:rsid w:val="00081FCF"/>
    <w:rPr>
      <w:sz w:val="18"/>
      <w:szCs w:val="18"/>
    </w:rPr>
  </w:style>
  <w:style w:type="paragraph" w:customStyle="1" w:styleId="MarginEdition">
    <w:name w:val="Margin Edition"/>
    <w:basedOn w:val="MarginNote"/>
    <w:rsid w:val="00081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FCF"/>
    <w:rPr>
      <w:sz w:val="2"/>
      <w:szCs w:val="2"/>
    </w:rPr>
  </w:style>
  <w:style w:type="character" w:customStyle="1" w:styleId="Small">
    <w:name w:val="Small"/>
    <w:basedOn w:val="DefaultParagraphFont"/>
    <w:rsid w:val="00081FCF"/>
    <w:rPr>
      <w:sz w:val="16"/>
    </w:rPr>
  </w:style>
  <w:style w:type="paragraph" w:customStyle="1" w:styleId="WideTable">
    <w:name w:val="Wide Table"/>
    <w:basedOn w:val="Normal"/>
    <w:rsid w:val="00081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FCF"/>
  </w:style>
  <w:style w:type="paragraph" w:styleId="Quote">
    <w:name w:val="Quote"/>
    <w:basedOn w:val="Heading1"/>
    <w:link w:val="QuoteChar"/>
    <w:qFormat/>
    <w:rsid w:val="00081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FCF"/>
    <w:pPr>
      <w:pageBreakBefore/>
    </w:pPr>
  </w:style>
  <w:style w:type="paragraph" w:customStyle="1" w:styleId="Border">
    <w:name w:val="Border"/>
    <w:basedOn w:val="Normal"/>
    <w:qFormat/>
    <w:rsid w:val="00081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FCF"/>
    <w:rPr>
      <w:u w:val="single"/>
    </w:rPr>
  </w:style>
  <w:style w:type="paragraph" w:styleId="BalloonText">
    <w:name w:val="Balloon Text"/>
    <w:basedOn w:val="Normal"/>
    <w:link w:val="BalloonTextChar"/>
    <w:rsid w:val="00081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F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F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1160</Words>
  <Characters>7224</Characters>
  <Application>Microsoft Office Word</Application>
  <DocSecurity>0</DocSecurity>
  <Lines>254</Lines>
  <Paragraphs>150</Paragraphs>
  <ScaleCrop>false</ScaleCrop>
  <Company>Author-it Software Corporation Ltd.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MARN5001A Maintain seaworthiness of a vessel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2013-06-06T05:12:00Z</dcterms:created>
  <dcterms:modified xsi:type="dcterms:W3CDTF">2013-06-06T05:12:00Z</dcterms:modified>
</cp:coreProperties>
</file>