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38E" w:rsidP="0054238E">
      <w:pPr>
        <w:pStyle w:val="Title"/>
      </w:pPr>
      <w:r>
        <w:fldChar w:fldCharType="begin"/>
      </w:r>
      <w:r>
        <w:instrText xml:space="preserve"> TITLE   \* MERGEFORMAT </w:instrText>
      </w:r>
      <w:r>
        <w:fldChar w:fldCharType="separate"/>
      </w:r>
      <w:r>
        <w:t>MARN4001A Manage seaworthiness of a vessel up to 80 metres</w:t>
      </w:r>
      <w:r>
        <w:fldChar w:fldCharType="end"/>
      </w:r>
    </w:p>
    <w:p w:rsidR="0054238E" w:rsidP="0054238E">
      <w:pPr>
        <w:pStyle w:val="Version"/>
        <w:sectPr w:rsidSect="004362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286" w:rsidP="00436286">
      <w:pPr>
        <w:pStyle w:val="SuperHeading"/>
      </w:pPr>
      <w:r w:rsidRPr="00436286">
        <w:t>MARN4001A Manage seaworthiness of a vessel up to 80 metres</w:t>
      </w:r>
    </w:p>
    <w:p w:rsidR="00000000" w:rsidRPr="00436286" w:rsidP="00436286">
      <w:pPr>
        <w:pStyle w:val="Heading1"/>
      </w:pPr>
      <w:bookmarkStart w:id="1" w:name="O_538876"/>
      <w:bookmarkEnd w:id="1"/>
      <w:r w:rsidRPr="00436286">
        <w:t>Modification History</w:t>
      </w:r>
    </w:p>
    <w:p w:rsidR="00000000" w:rsidRPr="00436286" w:rsidP="00436286">
      <w:pPr>
        <w:pStyle w:val="BodyText"/>
      </w:pPr>
      <w:r w:rsidRPr="00436286">
        <w:t>Release 1</w:t>
      </w:r>
    </w:p>
    <w:p w:rsidR="00000000" w:rsidRPr="00436286" w:rsidP="00436286">
      <w:pPr>
        <w:pStyle w:val="BodyText"/>
      </w:pPr>
      <w:r w:rsidRPr="00436286">
        <w:t>This is the first release of this unit.</w:t>
      </w:r>
    </w:p>
    <w:p w:rsidR="00000000" w:rsidRPr="00436286" w:rsidP="00436286">
      <w:pPr>
        <w:pStyle w:val="BodyText"/>
      </w:pPr>
      <w:r w:rsidRPr="00436286">
        <w:t>This unit replaces and is equivalent to TDMMB607B Monitor condition and seaworthiness of a coastal vessel up to 80 metres.</w:t>
      </w:r>
    </w:p>
    <w:p w:rsidR="00000000" w:rsidRPr="00436286" w:rsidP="00436286">
      <w:pPr>
        <w:pStyle w:val="AllowPageBreak"/>
      </w:pPr>
    </w:p>
    <w:p w:rsidR="00000000" w:rsidRPr="00436286" w:rsidP="00436286">
      <w:pPr>
        <w:pStyle w:val="Heading1"/>
      </w:pPr>
      <w:bookmarkStart w:id="2" w:name="O_538888"/>
      <w:bookmarkEnd w:id="2"/>
      <w:r w:rsidRPr="00436286">
        <w:t>Unit Descriptor</w:t>
      </w:r>
    </w:p>
    <w:p w:rsidR="00000000" w:rsidRPr="00436286" w:rsidP="00436286">
      <w:pPr>
        <w:pStyle w:val="BodyText"/>
      </w:pPr>
      <w:r w:rsidRPr="00436286">
        <w:t>This unit inv</w:t>
      </w:r>
      <w:r w:rsidRPr="00436286">
        <w:t>olves the skills and knowledge required to manage vessel in a seaworthy condition for all stages of a voyage or operation being undertaken.</w:t>
      </w:r>
    </w:p>
    <w:p w:rsidR="00000000" w:rsidRPr="00436286" w:rsidP="00436286">
      <w:pPr>
        <w:pStyle w:val="AllowPageBreak"/>
      </w:pPr>
    </w:p>
    <w:p w:rsidR="00000000" w:rsidRPr="00436286" w:rsidP="00436286">
      <w:pPr>
        <w:pStyle w:val="Heading1"/>
      </w:pPr>
      <w:bookmarkStart w:id="3" w:name="O_538887"/>
      <w:bookmarkEnd w:id="3"/>
      <w:r w:rsidRPr="00436286">
        <w:t>Application of the Unit</w:t>
      </w:r>
    </w:p>
    <w:p w:rsidR="00000000" w:rsidRPr="00436286" w:rsidP="00436286">
      <w:pPr>
        <w:pStyle w:val="BodyText"/>
      </w:pPr>
      <w:r w:rsidRPr="00436286">
        <w:t xml:space="preserve">This unit applies to those working in the capacity of Master on a range of </w:t>
      </w:r>
      <w:r w:rsidRPr="00436286">
        <w:t>vessels up to 80 metres.</w:t>
      </w:r>
    </w:p>
    <w:p w:rsidR="00000000" w:rsidRPr="00436286" w:rsidP="00436286">
      <w:pPr>
        <w:pStyle w:val="AllowPageBreak"/>
      </w:pPr>
    </w:p>
    <w:p w:rsidR="00000000" w:rsidRPr="00436286" w:rsidP="00436286">
      <w:pPr>
        <w:pStyle w:val="Heading1"/>
      </w:pPr>
      <w:bookmarkStart w:id="4" w:name="O_538886"/>
      <w:bookmarkEnd w:id="4"/>
      <w:r w:rsidRPr="00436286">
        <w:t>Licensing/Regulatory Information</w:t>
      </w:r>
    </w:p>
    <w:p w:rsidR="00000000" w:rsidRPr="00436286" w:rsidP="00436286">
      <w:pPr>
        <w:pStyle w:val="BodyText"/>
      </w:pPr>
      <w:r w:rsidRPr="00436286">
        <w:t>Not applicable.</w:t>
      </w:r>
    </w:p>
    <w:p w:rsidR="00000000" w:rsidRPr="00436286" w:rsidP="00436286">
      <w:pPr>
        <w:pStyle w:val="AllowPageBreak"/>
      </w:pPr>
    </w:p>
    <w:p w:rsidR="00000000" w:rsidRPr="00436286" w:rsidP="00436286">
      <w:pPr>
        <w:pStyle w:val="Heading1"/>
      </w:pPr>
      <w:bookmarkStart w:id="5" w:name="O_538885"/>
      <w:bookmarkEnd w:id="5"/>
      <w:r w:rsidRPr="00436286">
        <w:t>Pre-Requisites</w:t>
      </w:r>
    </w:p>
    <w:p w:rsidR="00000000" w:rsidRPr="00436286" w:rsidP="00436286">
      <w:pPr>
        <w:pStyle w:val="BodyText"/>
      </w:pPr>
      <w:r w:rsidRPr="00436286">
        <w:t>Not applicable.</w:t>
      </w:r>
    </w:p>
    <w:p w:rsidR="00000000" w:rsidRPr="00436286" w:rsidP="00436286">
      <w:pPr>
        <w:pStyle w:val="AllowPageBreak"/>
      </w:pPr>
    </w:p>
    <w:p w:rsidR="00000000" w:rsidRPr="00436286" w:rsidP="00436286">
      <w:pPr>
        <w:pStyle w:val="Heading1"/>
      </w:pPr>
      <w:bookmarkStart w:id="6" w:name="O_538884"/>
      <w:bookmarkEnd w:id="6"/>
      <w:r w:rsidRPr="00436286">
        <w:t>Employability Skills Information</w:t>
      </w:r>
    </w:p>
    <w:p w:rsidR="00000000" w:rsidRPr="00436286" w:rsidP="00436286">
      <w:pPr>
        <w:pStyle w:val="BodyText"/>
      </w:pPr>
      <w:r w:rsidRPr="00436286">
        <w:t>This unit contains employability skills.</w:t>
      </w:r>
    </w:p>
    <w:p w:rsidR="00000000" w:rsidRPr="00436286" w:rsidP="00436286">
      <w:pPr>
        <w:pStyle w:val="AllowPageBreak"/>
      </w:pPr>
    </w:p>
    <w:p w:rsidR="00000000" w:rsidRPr="00436286" w:rsidP="00436286">
      <w:pPr>
        <w:pStyle w:val="Heading1"/>
      </w:pPr>
      <w:bookmarkStart w:id="7" w:name="O_538883"/>
      <w:bookmarkEnd w:id="7"/>
      <w:r w:rsidRPr="00436286">
        <w:t xml:space="preserve">Elements </w:t>
      </w:r>
      <w:r w:rsidRPr="00436286">
        <w:t>and Performance Criteria Pre-Content</w:t>
      </w:r>
    </w:p>
    <w:tbl>
      <w:tblPr>
        <w:tblW w:w="9640" w:type="dxa"/>
        <w:tblLayout w:type="fixed"/>
        <w:tblCellMar>
          <w:left w:w="62" w:type="dxa"/>
          <w:right w:w="62" w:type="dxa"/>
        </w:tblCellMar>
        <w:tblLook w:val="0000"/>
      </w:tblPr>
      <w:tblGrid>
        <w:gridCol w:w="2776"/>
        <w:gridCol w:w="6864"/>
      </w:tblGrid>
      <w:tr w:rsidTr="0054238E">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t>Performance criteria describe the required performance needed to demonstrate achievement of the element. Assessment of performance is to be consistent wi</w:t>
            </w:r>
            <w:r w:rsidRPr="00436286">
              <w:t>th the evidence guide.</w:t>
            </w:r>
          </w:p>
        </w:tc>
      </w:tr>
    </w:tbl>
    <w:p w:rsidR="00000000" w:rsidRPr="00436286" w:rsidP="00436286">
      <w:pPr>
        <w:pStyle w:val="BodyText"/>
      </w:pPr>
    </w:p>
    <w:p w:rsidR="00000000" w:rsidRPr="00436286" w:rsidP="00436286">
      <w:pPr>
        <w:pStyle w:val="AllowPageBreak"/>
      </w:pPr>
    </w:p>
    <w:p w:rsidR="00000000" w:rsidRPr="00436286" w:rsidP="00436286">
      <w:pPr>
        <w:pStyle w:val="Heading1"/>
      </w:pPr>
      <w:bookmarkStart w:id="8" w:name="O_538882"/>
      <w:bookmarkEnd w:id="8"/>
      <w:r w:rsidRPr="0043628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4238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SpecialBold"/>
              </w:rPr>
              <w:t>Supervise weather tight and watertight integrity of vessel</w:t>
            </w: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1.1</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 xml:space="preserve">Principal </w:t>
            </w:r>
            <w:r w:rsidRPr="00436286">
              <w:rPr>
                <w:rStyle w:val="BoldandItalics"/>
              </w:rPr>
              <w:t>structural components</w:t>
            </w:r>
            <w:r w:rsidRPr="00436286">
              <w:t xml:space="preserve"> of vessel are identified from vessel drawings to understand </w:t>
            </w:r>
            <w:r w:rsidRPr="00436286">
              <w:t>the function of these components in relation to conventional vessel design</w:t>
            </w:r>
          </w:p>
        </w:tc>
      </w:tr>
      <w:tr w:rsidTr="005423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1.2</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Pumping and pipeline systems of vessel are investigated to establish survivability of vessel in case of flooding and mage control</w:t>
            </w:r>
          </w:p>
        </w:tc>
      </w:tr>
      <w:tr w:rsidTr="005423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1.3</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Procedures for maintaining weather tight and watertight integrity of vessel are interpreted and implemented according to vessel safety management plan and regulations</w:t>
            </w:r>
          </w:p>
        </w:tc>
      </w:tr>
      <w:tr w:rsidTr="005423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1.4</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Crew are instructed on requirements of plan and their responsibilities</w:t>
            </w:r>
          </w:p>
        </w:tc>
      </w:tr>
      <w:tr w:rsidTr="005423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t>1.5</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BoldandItalics"/>
              </w:rPr>
              <w:t>Acti</w:t>
            </w:r>
            <w:r w:rsidRPr="00436286">
              <w:rPr>
                <w:rStyle w:val="BoldandItalics"/>
              </w:rPr>
              <w:t xml:space="preserve">ons </w:t>
            </w:r>
            <w:r w:rsidRPr="00436286">
              <w:t>are instigated to confirm weather tight and watertight integrity of vessel at all times</w:t>
            </w:r>
          </w:p>
        </w:tc>
      </w:tr>
      <w:tr w:rsidTr="0054238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SpecialBold"/>
              </w:rPr>
              <w:t>Take action to meet changed sea and weather conditions</w:t>
            </w: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2.1</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Weather forecasts and observations of sea and weather conditions are used to predict situations that m</w:t>
            </w:r>
            <w:r w:rsidRPr="00436286">
              <w:t>ay jeopardise vessel weather tight and watertight integrity</w:t>
            </w:r>
          </w:p>
        </w:tc>
      </w:tr>
      <w:tr w:rsidTr="005423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2.2</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Effect of severe wind and rolling in associated sea conditions on vessel weather tight and watertight integrity is recognised</w:t>
            </w:r>
          </w:p>
        </w:tc>
      </w:tr>
      <w:tr w:rsidTr="005423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2.3</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Effect of water on deck on vessel weather tight and watertight integrity is ascertained</w:t>
            </w:r>
          </w:p>
        </w:tc>
      </w:tr>
      <w:tr w:rsidTr="005423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2.4</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Appropriate action is taken to maintain vessel weather tight and watertight integrity according to organisational procedures</w:t>
            </w:r>
          </w:p>
        </w:tc>
      </w:tr>
      <w:tr w:rsidTr="0054238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SpecialBold"/>
              </w:rPr>
              <w:t>Maintain records</w:t>
            </w:r>
          </w:p>
        </w:tc>
        <w:tc>
          <w:tcPr>
            <w:tcW w:w="584" w:type="dxa"/>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t>3.1</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BoldandItalics"/>
              </w:rPr>
              <w:t>R</w:t>
            </w:r>
            <w:r w:rsidRPr="00436286">
              <w:rPr>
                <w:rStyle w:val="BoldandItalics"/>
              </w:rPr>
              <w:t>elevant documents and records</w:t>
            </w:r>
            <w:r w:rsidRPr="00436286">
              <w:t xml:space="preserve"> are completed and maintained as required according to regulatory and organisational requirements</w:t>
            </w:r>
          </w:p>
        </w:tc>
      </w:tr>
      <w:tr w:rsidTr="005423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3.2</w:t>
            </w:r>
          </w:p>
        </w:tc>
        <w:tc>
          <w:tcPr>
            <w:tcW w:w="686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Relevant documents are sent to appropriate bodies and copies are filed according to regulatory and organisational requirem</w:t>
            </w:r>
            <w:r w:rsidRPr="00436286">
              <w:t>ents</w:t>
            </w:r>
          </w:p>
        </w:tc>
      </w:tr>
      <w:tr w:rsidTr="005423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3.3</w:t>
            </w:r>
          </w:p>
        </w:tc>
        <w:tc>
          <w:tcPr>
            <w:tcW w:w="6864" w:type="dxa"/>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t>Documents are stored according to regulatory and organisational requirements</w:t>
            </w:r>
          </w:p>
        </w:tc>
      </w:tr>
    </w:tbl>
    <w:p w:rsidR="00000000" w:rsidRPr="00436286" w:rsidP="00436286">
      <w:pPr>
        <w:pStyle w:val="BodyText"/>
      </w:pPr>
    </w:p>
    <w:p w:rsidR="00000000" w:rsidRPr="00436286" w:rsidP="00436286">
      <w:pPr>
        <w:pStyle w:val="AllowPageBreak"/>
      </w:pPr>
    </w:p>
    <w:p w:rsidR="00000000" w:rsidRPr="00436286" w:rsidP="00436286">
      <w:pPr>
        <w:pStyle w:val="Heading1"/>
      </w:pPr>
      <w:bookmarkStart w:id="9" w:name="O_538881"/>
      <w:bookmarkEnd w:id="9"/>
      <w:r w:rsidRPr="00436286">
        <w:t>Required Skills and Knowledge</w:t>
      </w:r>
    </w:p>
    <w:tbl>
      <w:tblPr>
        <w:tblW w:w="0" w:type="auto"/>
        <w:tblCellMar>
          <w:left w:w="62" w:type="dxa"/>
          <w:right w:w="62" w:type="dxa"/>
        </w:tblCellMar>
        <w:tblLook w:val="0000"/>
      </w:tblPr>
      <w:tblGrid>
        <w:gridCol w:w="9196"/>
      </w:tblGrid>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This section describes the skills and knowledge required for this unit.</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SpecialBold"/>
              </w:rPr>
              <w:t>Required Skills: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ListBullet"/>
              <w:rPr>
                <w:lang w:val="en-NZ"/>
              </w:rPr>
            </w:pPr>
            <w:r w:rsidRPr="00436286">
              <w:t>Appropriately use bilge and other pumping arrangements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ListBullet"/>
              <w:rPr>
                <w:lang w:val="en-NZ"/>
              </w:rPr>
            </w:pPr>
            <w:r w:rsidRPr="00436286">
              <w:t>Assess damage control measures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ListBullet"/>
              <w:rPr>
                <w:lang w:val="en-NZ"/>
              </w:rPr>
            </w:pPr>
            <w:r w:rsidRPr="00436286">
              <w:t>Complete required records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ListBullet"/>
              <w:rPr>
                <w:lang w:val="en-NZ"/>
              </w:rPr>
            </w:pPr>
            <w:r w:rsidRPr="00436286">
              <w:t>Maintain weather tight and watertight integrity of vessel</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286" w:rsidP="00436286">
            <w:pPr>
              <w:pStyle w:val="ListBullet"/>
            </w:pPr>
            <w:r w:rsidRPr="00436286">
              <w:t>Read and interpret vessel specifications, drawings and operational manuals</w:t>
            </w:r>
          </w:p>
        </w:tc>
      </w:tr>
    </w:tbl>
    <w:p w:rsidR="00000000" w:rsidRPr="00436286" w:rsidP="00436286">
      <w:pPr>
        <w:pStyle w:val="BodyText"/>
      </w:pPr>
    </w:p>
    <w:tbl>
      <w:tblPr>
        <w:tblW w:w="0" w:type="auto"/>
        <w:tblCellMar>
          <w:left w:w="62" w:type="dxa"/>
          <w:right w:w="62" w:type="dxa"/>
        </w:tblCellMar>
        <w:tblLook w:val="0000"/>
      </w:tblPr>
      <w:tblGrid>
        <w:gridCol w:w="9196"/>
      </w:tblGrid>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SpecialBold"/>
              </w:rPr>
              <w:t>Required Knowledge:</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ListBullet"/>
              <w:rPr>
                <w:lang w:val="en-NZ"/>
              </w:rPr>
            </w:pPr>
            <w:r w:rsidRPr="00436286">
              <w:t>Bilge pumping arrangements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ListBullet"/>
              <w:rPr>
                <w:lang w:val="en-NZ"/>
              </w:rPr>
            </w:pPr>
            <w:r w:rsidRPr="00436286">
              <w:t>Different vessel types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ListBullet"/>
              <w:rPr>
                <w:lang w:val="en-NZ"/>
              </w:rPr>
            </w:pPr>
            <w:r w:rsidRPr="00436286">
              <w:t>Effects of adding and removing weights, water on deck, slack tanks, rolling period, stiff and tender vessel, additions or alterations to vessels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ListBullet"/>
              <w:rPr>
                <w:lang w:val="en-NZ"/>
              </w:rPr>
            </w:pPr>
            <w:r w:rsidRPr="00436286">
              <w:t>Principal parts of vessel and their various functions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36286" w:rsidP="00436286">
            <w:pPr>
              <w:pStyle w:val="ListBullet"/>
            </w:pPr>
            <w:r w:rsidRPr="00436286">
              <w:t>Work health and safety (WHS)/occupational health and safety (OHS) requirements and work practices</w:t>
            </w:r>
          </w:p>
        </w:tc>
      </w:tr>
    </w:tbl>
    <w:p w:rsidR="00000000" w:rsidRPr="00436286" w:rsidP="00436286">
      <w:pPr>
        <w:pStyle w:val="BodyText"/>
      </w:pPr>
    </w:p>
    <w:p w:rsidR="00000000" w:rsidRPr="00436286" w:rsidP="00436286">
      <w:pPr>
        <w:pStyle w:val="AllowPageBreak"/>
      </w:pPr>
    </w:p>
    <w:p w:rsidR="00000000" w:rsidRPr="00436286" w:rsidP="00436286">
      <w:pPr>
        <w:pStyle w:val="Heading1"/>
      </w:pPr>
      <w:bookmarkStart w:id="10" w:name="O_538880"/>
      <w:bookmarkEnd w:id="10"/>
      <w:r w:rsidRPr="00436286">
        <w:t>Evidence Guide</w:t>
      </w:r>
    </w:p>
    <w:tbl>
      <w:tblPr>
        <w:tblW w:w="9499" w:type="dxa"/>
        <w:tblLayout w:type="fixed"/>
        <w:tblCellMar>
          <w:left w:w="62" w:type="dxa"/>
          <w:right w:w="62" w:type="dxa"/>
        </w:tblCellMar>
        <w:tblLook w:val="0000"/>
      </w:tblPr>
      <w:tblGrid>
        <w:gridCol w:w="3340"/>
        <w:gridCol w:w="6159"/>
      </w:tblGrid>
      <w:tr w:rsidTr="0043628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The evidence guide provides advice on assessment and must be read in conjunction with the performance criteria, the required skills and knowledge, the range statement and the Assessment Guidelines for the Training Package.</w:t>
            </w:r>
          </w:p>
        </w:tc>
      </w:tr>
      <w:tr w:rsidTr="0043628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t>The evidence required to demonstrate competence in this unit must be relevant to and satisfy all of the requirements of the Elements, Performance Criteria, Require</w:t>
            </w:r>
            <w:r w:rsidRPr="00436286">
              <w:t>d Skills, Required Knowledge and include:</w:t>
            </w:r>
          </w:p>
          <w:p w:rsidR="00000000" w:rsidRPr="00436286" w:rsidP="00436286">
            <w:pPr>
              <w:pStyle w:val="ListBullet"/>
            </w:pPr>
            <w:r w:rsidRPr="00436286">
              <w:t>attention to appropriate level of detail in recordkeeping</w:t>
            </w:r>
          </w:p>
          <w:p w:rsidR="00000000" w:rsidP="00436286">
            <w:pPr>
              <w:pStyle w:val="ListBullet"/>
              <w:rPr>
                <w:lang w:val="en-NZ"/>
              </w:rPr>
            </w:pPr>
            <w:r w:rsidRPr="00436286">
              <w:t>attention to detail when completing documentation.</w:t>
            </w:r>
          </w:p>
        </w:tc>
      </w:tr>
      <w:tr w:rsidTr="0043628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t>Performance is demonstrated consistently over time and</w:t>
            </w:r>
            <w:r w:rsidRPr="00436286">
              <w:t xml:space="preserve"> in a suitable range of contexts.</w:t>
            </w:r>
          </w:p>
          <w:p w:rsidR="00000000" w:rsidRPr="00436286" w:rsidP="00436286">
            <w:pPr>
              <w:pStyle w:val="BodyText"/>
            </w:pPr>
            <w:r w:rsidRPr="00436286">
              <w:t>Resources for assessment include access to:</w:t>
            </w:r>
          </w:p>
          <w:p w:rsidR="00000000" w:rsidRPr="00436286" w:rsidP="00436286">
            <w:pPr>
              <w:pStyle w:val="ListBullet"/>
            </w:pPr>
            <w:r w:rsidRPr="00436286">
              <w:t>industry-approved marine operations site where managing seaworthiness of a vessel up to 80 metres can be demonstrated</w:t>
            </w:r>
          </w:p>
          <w:p w:rsidR="00000000" w:rsidRPr="00436286" w:rsidP="00436286">
            <w:pPr>
              <w:pStyle w:val="ListBullet"/>
            </w:pPr>
            <w:r w:rsidRPr="00436286">
              <w:t>tools, equipment and personal protective equipment currentl</w:t>
            </w:r>
            <w:r w:rsidRPr="00436286">
              <w:t>y used in industry</w:t>
            </w:r>
          </w:p>
          <w:p w:rsidR="00000000" w:rsidRPr="00436286" w:rsidP="00436286">
            <w:pPr>
              <w:pStyle w:val="ListBullet"/>
            </w:pPr>
            <w:r w:rsidRPr="00436286">
              <w:t>relevant regulatory and equipment documentation that impacts on work activities</w:t>
            </w:r>
          </w:p>
          <w:p w:rsidR="00000000" w:rsidRPr="00436286" w:rsidP="00436286">
            <w:pPr>
              <w:pStyle w:val="ListBullet"/>
            </w:pPr>
            <w:r w:rsidRPr="00436286">
              <w:t>range of relevant exercises, case studies and/or other simulated practical and knowledge assessments</w:t>
            </w:r>
          </w:p>
          <w:p w:rsidR="00000000" w:rsidRPr="00436286" w:rsidP="00436286">
            <w:pPr>
              <w:pStyle w:val="ListBullet"/>
            </w:pPr>
            <w:r w:rsidRPr="00436286">
              <w:t>appropriate range of relevant operational situations in the workplace.</w:t>
            </w:r>
          </w:p>
          <w:p w:rsidR="00000000" w:rsidRPr="00436286" w:rsidP="00436286">
            <w:pPr>
              <w:pStyle w:val="BodyText"/>
            </w:pPr>
            <w:r w:rsidRPr="00436286">
              <w:t>In both real and simulated environments, access is required to:</w:t>
            </w:r>
          </w:p>
          <w:p w:rsidR="00000000" w:rsidRPr="00436286" w:rsidP="00436286">
            <w:pPr>
              <w:pStyle w:val="ListBullet"/>
            </w:pPr>
            <w:r w:rsidRPr="00436286">
              <w:t>relevant and appropriate materials and equipment</w:t>
            </w:r>
          </w:p>
          <w:p w:rsidR="00000000" w:rsidP="00436286">
            <w:pPr>
              <w:pStyle w:val="ListBullet"/>
              <w:rPr>
                <w:lang w:val="en-NZ"/>
              </w:rPr>
            </w:pPr>
            <w:r w:rsidRPr="00436286">
              <w:t>applicable documentation including workplace procedures, regulations, c</w:t>
            </w:r>
            <w:r w:rsidRPr="00436286">
              <w:t>odes of practice and operation manuals.</w:t>
            </w:r>
          </w:p>
        </w:tc>
      </w:tr>
      <w:tr w:rsidTr="0043628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t>Practical assessment must occur in an:</w:t>
            </w:r>
          </w:p>
          <w:p w:rsidR="00000000" w:rsidRPr="00436286" w:rsidP="00436286">
            <w:pPr>
              <w:pStyle w:val="ListBullet"/>
            </w:pPr>
            <w:r w:rsidRPr="00436286">
              <w:t>appropriately simulated workplace environment and/or</w:t>
            </w:r>
          </w:p>
          <w:p w:rsidR="00000000" w:rsidRPr="00436286" w:rsidP="00436286">
            <w:pPr>
              <w:pStyle w:val="ListBullet"/>
            </w:pPr>
            <w:r w:rsidRPr="00436286">
              <w:t>appropriate range of situations in the workplace.</w:t>
            </w:r>
          </w:p>
          <w:p w:rsidR="00000000" w:rsidRPr="00436286" w:rsidP="00436286">
            <w:pPr>
              <w:pStyle w:val="BodyText"/>
            </w:pPr>
            <w:r w:rsidRPr="00436286">
              <w:t>A range of assessment methods should be used to ass</w:t>
            </w:r>
            <w:r w:rsidRPr="00436286">
              <w:t>ess practical skills and knowledge. The following examples are appropriate to this unit:</w:t>
            </w:r>
          </w:p>
          <w:p w:rsidR="00000000" w:rsidRPr="00436286" w:rsidP="00436286">
            <w:pPr>
              <w:pStyle w:val="ListBullet"/>
            </w:pPr>
            <w:r w:rsidRPr="00436286">
              <w:t>direct observation of the candidate managing seaworthiness of a vessel up to 80 metres</w:t>
            </w:r>
          </w:p>
          <w:p w:rsidR="00000000" w:rsidP="00436286">
            <w:pPr>
              <w:pStyle w:val="ListBullet"/>
              <w:rPr>
                <w:lang w:val="en-NZ"/>
              </w:rPr>
            </w:pPr>
            <w:r w:rsidRPr="00436286">
              <w:t xml:space="preserve">direct observation of the candidate applying relevant WHS/OHS requirements and </w:t>
            </w:r>
            <w:r w:rsidRPr="00436286">
              <w:t>work practices.</w:t>
            </w:r>
          </w:p>
        </w:tc>
      </w:tr>
      <w:tr w:rsidTr="0043628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436286" w:rsidP="00436286">
            <w:pPr>
              <w:pStyle w:val="BodyText"/>
            </w:pPr>
            <w:r w:rsidRPr="00436286">
              <w:t>Holistic assessment with other units relevant to the industry sector, workplace and job role is recommended.</w:t>
            </w:r>
          </w:p>
          <w:p w:rsidR="00000000" w:rsidRPr="00436286" w:rsidP="00436286">
            <w:pPr>
              <w:pStyle w:val="BodyText"/>
            </w:pPr>
            <w:r w:rsidRPr="00436286">
              <w:t>In all cases where practical assessment is used it should be combined with targeted questioning to assess Required Knowledge.</w:t>
            </w:r>
          </w:p>
          <w:p w:rsidR="00000000" w:rsidRPr="00436286" w:rsidP="00436286">
            <w:pPr>
              <w:pStyle w:val="BodyText"/>
            </w:pPr>
            <w:r w:rsidRPr="00436286">
              <w:t xml:space="preserve">Assessment processes and techniques must be appropriate to the language and literacy requirements of the work being performed and </w:t>
            </w:r>
            <w:r w:rsidRPr="00436286">
              <w:t>the capacity of the candidate.</w:t>
            </w:r>
          </w:p>
        </w:tc>
      </w:tr>
    </w:tbl>
    <w:p w:rsidR="00000000" w:rsidRPr="00436286" w:rsidP="00436286">
      <w:pPr>
        <w:pStyle w:val="BodyText"/>
      </w:pPr>
    </w:p>
    <w:p w:rsidR="00000000" w:rsidRPr="00436286" w:rsidP="00436286">
      <w:pPr>
        <w:pStyle w:val="AllowPageBreak"/>
      </w:pPr>
    </w:p>
    <w:p w:rsidR="00000000" w:rsidRPr="00436286" w:rsidP="00436286">
      <w:pPr>
        <w:pStyle w:val="Heading1"/>
      </w:pPr>
      <w:bookmarkStart w:id="11" w:name="O_538879"/>
      <w:bookmarkEnd w:id="11"/>
      <w:r w:rsidRPr="00436286">
        <w:t>Range Statement</w:t>
      </w:r>
    </w:p>
    <w:tbl>
      <w:tblPr>
        <w:tblW w:w="0" w:type="auto"/>
        <w:tblCellMar>
          <w:left w:w="62" w:type="dxa"/>
          <w:right w:w="62" w:type="dxa"/>
        </w:tblCellMar>
        <w:tblLook w:val="0000"/>
      </w:tblPr>
      <w:tblGrid>
        <w:gridCol w:w="2586"/>
        <w:gridCol w:w="6610"/>
      </w:tblGrid>
      <w:tr w:rsidTr="005423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The range statement relates to the unit of competency as a whole. It allows for different work environments and situations that may affect performance. Bold italicised wording, if used in th</w:t>
            </w:r>
            <w:r w:rsidRPr="00436286">
              <w:t>e performance criteria, is detailed below.</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Structural components must include:</w:t>
            </w:r>
          </w:p>
        </w:tc>
        <w:tc>
          <w:tcPr>
            <w:tcW w:w="0" w:type="auto"/>
            <w:tcBorders>
              <w:top w:val="nil"/>
              <w:left w:val="nil"/>
              <w:bottom w:val="nil"/>
              <w:right w:val="nil"/>
            </w:tcBorders>
            <w:tcMar>
              <w:top w:w="0" w:type="dxa"/>
              <w:left w:w="62" w:type="dxa"/>
              <w:bottom w:w="0" w:type="dxa"/>
              <w:right w:w="62" w:type="dxa"/>
            </w:tcMar>
          </w:tcPr>
          <w:p w:rsidR="00000000" w:rsidRPr="00436286" w:rsidP="00436286">
            <w:pPr>
              <w:pStyle w:val="ListBullet"/>
            </w:pPr>
            <w:r w:rsidRPr="00436286">
              <w:t>Design characteristics attributing to watertight integrity</w:t>
            </w:r>
          </w:p>
          <w:p w:rsidR="00000000" w:rsidRPr="00436286" w:rsidP="00436286">
            <w:pPr>
              <w:pStyle w:val="ListBullet"/>
            </w:pPr>
            <w:r w:rsidRPr="00436286">
              <w:t xml:space="preserve">Principal components of vessel structure </w:t>
            </w:r>
          </w:p>
          <w:p w:rsidR="00000000" w:rsidRPr="00436286" w:rsidP="00436286">
            <w:pPr>
              <w:pStyle w:val="ListBullet"/>
            </w:pPr>
            <w:r w:rsidRPr="00436286">
              <w:t>Structural arrangements to restrain fires</w:t>
            </w:r>
          </w:p>
          <w:p w:rsidR="00000000" w:rsidP="00436286">
            <w:pPr>
              <w:pStyle w:val="ListBullet"/>
              <w:rPr>
                <w:lang w:val="en-NZ"/>
              </w:rPr>
            </w:pPr>
            <w:r w:rsidRPr="00436286">
              <w:t>Watertight and collision bulkheads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Actions may include:</w:t>
            </w:r>
          </w:p>
        </w:tc>
        <w:tc>
          <w:tcPr>
            <w:tcW w:w="0" w:type="auto"/>
            <w:tcBorders>
              <w:top w:val="nil"/>
              <w:left w:val="nil"/>
              <w:bottom w:val="nil"/>
              <w:right w:val="nil"/>
            </w:tcBorders>
            <w:tcMar>
              <w:top w:w="0" w:type="dxa"/>
              <w:left w:w="62" w:type="dxa"/>
              <w:bottom w:w="0" w:type="dxa"/>
              <w:right w:w="62" w:type="dxa"/>
            </w:tcMar>
          </w:tcPr>
          <w:p w:rsidR="00000000" w:rsidRPr="00436286" w:rsidP="00436286">
            <w:pPr>
              <w:pStyle w:val="ListBullet"/>
            </w:pPr>
            <w:r w:rsidRPr="00436286">
              <w:t>Closing openings</w:t>
            </w:r>
          </w:p>
          <w:p w:rsidR="00000000" w:rsidRPr="00436286" w:rsidP="00436286">
            <w:pPr>
              <w:pStyle w:val="ListBullet"/>
            </w:pPr>
            <w:r w:rsidRPr="00436286">
              <w:t>Ensuring passenger distribution does not exceed allowed limits.</w:t>
            </w:r>
          </w:p>
          <w:p w:rsidR="00000000" w:rsidRPr="00436286" w:rsidP="00436286">
            <w:pPr>
              <w:pStyle w:val="ListBullet"/>
            </w:pPr>
            <w:r w:rsidRPr="00436286">
              <w:t>Ensuring stores, cargo and equipment are properly stowed and lashed</w:t>
            </w:r>
          </w:p>
          <w:p w:rsidR="00000000" w:rsidRPr="00436286" w:rsidP="00436286">
            <w:pPr>
              <w:pStyle w:val="ListBullet"/>
            </w:pPr>
            <w:r w:rsidRPr="00436286">
              <w:t>Establishing procedures for restoring or managing</w:t>
            </w:r>
            <w:r w:rsidRPr="00436286">
              <w:t xml:space="preserve"> weather tight and watertight integrity during an emergency </w:t>
            </w:r>
          </w:p>
          <w:p w:rsidR="00000000" w:rsidRPr="00436286" w:rsidP="00436286">
            <w:pPr>
              <w:pStyle w:val="ListBullet"/>
            </w:pPr>
            <w:r w:rsidRPr="00436286">
              <w:t>Maintaining stability condition within approved limits</w:t>
            </w:r>
          </w:p>
          <w:p w:rsidR="00000000" w:rsidP="00436286">
            <w:pPr>
              <w:pStyle w:val="ListBullet"/>
              <w:rPr>
                <w:lang w:val="en-NZ"/>
              </w:rPr>
            </w:pPr>
            <w:r w:rsidRPr="00436286">
              <w:t>Methods for testing tanks and other watertight openings</w:t>
            </w:r>
          </w:p>
        </w:tc>
      </w:tr>
      <w:tr w:rsidTr="005423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36286">
            <w:pPr>
              <w:pStyle w:val="BodyText"/>
              <w:rPr>
                <w:lang w:val="en-NZ"/>
              </w:rPr>
            </w:pPr>
            <w:r w:rsidRPr="00436286">
              <w:t>Relevant documents and records may include:</w:t>
            </w:r>
          </w:p>
        </w:tc>
        <w:tc>
          <w:tcPr>
            <w:tcW w:w="0" w:type="auto"/>
            <w:tcBorders>
              <w:top w:val="nil"/>
              <w:left w:val="nil"/>
              <w:bottom w:val="nil"/>
              <w:right w:val="nil"/>
            </w:tcBorders>
            <w:tcMar>
              <w:top w:w="0" w:type="dxa"/>
              <w:left w:w="62" w:type="dxa"/>
              <w:bottom w:w="0" w:type="dxa"/>
              <w:right w:w="62" w:type="dxa"/>
            </w:tcMar>
          </w:tcPr>
          <w:p w:rsidR="00000000" w:rsidRPr="00436286" w:rsidP="00436286">
            <w:pPr>
              <w:pStyle w:val="ListBullet"/>
            </w:pPr>
            <w:r w:rsidRPr="00436286">
              <w:t xml:space="preserve">Deck and official log book entries </w:t>
            </w:r>
          </w:p>
          <w:p w:rsidR="00000000" w:rsidRPr="00436286" w:rsidP="00436286">
            <w:pPr>
              <w:pStyle w:val="ListBullet"/>
            </w:pPr>
            <w:r w:rsidRPr="00436286">
              <w:t>No</w:t>
            </w:r>
            <w:r w:rsidRPr="00436286">
              <w:t xml:space="preserve">tes of protest </w:t>
            </w:r>
          </w:p>
          <w:p w:rsidR="00000000" w:rsidRPr="00436286" w:rsidP="00436286">
            <w:pPr>
              <w:pStyle w:val="ListBullet"/>
            </w:pPr>
            <w:r w:rsidRPr="00436286">
              <w:t>Safety management plan</w:t>
            </w:r>
          </w:p>
        </w:tc>
      </w:tr>
    </w:tbl>
    <w:p w:rsidR="00000000" w:rsidRPr="00436286" w:rsidP="00436286">
      <w:pPr>
        <w:pStyle w:val="BodyText"/>
      </w:pPr>
    </w:p>
    <w:p w:rsidR="00000000" w:rsidRPr="00436286" w:rsidP="00436286">
      <w:pPr>
        <w:pStyle w:val="AllowPageBreak"/>
      </w:pPr>
    </w:p>
    <w:p w:rsidR="00000000" w:rsidRPr="00436286" w:rsidP="00436286">
      <w:pPr>
        <w:pStyle w:val="Heading1"/>
      </w:pPr>
      <w:bookmarkStart w:id="12" w:name="O_538878"/>
      <w:bookmarkEnd w:id="12"/>
      <w:r w:rsidRPr="00436286">
        <w:t>Unit Sector(s)</w:t>
      </w:r>
    </w:p>
    <w:p w:rsidR="00000000" w:rsidRPr="00436286" w:rsidP="00436286">
      <w:pPr>
        <w:pStyle w:val="BodyText"/>
      </w:pPr>
      <w:r w:rsidRPr="00436286">
        <w:t>Not applicable.</w:t>
      </w:r>
    </w:p>
    <w:p w:rsidR="00000000" w:rsidRPr="00436286" w:rsidP="00436286">
      <w:pPr>
        <w:pStyle w:val="AllowPageBreak"/>
      </w:pPr>
    </w:p>
    <w:p w:rsidR="00000000" w:rsidRPr="00436286" w:rsidP="00436286">
      <w:pPr>
        <w:pStyle w:val="Heading1"/>
      </w:pPr>
      <w:bookmarkStart w:id="13" w:name="O_538877"/>
      <w:bookmarkEnd w:id="13"/>
      <w:r w:rsidRPr="00436286">
        <w:t>Competency Field</w:t>
      </w:r>
    </w:p>
    <w:p w:rsidR="00000000" w:rsidRPr="00436286" w:rsidP="00436286">
      <w:pPr>
        <w:pStyle w:val="BodyText"/>
      </w:pPr>
      <w:r w:rsidRPr="00436286">
        <w:t>Seamanship</w:t>
      </w:r>
    </w:p>
    <w:p w:rsidR="00000000" w:rsidRPr="00436286" w:rsidP="00436286"/>
    <w:sectPr w:rsidSect="004362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86" w:rsidRPr="0054238E" w:rsidP="005423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8E" w:rsidP="00436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238E" w:rsidP="004362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4238E" w:rsidP="00436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86" w:rsidRPr="0054238E" w:rsidP="005423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38E" w:rsidRPr="002D2AF8" w:rsidP="00436286">
    <w:pPr>
      <w:pStyle w:val="Header"/>
      <w:framePr w:wrap="around"/>
    </w:pPr>
    <w:r>
      <w:fldChar w:fldCharType="begin"/>
    </w:r>
    <w:r>
      <w:instrText xml:space="preserve"> TITLE   \* MERGEFORMAT </w:instrText>
    </w:r>
    <w:r>
      <w:fldChar w:fldCharType="separate"/>
    </w:r>
    <w:r>
      <w:t>MARN4001A Manage seaworthiness of a vessel up to 80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4238E" w:rsidP="00436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F60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C20E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286"/>
    <w:pPr>
      <w:spacing w:before="360" w:after="60"/>
      <w:outlineLvl w:val="0"/>
    </w:pPr>
    <w:rPr>
      <w:sz w:val="32"/>
    </w:rPr>
  </w:style>
  <w:style w:type="paragraph" w:styleId="Heading2">
    <w:name w:val="heading 2"/>
    <w:basedOn w:val="HeadingBase"/>
    <w:next w:val="BodyText"/>
    <w:link w:val="Heading2Char"/>
    <w:qFormat/>
    <w:rsid w:val="00436286"/>
    <w:pPr>
      <w:keepLines/>
      <w:spacing w:before="240" w:after="120"/>
      <w:outlineLvl w:val="1"/>
    </w:pPr>
    <w:rPr>
      <w:sz w:val="28"/>
      <w:szCs w:val="40"/>
    </w:rPr>
  </w:style>
  <w:style w:type="paragraph" w:styleId="Heading3">
    <w:name w:val="heading 3"/>
    <w:basedOn w:val="HeadingBase"/>
    <w:next w:val="BodyText"/>
    <w:link w:val="Heading3Char"/>
    <w:qFormat/>
    <w:rsid w:val="00436286"/>
    <w:pPr>
      <w:spacing w:before="180" w:after="120"/>
      <w:outlineLvl w:val="2"/>
    </w:pPr>
    <w:rPr>
      <w:spacing w:val="-10"/>
      <w:kern w:val="32"/>
    </w:rPr>
  </w:style>
  <w:style w:type="paragraph" w:styleId="Heading4">
    <w:name w:val="heading 4"/>
    <w:basedOn w:val="HeadingBase"/>
    <w:next w:val="BodyText"/>
    <w:link w:val="Heading4Char"/>
    <w:qFormat/>
    <w:rsid w:val="00436286"/>
    <w:pPr>
      <w:spacing w:before="160" w:after="120"/>
      <w:outlineLvl w:val="3"/>
    </w:pPr>
    <w:rPr>
      <w:sz w:val="22"/>
    </w:rPr>
  </w:style>
  <w:style w:type="paragraph" w:styleId="Heading5">
    <w:name w:val="heading 5"/>
    <w:basedOn w:val="HeadingBase"/>
    <w:next w:val="Normal"/>
    <w:link w:val="Heading5Char"/>
    <w:qFormat/>
    <w:rsid w:val="00436286"/>
    <w:pPr>
      <w:spacing w:before="80"/>
      <w:outlineLvl w:val="4"/>
    </w:pPr>
    <w:rPr>
      <w:color w:val="918585"/>
      <w:sz w:val="20"/>
    </w:rPr>
  </w:style>
  <w:style w:type="paragraph" w:styleId="Heading6">
    <w:name w:val="heading 6"/>
    <w:basedOn w:val="HeadingBase"/>
    <w:next w:val="Normal"/>
    <w:link w:val="Heading6Char"/>
    <w:qFormat/>
    <w:rsid w:val="00436286"/>
    <w:pPr>
      <w:spacing w:before="60"/>
      <w:outlineLvl w:val="5"/>
    </w:pPr>
    <w:rPr>
      <w:color w:val="918585"/>
      <w:sz w:val="20"/>
    </w:rPr>
  </w:style>
  <w:style w:type="paragraph" w:styleId="Heading7">
    <w:name w:val="heading 7"/>
    <w:basedOn w:val="Normal"/>
    <w:next w:val="Normal"/>
    <w:link w:val="Heading7Char"/>
    <w:qFormat/>
    <w:rsid w:val="00436286"/>
    <w:pPr>
      <w:ind w:left="720"/>
      <w:outlineLvl w:val="6"/>
    </w:pPr>
    <w:rPr>
      <w:i/>
    </w:rPr>
  </w:style>
  <w:style w:type="paragraph" w:styleId="Heading8">
    <w:name w:val="heading 8"/>
    <w:basedOn w:val="Normal"/>
    <w:next w:val="Normal"/>
    <w:link w:val="Heading8Char"/>
    <w:qFormat/>
    <w:rsid w:val="00436286"/>
    <w:pPr>
      <w:ind w:left="720"/>
      <w:outlineLvl w:val="7"/>
    </w:pPr>
    <w:rPr>
      <w:i/>
    </w:rPr>
  </w:style>
  <w:style w:type="paragraph" w:styleId="Heading9">
    <w:name w:val="heading 9"/>
    <w:basedOn w:val="Normal"/>
    <w:next w:val="Normal"/>
    <w:link w:val="Heading9Char"/>
    <w:qFormat/>
    <w:rsid w:val="00436286"/>
    <w:pPr>
      <w:ind w:left="720"/>
      <w:outlineLvl w:val="8"/>
    </w:pPr>
    <w:rPr>
      <w:i/>
    </w:rPr>
  </w:style>
  <w:style w:type="character" w:default="1" w:styleId="DefaultParagraphFont">
    <w:name w:val="Default Paragraph Font"/>
    <w:uiPriority w:val="1"/>
    <w:unhideWhenUsed/>
    <w:rsid w:val="00436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286"/>
  </w:style>
  <w:style w:type="character" w:customStyle="1" w:styleId="Heading1Char">
    <w:name w:val="Heading 1 Char"/>
    <w:basedOn w:val="DefaultParagraphFont"/>
    <w:link w:val="Heading1"/>
    <w:rsid w:val="00436286"/>
    <w:rPr>
      <w:rFonts w:ascii="Times New Roman" w:eastAsia="Times New Roman" w:hAnsi="Times New Roman" w:cs="Times New Roman"/>
      <w:b/>
      <w:sz w:val="32"/>
      <w:szCs w:val="20"/>
      <w:lang w:eastAsia="en-US"/>
    </w:rPr>
  </w:style>
  <w:style w:type="paragraph" w:styleId="BodyText">
    <w:name w:val="Body Text"/>
    <w:basedOn w:val="Normal"/>
    <w:link w:val="BodyTextChar"/>
    <w:rsid w:val="004362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6286"/>
    <w:rPr>
      <w:rFonts w:ascii="Times New Roman" w:eastAsia="Times New Roman" w:hAnsi="Times New Roman" w:cs="Times New Roman"/>
      <w:sz w:val="24"/>
      <w:lang w:eastAsia="en-US"/>
    </w:rPr>
  </w:style>
  <w:style w:type="paragraph" w:styleId="ListBullet">
    <w:name w:val="List Bullet"/>
    <w:basedOn w:val="List"/>
    <w:rsid w:val="00436286"/>
    <w:pPr>
      <w:numPr>
        <w:numId w:val="12"/>
      </w:numPr>
      <w:tabs>
        <w:tab w:val="clear" w:pos="340"/>
      </w:tabs>
      <w:spacing w:before="40" w:after="40"/>
    </w:pPr>
  </w:style>
  <w:style w:type="character" w:customStyle="1" w:styleId="SpecialBold">
    <w:name w:val="Special Bold"/>
    <w:basedOn w:val="DefaultParagraphFont"/>
    <w:rsid w:val="00436286"/>
    <w:rPr>
      <w:b/>
      <w:spacing w:val="0"/>
    </w:rPr>
  </w:style>
  <w:style w:type="paragraph" w:customStyle="1" w:styleId="SuperHeading">
    <w:name w:val="SuperHeading"/>
    <w:basedOn w:val="Normal"/>
    <w:rsid w:val="00436286"/>
    <w:pPr>
      <w:spacing w:before="240" w:after="120"/>
      <w:outlineLvl w:val="0"/>
    </w:pPr>
    <w:rPr>
      <w:rFonts w:ascii="Times New Roman" w:hAnsi="Times New Roman"/>
      <w:b/>
      <w:sz w:val="32"/>
    </w:rPr>
  </w:style>
  <w:style w:type="paragraph" w:customStyle="1" w:styleId="AllowPageBreak">
    <w:name w:val="AllowPageBreak"/>
    <w:rsid w:val="004362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36286"/>
    <w:rPr>
      <w:b/>
      <w:i/>
      <w:u w:val="none"/>
    </w:rPr>
  </w:style>
  <w:style w:type="character" w:customStyle="1" w:styleId="Heading2Char">
    <w:name w:val="Heading 2 Char"/>
    <w:basedOn w:val="DefaultParagraphFont"/>
    <w:link w:val="Heading2"/>
    <w:rsid w:val="00436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286"/>
    <w:rPr>
      <w:rFonts w:ascii="Courier New" w:eastAsia="Times New Roman" w:hAnsi="Courier New" w:cs="Times New Roman"/>
      <w:i/>
      <w:szCs w:val="20"/>
      <w:lang w:eastAsia="en-US"/>
    </w:rPr>
  </w:style>
  <w:style w:type="paragraph" w:customStyle="1" w:styleId="HeadingBase">
    <w:name w:val="Heading Base"/>
    <w:rsid w:val="00436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286"/>
    <w:pPr>
      <w:tabs>
        <w:tab w:val="right" w:leader="dot" w:pos="9072"/>
      </w:tabs>
      <w:ind w:left="567"/>
    </w:pPr>
    <w:rPr>
      <w:szCs w:val="22"/>
    </w:rPr>
  </w:style>
  <w:style w:type="paragraph" w:customStyle="1" w:styleId="TOCBase">
    <w:name w:val="TOC Base"/>
    <w:rsid w:val="00436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286"/>
    <w:pPr>
      <w:tabs>
        <w:tab w:val="right" w:leader="dot" w:pos="9072"/>
      </w:tabs>
      <w:spacing w:before="40" w:after="40"/>
      <w:ind w:left="284"/>
    </w:pPr>
    <w:rPr>
      <w:rFonts w:ascii="Times New Roman" w:hAnsi="Times New Roman"/>
    </w:rPr>
  </w:style>
  <w:style w:type="paragraph" w:styleId="TOC1">
    <w:name w:val="toc 1"/>
    <w:basedOn w:val="TOCBase"/>
    <w:next w:val="Normal"/>
    <w:rsid w:val="00436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286"/>
    <w:rPr>
      <w:rFonts w:ascii="Times New Roman" w:eastAsia="Times New Roman" w:hAnsi="Times New Roman" w:cs="Times New Roman"/>
      <w:sz w:val="16"/>
      <w:lang w:eastAsia="en-US"/>
    </w:rPr>
  </w:style>
  <w:style w:type="paragraph" w:styleId="Title">
    <w:name w:val="Title"/>
    <w:basedOn w:val="HeadingBase"/>
    <w:link w:val="TitleChar"/>
    <w:qFormat/>
    <w:rsid w:val="00436286"/>
    <w:pPr>
      <w:spacing w:before="5040"/>
      <w:jc w:val="center"/>
    </w:pPr>
    <w:rPr>
      <w:sz w:val="48"/>
      <w:szCs w:val="72"/>
      <w:lang w:val="en-US"/>
    </w:rPr>
  </w:style>
  <w:style w:type="character" w:customStyle="1" w:styleId="TitleChar">
    <w:name w:val="Title Char"/>
    <w:basedOn w:val="DefaultParagraphFont"/>
    <w:link w:val="Title"/>
    <w:rsid w:val="00436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286"/>
    <w:pPr>
      <w:tabs>
        <w:tab w:val="left" w:pos="3600"/>
        <w:tab w:val="left" w:pos="3958"/>
      </w:tabs>
    </w:pPr>
  </w:style>
  <w:style w:type="paragraph" w:styleId="List">
    <w:name w:val="List"/>
    <w:basedOn w:val="BodyText"/>
    <w:next w:val="BodyText"/>
    <w:rsid w:val="00436286"/>
    <w:pPr>
      <w:tabs>
        <w:tab w:val="left" w:pos="340"/>
      </w:tabs>
      <w:spacing w:before="60" w:after="60"/>
      <w:ind w:left="340" w:hanging="340"/>
    </w:pPr>
  </w:style>
  <w:style w:type="paragraph" w:customStyle="1" w:styleId="Note">
    <w:name w:val="Note"/>
    <w:basedOn w:val="BodyText"/>
    <w:rsid w:val="00436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286"/>
    <w:pPr>
      <w:framePr w:wrap="auto" w:hAnchor="text" w:y="6049"/>
    </w:pPr>
    <w:rPr>
      <w:color w:val="000000"/>
      <w:sz w:val="40"/>
    </w:rPr>
  </w:style>
  <w:style w:type="paragraph" w:customStyle="1" w:styleId="TOCTitle">
    <w:name w:val="TOCTitle"/>
    <w:basedOn w:val="Heading1"/>
    <w:rsid w:val="00436286"/>
    <w:pPr>
      <w:spacing w:after="240"/>
      <w:jc w:val="center"/>
      <w:outlineLvl w:val="9"/>
    </w:pPr>
    <w:rPr>
      <w:caps/>
    </w:rPr>
  </w:style>
  <w:style w:type="paragraph" w:customStyle="1" w:styleId="Version">
    <w:name w:val="Version"/>
    <w:rsid w:val="004362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6286"/>
    <w:pPr>
      <w:numPr>
        <w:numId w:val="13"/>
      </w:numPr>
      <w:tabs>
        <w:tab w:val="clear" w:pos="680"/>
      </w:tabs>
    </w:pPr>
  </w:style>
  <w:style w:type="paragraph" w:styleId="Index1">
    <w:name w:val="index 1"/>
    <w:basedOn w:val="Normal"/>
    <w:next w:val="Normal"/>
    <w:semiHidden/>
    <w:rsid w:val="00436286"/>
    <w:pPr>
      <w:keepNext w:val="0"/>
      <w:tabs>
        <w:tab w:val="right" w:pos="4176"/>
      </w:tabs>
      <w:ind w:left="198" w:hanging="198"/>
    </w:pPr>
    <w:rPr>
      <w:rFonts w:ascii="Garamond" w:hAnsi="Garamond"/>
    </w:rPr>
  </w:style>
  <w:style w:type="paragraph" w:styleId="IndexHeading">
    <w:name w:val="index heading"/>
    <w:basedOn w:val="Normal"/>
    <w:next w:val="Index1"/>
    <w:semiHidden/>
    <w:rsid w:val="00436286"/>
    <w:pPr>
      <w:spacing w:before="120" w:after="120"/>
    </w:pPr>
    <w:rPr>
      <w:rFonts w:ascii="Arial" w:hAnsi="Arial"/>
      <w:b/>
      <w:color w:val="918585"/>
      <w:sz w:val="24"/>
    </w:rPr>
  </w:style>
  <w:style w:type="paragraph" w:styleId="Header">
    <w:name w:val="header"/>
    <w:basedOn w:val="Normal"/>
    <w:link w:val="HeaderChar"/>
    <w:rsid w:val="00436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286"/>
    <w:rPr>
      <w:rFonts w:ascii="Times New Roman" w:eastAsia="Times New Roman" w:hAnsi="Times New Roman" w:cs="Times New Roman"/>
      <w:sz w:val="16"/>
      <w:szCs w:val="20"/>
      <w:lang w:val="en-GB" w:eastAsia="en-US"/>
    </w:rPr>
  </w:style>
  <w:style w:type="paragraph" w:customStyle="1" w:styleId="Chapter">
    <w:name w:val="Chapter"/>
    <w:basedOn w:val="Normal"/>
    <w:rsid w:val="00436286"/>
    <w:pPr>
      <w:spacing w:before="240"/>
    </w:pPr>
    <w:rPr>
      <w:rFonts w:ascii="Times New Roman" w:hAnsi="Times New Roman"/>
      <w:smallCaps/>
      <w:spacing w:val="80"/>
      <w:sz w:val="28"/>
    </w:rPr>
  </w:style>
  <w:style w:type="paragraph" w:customStyle="1" w:styleId="InChapter">
    <w:name w:val="InChapter"/>
    <w:basedOn w:val="Heading3"/>
    <w:rsid w:val="00436286"/>
    <w:pPr>
      <w:spacing w:after="240"/>
      <w:outlineLvl w:val="9"/>
    </w:pPr>
    <w:rPr>
      <w:noProof/>
    </w:rPr>
  </w:style>
  <w:style w:type="paragraph" w:styleId="Index2">
    <w:name w:val="index 2"/>
    <w:basedOn w:val="Normal"/>
    <w:next w:val="Normal"/>
    <w:semiHidden/>
    <w:rsid w:val="00436286"/>
    <w:pPr>
      <w:tabs>
        <w:tab w:val="right" w:pos="4176"/>
      </w:tabs>
      <w:ind w:left="568" w:hanging="284"/>
    </w:pPr>
    <w:rPr>
      <w:rFonts w:ascii="Garamond" w:hAnsi="Garamond"/>
    </w:rPr>
  </w:style>
  <w:style w:type="paragraph" w:customStyle="1" w:styleId="Byline">
    <w:name w:val="Byline"/>
    <w:rsid w:val="00436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286"/>
    <w:pPr>
      <w:tabs>
        <w:tab w:val="clear" w:pos="3600"/>
        <w:tab w:val="clear" w:pos="3958"/>
      </w:tabs>
      <w:jc w:val="right"/>
    </w:pPr>
  </w:style>
  <w:style w:type="character" w:styleId="Emphasis">
    <w:name w:val="Emphasis"/>
    <w:basedOn w:val="DefaultParagraphFont"/>
    <w:qFormat/>
    <w:rsid w:val="00436286"/>
    <w:rPr>
      <w:i/>
    </w:rPr>
  </w:style>
  <w:style w:type="paragraph" w:styleId="Caption">
    <w:name w:val="caption"/>
    <w:basedOn w:val="BodyText"/>
    <w:next w:val="Normal"/>
    <w:qFormat/>
    <w:rsid w:val="00436286"/>
    <w:pPr>
      <w:framePr w:w="2268" w:hSpace="181" w:vSpace="181" w:wrap="around" w:vAnchor="text" w:hAnchor="page" w:x="1135" w:y="285" w:anchorLock="1"/>
    </w:pPr>
    <w:rPr>
      <w:i/>
    </w:rPr>
  </w:style>
  <w:style w:type="paragraph" w:customStyle="1" w:styleId="MiniTOCTitle">
    <w:name w:val="MiniTOCTitle"/>
    <w:basedOn w:val="Heading4"/>
    <w:rsid w:val="00436286"/>
    <w:pPr>
      <w:spacing w:before="240"/>
      <w:outlineLvl w:val="9"/>
    </w:pPr>
    <w:rPr>
      <w:noProof/>
      <w:sz w:val="24"/>
    </w:rPr>
  </w:style>
  <w:style w:type="paragraph" w:customStyle="1" w:styleId="MiniTOCItem">
    <w:name w:val="MiniTOCItem"/>
    <w:basedOn w:val="ListBullet"/>
    <w:rsid w:val="00436286"/>
    <w:pPr>
      <w:numPr>
        <w:numId w:val="0"/>
      </w:numPr>
      <w:tabs>
        <w:tab w:val="right" w:leader="dot" w:pos="6521"/>
      </w:tabs>
      <w:spacing w:before="0" w:after="0"/>
    </w:pPr>
  </w:style>
  <w:style w:type="paragraph" w:customStyle="1" w:styleId="TOFTitle">
    <w:name w:val="TOFTitle"/>
    <w:basedOn w:val="TOCTitle"/>
    <w:rsid w:val="00436286"/>
  </w:style>
  <w:style w:type="paragraph" w:styleId="TableofFigures">
    <w:name w:val="table of figures"/>
    <w:basedOn w:val="Normal"/>
    <w:next w:val="Normal"/>
    <w:semiHidden/>
    <w:rsid w:val="00436286"/>
    <w:pPr>
      <w:tabs>
        <w:tab w:val="right" w:leader="dot" w:pos="9072"/>
      </w:tabs>
      <w:ind w:left="970" w:hanging="403"/>
    </w:pPr>
    <w:rPr>
      <w:rFonts w:ascii="Times New Roman" w:hAnsi="Times New Roman"/>
      <w:b/>
    </w:rPr>
  </w:style>
  <w:style w:type="paragraph" w:styleId="ListNumber">
    <w:name w:val="List Number"/>
    <w:basedOn w:val="List"/>
    <w:rsid w:val="00436286"/>
    <w:pPr>
      <w:numPr>
        <w:numId w:val="10"/>
      </w:numPr>
    </w:pPr>
  </w:style>
  <w:style w:type="character" w:customStyle="1" w:styleId="WingdingSymbols">
    <w:name w:val="Wingding Symbols"/>
    <w:rsid w:val="00436286"/>
    <w:rPr>
      <w:rFonts w:ascii="Wingdings" w:hAnsi="Wingdings"/>
    </w:rPr>
  </w:style>
  <w:style w:type="paragraph" w:customStyle="1" w:styleId="TableHeading">
    <w:name w:val="Table Heading"/>
    <w:basedOn w:val="HeadingBase"/>
    <w:rsid w:val="00436286"/>
    <w:pPr>
      <w:keepLines/>
      <w:pBdr>
        <w:bottom w:val="single" w:sz="6" w:space="1" w:color="918585"/>
      </w:pBdr>
      <w:spacing w:before="240"/>
    </w:pPr>
  </w:style>
  <w:style w:type="character" w:customStyle="1" w:styleId="HotSpot">
    <w:name w:val="HotSpot"/>
    <w:rsid w:val="00436286"/>
    <w:rPr>
      <w:color w:val="0033CC"/>
      <w:u w:val="none"/>
    </w:rPr>
  </w:style>
  <w:style w:type="paragraph" w:customStyle="1" w:styleId="BodyTextRight">
    <w:name w:val="Body Text Right"/>
    <w:basedOn w:val="BodyText"/>
    <w:rsid w:val="00436286"/>
    <w:pPr>
      <w:spacing w:before="0" w:after="0"/>
      <w:jc w:val="right"/>
    </w:pPr>
  </w:style>
  <w:style w:type="paragraph" w:styleId="Index3">
    <w:name w:val="index 3"/>
    <w:basedOn w:val="ListNumber2"/>
    <w:next w:val="Normal"/>
    <w:semiHidden/>
    <w:rsid w:val="00436286"/>
    <w:pPr>
      <w:numPr>
        <w:numId w:val="0"/>
      </w:numPr>
      <w:tabs>
        <w:tab w:val="right" w:leader="dot" w:pos="4176"/>
      </w:tabs>
    </w:pPr>
  </w:style>
  <w:style w:type="paragraph" w:styleId="ListNumber2">
    <w:name w:val="List Number 2"/>
    <w:basedOn w:val="List2"/>
    <w:rsid w:val="00436286"/>
    <w:pPr>
      <w:numPr>
        <w:numId w:val="9"/>
      </w:numPr>
      <w:tabs>
        <w:tab w:val="clear" w:pos="1060"/>
      </w:tabs>
    </w:pPr>
  </w:style>
  <w:style w:type="paragraph" w:customStyle="1" w:styleId="MarginNote">
    <w:name w:val="Margin Note"/>
    <w:basedOn w:val="BodyText"/>
    <w:rsid w:val="00436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286"/>
    <w:rPr>
      <w:sz w:val="32"/>
    </w:rPr>
  </w:style>
  <w:style w:type="paragraph" w:customStyle="1" w:styleId="HeadingProcedure">
    <w:name w:val="Heading Procedure"/>
    <w:basedOn w:val="HeadingBase"/>
    <w:next w:val="Normal"/>
    <w:rsid w:val="00436286"/>
    <w:pPr>
      <w:tabs>
        <w:tab w:val="left" w:pos="0"/>
      </w:tabs>
      <w:spacing w:before="120" w:after="60"/>
    </w:pPr>
    <w:rPr>
      <w:i/>
      <w:color w:val="918585"/>
      <w:sz w:val="22"/>
    </w:rPr>
  </w:style>
  <w:style w:type="paragraph" w:customStyle="1" w:styleId="TableBodyText">
    <w:name w:val="Table Body Text"/>
    <w:basedOn w:val="BodyText"/>
    <w:rsid w:val="00436286"/>
    <w:pPr>
      <w:spacing w:before="60" w:after="60"/>
    </w:pPr>
  </w:style>
  <w:style w:type="paragraph" w:styleId="ListContinue">
    <w:name w:val="List Continue"/>
    <w:basedOn w:val="List"/>
    <w:rsid w:val="00436286"/>
    <w:pPr>
      <w:ind w:firstLine="0"/>
    </w:pPr>
  </w:style>
  <w:style w:type="paragraph" w:customStyle="1" w:styleId="ListNote">
    <w:name w:val="List Note"/>
    <w:basedOn w:val="List"/>
    <w:rsid w:val="00436286"/>
    <w:pPr>
      <w:pBdr>
        <w:top w:val="single" w:sz="6" w:space="2" w:color="918585"/>
        <w:bottom w:val="single" w:sz="6" w:space="2" w:color="918585"/>
      </w:pBdr>
      <w:tabs>
        <w:tab w:val="left" w:pos="1021"/>
      </w:tabs>
      <w:ind w:firstLine="0"/>
    </w:pPr>
  </w:style>
  <w:style w:type="paragraph" w:customStyle="1" w:styleId="Warning">
    <w:name w:val="Warning"/>
    <w:basedOn w:val="BodyText"/>
    <w:rsid w:val="00436286"/>
    <w:pPr>
      <w:shd w:val="clear" w:color="auto" w:fill="D9D9D9"/>
      <w:tabs>
        <w:tab w:val="left" w:pos="992"/>
      </w:tabs>
      <w:ind w:left="119" w:right="119"/>
    </w:pPr>
    <w:rPr>
      <w:sz w:val="20"/>
    </w:rPr>
  </w:style>
  <w:style w:type="paragraph" w:customStyle="1" w:styleId="MarginIcons">
    <w:name w:val="Margin Icons"/>
    <w:basedOn w:val="BodyText"/>
    <w:rsid w:val="00436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286"/>
    <w:rPr>
      <w:rFonts w:ascii="Courier New" w:hAnsi="Courier New"/>
    </w:rPr>
  </w:style>
  <w:style w:type="paragraph" w:customStyle="1" w:styleId="NoteBullet">
    <w:name w:val="Note Bullet"/>
    <w:basedOn w:val="Note"/>
    <w:rsid w:val="00436286"/>
    <w:pPr>
      <w:tabs>
        <w:tab w:val="clear" w:pos="680"/>
      </w:tabs>
      <w:spacing w:before="60" w:after="60"/>
    </w:pPr>
  </w:style>
  <w:style w:type="paragraph" w:customStyle="1" w:styleId="SubHeading2">
    <w:name w:val="SubHeading2"/>
    <w:basedOn w:val="HeadingBase"/>
    <w:rsid w:val="00436286"/>
    <w:pPr>
      <w:spacing w:before="240" w:after="60"/>
    </w:pPr>
    <w:rPr>
      <w:sz w:val="20"/>
    </w:rPr>
  </w:style>
  <w:style w:type="paragraph" w:customStyle="1" w:styleId="SubHeading1">
    <w:name w:val="SubHeading1"/>
    <w:basedOn w:val="HeadingBase"/>
    <w:rsid w:val="00436286"/>
    <w:pPr>
      <w:spacing w:before="240" w:after="60"/>
    </w:pPr>
    <w:rPr>
      <w:color w:val="918585"/>
      <w:sz w:val="22"/>
    </w:rPr>
  </w:style>
  <w:style w:type="paragraph" w:customStyle="1" w:styleId="SideHeading">
    <w:name w:val="Side Heading"/>
    <w:basedOn w:val="HeadingBase"/>
    <w:rsid w:val="00436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286"/>
    <w:pPr>
      <w:tabs>
        <w:tab w:val="num" w:pos="360"/>
      </w:tabs>
    </w:pPr>
  </w:style>
  <w:style w:type="paragraph" w:styleId="PlainText">
    <w:name w:val="Plain Text"/>
    <w:basedOn w:val="Normal"/>
    <w:link w:val="PlainTextChar"/>
    <w:rsid w:val="00436286"/>
    <w:rPr>
      <w:sz w:val="20"/>
    </w:rPr>
  </w:style>
  <w:style w:type="character" w:customStyle="1" w:styleId="PlainTextChar">
    <w:name w:val="Plain Text Char"/>
    <w:basedOn w:val="DefaultParagraphFont"/>
    <w:link w:val="PlainText"/>
    <w:rsid w:val="00436286"/>
    <w:rPr>
      <w:rFonts w:ascii="Courier New" w:eastAsia="Times New Roman" w:hAnsi="Courier New" w:cs="Times New Roman"/>
      <w:sz w:val="20"/>
      <w:szCs w:val="20"/>
      <w:lang w:eastAsia="en-US"/>
    </w:rPr>
  </w:style>
  <w:style w:type="character" w:customStyle="1" w:styleId="MenuOption">
    <w:name w:val="Menu Option"/>
    <w:basedOn w:val="DefaultParagraphFont"/>
    <w:rsid w:val="00436286"/>
    <w:rPr>
      <w:b/>
      <w:smallCaps/>
    </w:rPr>
  </w:style>
  <w:style w:type="paragraph" w:customStyle="1" w:styleId="TableListNumber">
    <w:name w:val="Table List Number"/>
    <w:basedOn w:val="ListNumber"/>
    <w:rsid w:val="00436286"/>
    <w:pPr>
      <w:numPr>
        <w:numId w:val="0"/>
      </w:numPr>
    </w:pPr>
  </w:style>
  <w:style w:type="paragraph" w:styleId="TOC4">
    <w:name w:val="toc 4"/>
    <w:basedOn w:val="TOCBase"/>
    <w:next w:val="Normal"/>
    <w:semiHidden/>
    <w:rsid w:val="00436286"/>
    <w:pPr>
      <w:tabs>
        <w:tab w:val="right" w:leader="dot" w:pos="9071"/>
      </w:tabs>
      <w:ind w:left="1701"/>
    </w:pPr>
  </w:style>
  <w:style w:type="paragraph" w:customStyle="1" w:styleId="ListAlpha">
    <w:name w:val="List Alpha"/>
    <w:basedOn w:val="List"/>
    <w:rsid w:val="00436286"/>
    <w:pPr>
      <w:numPr>
        <w:numId w:val="8"/>
      </w:numPr>
    </w:pPr>
  </w:style>
  <w:style w:type="paragraph" w:customStyle="1" w:styleId="ListAlpha2">
    <w:name w:val="List Alpha 2"/>
    <w:basedOn w:val="List2"/>
    <w:rsid w:val="00436286"/>
    <w:pPr>
      <w:numPr>
        <w:numId w:val="7"/>
      </w:numPr>
    </w:pPr>
  </w:style>
  <w:style w:type="paragraph" w:styleId="List2">
    <w:name w:val="List 2"/>
    <w:basedOn w:val="BodyText"/>
    <w:rsid w:val="00436286"/>
    <w:pPr>
      <w:tabs>
        <w:tab w:val="left" w:pos="680"/>
      </w:tabs>
      <w:spacing w:before="60" w:after="60"/>
      <w:ind w:left="680" w:hanging="340"/>
    </w:pPr>
  </w:style>
  <w:style w:type="paragraph" w:styleId="List3">
    <w:name w:val="List 3"/>
    <w:basedOn w:val="BodyText"/>
    <w:rsid w:val="00436286"/>
    <w:pPr>
      <w:tabs>
        <w:tab w:val="left" w:pos="1021"/>
      </w:tabs>
      <w:spacing w:before="60" w:after="60"/>
      <w:ind w:left="1020" w:hanging="340"/>
    </w:pPr>
  </w:style>
  <w:style w:type="paragraph" w:styleId="List4">
    <w:name w:val="List 4"/>
    <w:basedOn w:val="BodyText"/>
    <w:rsid w:val="00436286"/>
    <w:pPr>
      <w:tabs>
        <w:tab w:val="left" w:pos="1361"/>
      </w:tabs>
      <w:spacing w:before="60" w:after="60"/>
      <w:ind w:left="1361" w:hanging="340"/>
    </w:pPr>
  </w:style>
  <w:style w:type="paragraph" w:styleId="List5">
    <w:name w:val="List 5"/>
    <w:basedOn w:val="BodyText"/>
    <w:rsid w:val="00436286"/>
    <w:pPr>
      <w:tabs>
        <w:tab w:val="left" w:pos="1701"/>
      </w:tabs>
      <w:spacing w:before="60" w:after="60"/>
      <w:ind w:left="1701" w:hanging="340"/>
    </w:pPr>
  </w:style>
  <w:style w:type="paragraph" w:styleId="ListBullet3">
    <w:name w:val="List Bullet 3"/>
    <w:basedOn w:val="List3"/>
    <w:rsid w:val="00436286"/>
    <w:pPr>
      <w:numPr>
        <w:numId w:val="14"/>
      </w:numPr>
      <w:tabs>
        <w:tab w:val="clear" w:pos="1021"/>
      </w:tabs>
      <w:ind w:left="1037" w:hanging="357"/>
    </w:pPr>
  </w:style>
  <w:style w:type="paragraph" w:styleId="ListBullet4">
    <w:name w:val="List Bullet 4"/>
    <w:basedOn w:val="List4"/>
    <w:rsid w:val="00436286"/>
    <w:pPr>
      <w:numPr>
        <w:numId w:val="2"/>
      </w:numPr>
    </w:pPr>
  </w:style>
  <w:style w:type="paragraph" w:styleId="ListBullet5">
    <w:name w:val="List Bullet 5"/>
    <w:basedOn w:val="List5"/>
    <w:rsid w:val="00436286"/>
    <w:pPr>
      <w:numPr>
        <w:numId w:val="3"/>
      </w:numPr>
    </w:pPr>
  </w:style>
  <w:style w:type="paragraph" w:styleId="ListContinue2">
    <w:name w:val="List Continue 2"/>
    <w:basedOn w:val="List2"/>
    <w:rsid w:val="00436286"/>
    <w:pPr>
      <w:ind w:firstLine="0"/>
    </w:pPr>
  </w:style>
  <w:style w:type="paragraph" w:styleId="ListContinue3">
    <w:name w:val="List Continue 3"/>
    <w:basedOn w:val="List3"/>
    <w:rsid w:val="00436286"/>
    <w:pPr>
      <w:ind w:left="1021" w:firstLine="0"/>
    </w:pPr>
  </w:style>
  <w:style w:type="paragraph" w:styleId="ListContinue4">
    <w:name w:val="List Continue 4"/>
    <w:basedOn w:val="List4"/>
    <w:rsid w:val="00436286"/>
    <w:pPr>
      <w:ind w:firstLine="0"/>
    </w:pPr>
  </w:style>
  <w:style w:type="paragraph" w:styleId="ListContinue5">
    <w:name w:val="List Continue 5"/>
    <w:basedOn w:val="List5"/>
    <w:rsid w:val="00436286"/>
    <w:pPr>
      <w:ind w:firstLine="0"/>
    </w:pPr>
  </w:style>
  <w:style w:type="paragraph" w:styleId="ListNumber3">
    <w:name w:val="List Number 3"/>
    <w:basedOn w:val="List3"/>
    <w:rsid w:val="00436286"/>
    <w:pPr>
      <w:numPr>
        <w:numId w:val="4"/>
      </w:numPr>
    </w:pPr>
  </w:style>
  <w:style w:type="paragraph" w:styleId="ListNumber4">
    <w:name w:val="List Number 4"/>
    <w:basedOn w:val="List4"/>
    <w:rsid w:val="00436286"/>
    <w:pPr>
      <w:numPr>
        <w:numId w:val="5"/>
      </w:numPr>
    </w:pPr>
  </w:style>
  <w:style w:type="paragraph" w:styleId="ListNumber5">
    <w:name w:val="List Number 5"/>
    <w:basedOn w:val="List5"/>
    <w:rsid w:val="00436286"/>
    <w:pPr>
      <w:numPr>
        <w:numId w:val="6"/>
      </w:numPr>
    </w:pPr>
  </w:style>
  <w:style w:type="paragraph" w:styleId="BlockText">
    <w:name w:val="Block Text"/>
    <w:basedOn w:val="Normal"/>
    <w:rsid w:val="00436286"/>
    <w:pPr>
      <w:spacing w:after="120"/>
      <w:ind w:left="1440" w:right="1440"/>
    </w:pPr>
  </w:style>
  <w:style w:type="character" w:customStyle="1" w:styleId="Subscript">
    <w:name w:val="Subscript"/>
    <w:basedOn w:val="DefaultParagraphFont"/>
    <w:rsid w:val="00436286"/>
    <w:rPr>
      <w:sz w:val="16"/>
      <w:vertAlign w:val="subscript"/>
    </w:rPr>
  </w:style>
  <w:style w:type="character" w:customStyle="1" w:styleId="Superscript">
    <w:name w:val="Superscript"/>
    <w:basedOn w:val="DefaultParagraphFont"/>
    <w:rsid w:val="00436286"/>
    <w:rPr>
      <w:sz w:val="16"/>
      <w:vertAlign w:val="superscript"/>
    </w:rPr>
  </w:style>
  <w:style w:type="character" w:customStyle="1" w:styleId="Symbols">
    <w:name w:val="Symbols"/>
    <w:basedOn w:val="DefaultParagraphFont"/>
    <w:rsid w:val="00436286"/>
    <w:rPr>
      <w:rFonts w:ascii="Symbol" w:hAnsi="Symbol"/>
    </w:rPr>
  </w:style>
  <w:style w:type="character" w:customStyle="1" w:styleId="MenuOptions">
    <w:name w:val="Menu Options"/>
    <w:basedOn w:val="DefaultParagraphFont"/>
    <w:rsid w:val="00436286"/>
    <w:rPr>
      <w:rFonts w:ascii="Arial Narrow" w:hAnsi="Arial Narrow"/>
      <w:smallCaps/>
    </w:rPr>
  </w:style>
  <w:style w:type="character" w:customStyle="1" w:styleId="Buttons">
    <w:name w:val="Buttons"/>
    <w:basedOn w:val="DefaultParagraphFont"/>
    <w:rsid w:val="00436286"/>
    <w:rPr>
      <w:b/>
    </w:rPr>
  </w:style>
  <w:style w:type="character" w:customStyle="1" w:styleId="Underlined">
    <w:name w:val="Underlined"/>
    <w:basedOn w:val="DefaultParagraphFont"/>
    <w:rsid w:val="00436286"/>
    <w:rPr>
      <w:u w:val="single"/>
    </w:rPr>
  </w:style>
  <w:style w:type="paragraph" w:customStyle="1" w:styleId="TableBodyTextRight">
    <w:name w:val="Table Body Text Right"/>
    <w:basedOn w:val="TableBodyText"/>
    <w:rsid w:val="00436286"/>
    <w:pPr>
      <w:widowControl w:val="0"/>
      <w:autoSpaceDE w:val="0"/>
      <w:autoSpaceDN w:val="0"/>
      <w:adjustRightInd w:val="0"/>
      <w:jc w:val="right"/>
    </w:pPr>
    <w:rPr>
      <w:rFonts w:cs="Arial"/>
      <w:szCs w:val="18"/>
    </w:rPr>
  </w:style>
  <w:style w:type="paragraph" w:customStyle="1" w:styleId="CopyrightText">
    <w:name w:val="Copyright Text"/>
    <w:basedOn w:val="BodyText"/>
    <w:rsid w:val="00436286"/>
    <w:rPr>
      <w:sz w:val="18"/>
    </w:rPr>
  </w:style>
  <w:style w:type="paragraph" w:customStyle="1" w:styleId="BodySmallRight">
    <w:name w:val="Body Small Right"/>
    <w:basedOn w:val="BodyTextRight"/>
    <w:rsid w:val="00436286"/>
    <w:rPr>
      <w:sz w:val="18"/>
      <w:szCs w:val="18"/>
    </w:rPr>
  </w:style>
  <w:style w:type="paragraph" w:customStyle="1" w:styleId="MarginEdition">
    <w:name w:val="Margin Edition"/>
    <w:basedOn w:val="MarginNote"/>
    <w:rsid w:val="00436286"/>
    <w:pPr>
      <w:spacing w:before="0" w:after="0"/>
    </w:pPr>
    <w:rPr>
      <w:rFonts w:ascii="Times New Roman" w:hAnsi="Times New Roman"/>
      <w:color w:val="999999"/>
    </w:rPr>
  </w:style>
  <w:style w:type="paragraph" w:customStyle="1" w:styleId="Spacer">
    <w:name w:val="Spacer"/>
    <w:basedOn w:val="Normal"/>
    <w:rsid w:val="00436286"/>
    <w:rPr>
      <w:sz w:val="2"/>
      <w:szCs w:val="2"/>
    </w:rPr>
  </w:style>
  <w:style w:type="character" w:customStyle="1" w:styleId="Small">
    <w:name w:val="Small"/>
    <w:basedOn w:val="DefaultParagraphFont"/>
    <w:rsid w:val="00436286"/>
    <w:rPr>
      <w:sz w:val="16"/>
    </w:rPr>
  </w:style>
  <w:style w:type="paragraph" w:customStyle="1" w:styleId="WideTable">
    <w:name w:val="Wide Table"/>
    <w:basedOn w:val="Normal"/>
    <w:rsid w:val="00436286"/>
    <w:pPr>
      <w:ind w:left="-1418"/>
    </w:pPr>
    <w:rPr>
      <w:sz w:val="2"/>
      <w:szCs w:val="2"/>
    </w:rPr>
  </w:style>
  <w:style w:type="character" w:styleId="PageNumber">
    <w:name w:val="page number"/>
    <w:basedOn w:val="DefaultParagraphFont"/>
    <w:rsid w:val="00436286"/>
  </w:style>
  <w:style w:type="paragraph" w:styleId="Quote">
    <w:name w:val="Quote"/>
    <w:basedOn w:val="Heading1"/>
    <w:link w:val="QuoteChar"/>
    <w:qFormat/>
    <w:rsid w:val="00436286"/>
    <w:rPr>
      <w:b w:val="0"/>
      <w:sz w:val="72"/>
      <w:szCs w:val="72"/>
      <w:lang w:val="en-NZ"/>
    </w:rPr>
  </w:style>
  <w:style w:type="character" w:customStyle="1" w:styleId="QuoteChar">
    <w:name w:val="Quote Char"/>
    <w:basedOn w:val="DefaultParagraphFont"/>
    <w:link w:val="Quote"/>
    <w:rsid w:val="00436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286"/>
    <w:pPr>
      <w:pageBreakBefore/>
    </w:pPr>
  </w:style>
  <w:style w:type="paragraph" w:customStyle="1" w:styleId="Border">
    <w:name w:val="Border"/>
    <w:basedOn w:val="Normal"/>
    <w:qFormat/>
    <w:rsid w:val="00436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286"/>
    <w:rPr>
      <w:b/>
      <w:bCs/>
      <w:i/>
      <w:iCs/>
      <w:color w:val="auto"/>
    </w:rPr>
  </w:style>
  <w:style w:type="paragraph" w:styleId="IntenseQuote">
    <w:name w:val="Intense Quote"/>
    <w:basedOn w:val="Normal"/>
    <w:next w:val="Normal"/>
    <w:link w:val="IntenseQuoteChar"/>
    <w:uiPriority w:val="30"/>
    <w:qFormat/>
    <w:rsid w:val="00436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286"/>
    <w:rPr>
      <w:smallCaps/>
      <w:color w:val="auto"/>
      <w:u w:val="single"/>
    </w:rPr>
  </w:style>
  <w:style w:type="character" w:styleId="IntenseReference">
    <w:name w:val="Intense Reference"/>
    <w:basedOn w:val="DefaultParagraphFont"/>
    <w:uiPriority w:val="32"/>
    <w:qFormat/>
    <w:rsid w:val="00436286"/>
    <w:rPr>
      <w:b/>
      <w:bCs/>
      <w:smallCaps/>
      <w:color w:val="auto"/>
      <w:spacing w:val="5"/>
      <w:u w:val="single"/>
    </w:rPr>
  </w:style>
  <w:style w:type="paragraph" w:customStyle="1" w:styleId="2ColumnHeading">
    <w:name w:val="2Column Heading"/>
    <w:basedOn w:val="BodyText"/>
    <w:qFormat/>
    <w:rsid w:val="00436286"/>
    <w:pPr>
      <w:spacing w:after="60"/>
      <w:ind w:left="-2268"/>
    </w:pPr>
    <w:rPr>
      <w:b/>
    </w:rPr>
  </w:style>
  <w:style w:type="paragraph" w:customStyle="1" w:styleId="Heading1TOC">
    <w:name w:val="Heading1 TOC"/>
    <w:basedOn w:val="Normal"/>
    <w:qFormat/>
    <w:rsid w:val="00436286"/>
    <w:pPr>
      <w:spacing w:before="240" w:after="120"/>
    </w:pPr>
    <w:rPr>
      <w:rFonts w:ascii="Times New Roman" w:hAnsi="Times New Roman"/>
      <w:b/>
      <w:sz w:val="32"/>
    </w:rPr>
  </w:style>
  <w:style w:type="paragraph" w:customStyle="1" w:styleId="Heading2TOC">
    <w:name w:val="Heading2 TOC"/>
    <w:basedOn w:val="Normal"/>
    <w:qFormat/>
    <w:rsid w:val="00436286"/>
    <w:pPr>
      <w:spacing w:before="240" w:after="60"/>
    </w:pPr>
    <w:rPr>
      <w:rFonts w:ascii="Times New Roman" w:hAnsi="Times New Roman"/>
      <w:b/>
      <w:sz w:val="28"/>
    </w:rPr>
  </w:style>
  <w:style w:type="character" w:customStyle="1" w:styleId="Underline">
    <w:name w:val="Underline"/>
    <w:basedOn w:val="DefaultParagraphFont"/>
    <w:qFormat/>
    <w:rsid w:val="00436286"/>
    <w:rPr>
      <w:u w:val="single"/>
    </w:rPr>
  </w:style>
  <w:style w:type="paragraph" w:styleId="BalloonText">
    <w:name w:val="Balloon Text"/>
    <w:basedOn w:val="Normal"/>
    <w:link w:val="BalloonTextChar"/>
    <w:rsid w:val="00436286"/>
    <w:rPr>
      <w:rFonts w:ascii="Tahoma" w:hAnsi="Tahoma" w:cs="Tahoma"/>
      <w:sz w:val="16"/>
      <w:szCs w:val="16"/>
    </w:rPr>
  </w:style>
  <w:style w:type="character" w:customStyle="1" w:styleId="BalloonTextChar">
    <w:name w:val="Balloon Text Char"/>
    <w:basedOn w:val="DefaultParagraphFont"/>
    <w:link w:val="BalloonText"/>
    <w:rsid w:val="00436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2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6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286"/>
    <w:rPr>
      <w:b/>
      <w:color w:val="660033"/>
      <w:spacing w:val="0"/>
    </w:rPr>
  </w:style>
  <w:style w:type="paragraph" w:customStyle="1" w:styleId="Nameditemlist">
    <w:name w:val="Named item list"/>
    <w:basedOn w:val="BodyText"/>
    <w:qFormat/>
    <w:rsid w:val="004362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974</Words>
  <Characters>5977</Characters>
  <Application>Microsoft Office Word</Application>
  <DocSecurity>0</DocSecurity>
  <Lines>217</Lines>
  <Paragraphs>115</Paragraphs>
  <ScaleCrop>false</ScaleCrop>
  <Company>Author-it Software Corporation Ltd.</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MARN4001A Manage seaworthiness of a vessel up to 80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2013-06-06T04:49:00Z</dcterms:created>
  <dcterms:modified xsi:type="dcterms:W3CDTF">2013-06-06T04:49:00Z</dcterms:modified>
</cp:coreProperties>
</file>