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&#65279;<?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 Generated by Aspose.Words for .NET 11.10.0.0 -->
  <w:body>
    <w:p w:rsidR="009B2E1B" w:rsidP="009B2E1B">
      <w:pPr>
        <w:pStyle w:val="Title"/>
      </w:pPr>
      <w:r>
        <w:fldChar w:fldCharType="begin"/>
      </w:r>
      <w:r>
        <w:instrText xml:space="preserve"> TITLE   \* MERGEFORMAT </w:instrText>
      </w:r>
      <w:r>
        <w:fldChar w:fldCharType="separate"/>
      </w:r>
      <w:r>
        <w:t>MARM5007A Survey vessel operational systems</w:t>
      </w:r>
      <w:r>
        <w:fldChar w:fldCharType="end"/>
      </w:r>
    </w:p>
    <w:p w:rsidR="009B2E1B" w:rsidP="009B2E1B">
      <w:pPr>
        <w:pStyle w:val="Version"/>
        <w:sectPr w:rsidSect="009D19FD">
          <w:headerReference w:type="even" r:id="rId4"/>
          <w:headerReference w:type="default" r:id="rId5"/>
          <w:footerReference w:type="even" r:id="rId6"/>
          <w:footerReference w:type="default" r:id="rId7"/>
          <w:headerReference w:type="first" r:id="rId8"/>
          <w:footerReference w:type="first" r:id="rId9"/>
          <w:pgSz w:w="11908" w:h="16833"/>
          <w:pgMar w:top="1700" w:right="1418" w:bottom="1700" w:left="1418" w:header="992" w:footer="992" w:gutter="0"/>
          <w:cols w:space="720"/>
          <w:noEndnote/>
          <w:docGrid w:linePitch="299"/>
        </w:sectPr>
      </w:pPr>
      <w:r>
        <w:fldChar w:fldCharType="begin"/>
      </w:r>
      <w:r>
        <w:instrText xml:space="preserve"> DOCPROPERTY  Keywords  \* MERGEFORMAT </w:instrText>
      </w:r>
      <w:r>
        <w:fldChar w:fldCharType="separate"/>
      </w:r>
      <w:r>
        <w:t>Release 1</w:t>
      </w:r>
      <w:r>
        <w:fldChar w:fldCharType="end"/>
      </w:r>
    </w:p>
    <w:p w:rsidR="00000000" w:rsidRPr="009D19FD" w:rsidP="009D19FD">
      <w:pPr>
        <w:pStyle w:val="SuperHeading"/>
      </w:pPr>
      <w:r w:rsidRPr="009D19FD">
        <w:t>MARM5007A Survey vessel operational systems</w:t>
      </w:r>
    </w:p>
    <w:p w:rsidR="00000000" w:rsidRPr="009D19FD" w:rsidP="009D19FD">
      <w:pPr>
        <w:pStyle w:val="Heading1"/>
      </w:pPr>
      <w:bookmarkStart w:id="1" w:name="O_538771"/>
      <w:bookmarkEnd w:id="1"/>
      <w:r w:rsidRPr="009D19FD">
        <w:t>Modification History</w:t>
      </w:r>
    </w:p>
    <w:p w:rsidR="00000000" w:rsidRPr="009D19FD" w:rsidP="009D19FD">
      <w:pPr>
        <w:pStyle w:val="BodyText"/>
      </w:pPr>
      <w:r w:rsidRPr="009D19FD">
        <w:t>Release 1</w:t>
      </w:r>
    </w:p>
    <w:p w:rsidR="00000000" w:rsidRPr="009D19FD" w:rsidP="009D19FD">
      <w:pPr>
        <w:pStyle w:val="BodyText"/>
      </w:pPr>
      <w:r w:rsidRPr="009D19FD">
        <w:t>This is the first release of this unit.</w:t>
      </w:r>
    </w:p>
    <w:p w:rsidR="00000000" w:rsidRPr="009D19FD" w:rsidP="009D19FD">
      <w:pPr>
        <w:pStyle w:val="AllowPageBreak"/>
      </w:pPr>
    </w:p>
    <w:p w:rsidR="00000000" w:rsidRPr="009D19FD" w:rsidP="009D19FD">
      <w:pPr>
        <w:pStyle w:val="Heading1"/>
      </w:pPr>
      <w:bookmarkStart w:id="2" w:name="O_538783"/>
      <w:bookmarkEnd w:id="2"/>
      <w:r w:rsidRPr="009D19FD">
        <w:t>Unit Descriptor</w:t>
      </w:r>
    </w:p>
    <w:p w:rsidR="00000000" w:rsidRPr="009D19FD" w:rsidP="009D19FD">
      <w:pPr>
        <w:pStyle w:val="BodyText"/>
      </w:pPr>
      <w:r w:rsidRPr="009D19FD">
        <w:t>This unit involves the skills and knowledge required to undertake a periodic survey of vessel operational systems including propulsion and steering gear</w:t>
      </w:r>
      <w:r w:rsidRPr="009D19FD">
        <w:t xml:space="preserve"> systems, deck machinery, pumping systems, power generation, refrigeration plant, liquid petroleum gas (LPG) systems for appliances and navigational systems.</w:t>
      </w:r>
    </w:p>
    <w:p w:rsidR="00000000" w:rsidRPr="009D19FD" w:rsidP="009D19FD">
      <w:pPr>
        <w:pStyle w:val="AllowPageBreak"/>
      </w:pPr>
    </w:p>
    <w:p w:rsidR="00000000" w:rsidRPr="009D19FD" w:rsidP="009D19FD">
      <w:pPr>
        <w:pStyle w:val="Heading1"/>
      </w:pPr>
      <w:bookmarkStart w:id="3" w:name="O_538782"/>
      <w:bookmarkEnd w:id="3"/>
      <w:r w:rsidRPr="009D19FD">
        <w:t>Application of the Unit</w:t>
      </w:r>
    </w:p>
    <w:p w:rsidR="00000000" w:rsidRPr="009D19FD" w:rsidP="009D19FD">
      <w:pPr>
        <w:pStyle w:val="BodyText"/>
      </w:pPr>
      <w:r w:rsidRPr="009D19FD">
        <w:t>This unit applies to people working in the maritime indus</w:t>
      </w:r>
      <w:r w:rsidRPr="009D19FD">
        <w:t>try as a domestic commercial vessel marine surveyor and may form part of accreditation requirements for surveyors under Australian legislation.</w:t>
      </w:r>
    </w:p>
    <w:p w:rsidR="00000000" w:rsidRPr="009D19FD" w:rsidP="009D19FD">
      <w:pPr>
        <w:pStyle w:val="AllowPageBreak"/>
      </w:pPr>
    </w:p>
    <w:p w:rsidR="00000000" w:rsidRPr="009D19FD" w:rsidP="009D19FD">
      <w:pPr>
        <w:pStyle w:val="Heading1"/>
      </w:pPr>
      <w:bookmarkStart w:id="4" w:name="O_538781"/>
      <w:bookmarkEnd w:id="4"/>
      <w:r w:rsidRPr="009D19FD">
        <w:t>Licensing/Regulatory Information</w:t>
      </w:r>
    </w:p>
    <w:p w:rsidR="00000000" w:rsidRPr="009D19FD" w:rsidP="009D19FD">
      <w:pPr>
        <w:pStyle w:val="BodyText"/>
      </w:pPr>
      <w:r w:rsidRPr="009D19FD">
        <w:t>Not applicable.</w:t>
      </w:r>
    </w:p>
    <w:p w:rsidR="00000000" w:rsidRPr="009D19FD" w:rsidP="009D19FD">
      <w:pPr>
        <w:pStyle w:val="AllowPageBreak"/>
      </w:pPr>
    </w:p>
    <w:p w:rsidR="00000000" w:rsidRPr="009D19FD" w:rsidP="009D19FD">
      <w:pPr>
        <w:pStyle w:val="Heading1"/>
      </w:pPr>
      <w:bookmarkStart w:id="5" w:name="O_538780"/>
      <w:bookmarkEnd w:id="5"/>
      <w:r w:rsidRPr="009D19FD">
        <w:t>Pre-Requisites</w:t>
      </w:r>
    </w:p>
    <w:p w:rsidR="00000000" w:rsidRPr="009D19FD" w:rsidP="009D19FD">
      <w:pPr>
        <w:pStyle w:val="BodyText"/>
      </w:pPr>
      <w:r w:rsidRPr="009D19FD">
        <w:t>Not applicable</w:t>
      </w:r>
      <w:r w:rsidRPr="009D19FD">
        <w:t>.</w:t>
      </w:r>
    </w:p>
    <w:p w:rsidR="00000000" w:rsidRPr="009D19FD" w:rsidP="009D19FD">
      <w:pPr>
        <w:pStyle w:val="AllowPageBreak"/>
      </w:pPr>
    </w:p>
    <w:p w:rsidR="00000000" w:rsidRPr="009D19FD" w:rsidP="009D19FD">
      <w:pPr>
        <w:pStyle w:val="Heading1"/>
      </w:pPr>
      <w:bookmarkStart w:id="6" w:name="O_538779"/>
      <w:bookmarkEnd w:id="6"/>
      <w:r w:rsidRPr="009D19FD">
        <w:t>Employability Skills Information</w:t>
      </w:r>
    </w:p>
    <w:p w:rsidR="00000000" w:rsidRPr="009D19FD" w:rsidP="009D19FD">
      <w:pPr>
        <w:pStyle w:val="BodyText"/>
      </w:pPr>
      <w:r w:rsidRPr="009D19FD">
        <w:t>This unit contains employability skills.</w:t>
      </w:r>
    </w:p>
    <w:p w:rsidR="00000000" w:rsidRPr="009D19FD" w:rsidP="009D19FD">
      <w:pPr>
        <w:pStyle w:val="AllowPageBreak"/>
      </w:pPr>
    </w:p>
    <w:p w:rsidR="00000000" w:rsidRPr="009D19FD" w:rsidP="009D19FD">
      <w:pPr>
        <w:pStyle w:val="Heading1"/>
      </w:pPr>
      <w:bookmarkStart w:id="7" w:name="O_538778"/>
      <w:bookmarkEnd w:id="7"/>
      <w:r w:rsidRPr="009D19FD">
        <w:t>Elements and Performance Criteria Pre-Content</w:t>
      </w:r>
    </w:p>
    <w:tbl>
      <w:tblPr>
        <w:tblW w:w="9640" w:type="dxa"/>
        <w:tblLayout w:type="fixed"/>
        <w:tblCellMar>
          <w:left w:w="62" w:type="dxa"/>
          <w:right w:w="62" w:type="dxa"/>
        </w:tblCellMar>
        <w:tblLook w:val="0000"/>
      </w:tblPr>
      <w:tblGrid>
        <w:gridCol w:w="2776"/>
        <w:gridCol w:w="6864"/>
      </w:tblGrid>
      <w:tr w:rsidTr="009B2E1B">
        <w:tblPrEx>
          <w:tblW w:w="9640" w:type="dxa"/>
          <w:tblLayout w:type="fixed"/>
          <w:tblCellMar>
            <w:left w:w="62" w:type="dxa"/>
            <w:right w:w="62" w:type="dxa"/>
          </w:tblCellMar>
          <w:tblLook w:val="0000"/>
        </w:tblPrEx>
        <w:tc>
          <w:tcPr>
            <w:tcW w:w="2776" w:type="dxa"/>
            <w:tcBorders>
              <w:top w:val="nil"/>
              <w:left w:val="nil"/>
              <w:bottom w:val="nil"/>
              <w:right w:val="nil"/>
            </w:tcBorders>
            <w:tcMar>
              <w:top w:w="0" w:type="dxa"/>
              <w:left w:w="62" w:type="dxa"/>
              <w:bottom w:w="0" w:type="dxa"/>
              <w:right w:w="62" w:type="dxa"/>
            </w:tcMar>
          </w:tcPr>
          <w:p w:rsidR="00000000" w:rsidP="009D19FD">
            <w:pPr>
              <w:pStyle w:val="BodyText"/>
              <w:rPr>
                <w:lang w:val="en-NZ"/>
              </w:rPr>
            </w:pPr>
            <w:r w:rsidRPr="009D19FD">
              <w:t>Elements describe the essential outcomes of a unit of competency.</w:t>
            </w:r>
          </w:p>
        </w:tc>
        <w:tc>
          <w:tcPr>
            <w:tcW w:w="6864" w:type="dxa"/>
            <w:tcBorders>
              <w:top w:val="nil"/>
              <w:left w:val="nil"/>
              <w:bottom w:val="nil"/>
              <w:right w:val="nil"/>
            </w:tcBorders>
            <w:tcMar>
              <w:top w:w="0" w:type="dxa"/>
              <w:left w:w="62" w:type="dxa"/>
              <w:bottom w:w="0" w:type="dxa"/>
              <w:right w:w="62" w:type="dxa"/>
            </w:tcMar>
          </w:tcPr>
          <w:p w:rsidR="00000000" w:rsidRPr="009D19FD" w:rsidP="009D19FD">
            <w:pPr>
              <w:pStyle w:val="BodyText"/>
            </w:pPr>
            <w:r w:rsidRPr="009D19FD">
              <w:t xml:space="preserve">Performance criteria describe the </w:t>
            </w:r>
            <w:r w:rsidRPr="009D19FD">
              <w:t>required performance needed to demonstrate achievement of the element. Assessment of performance is to be consistent with the evidence guide.</w:t>
            </w:r>
          </w:p>
        </w:tc>
      </w:tr>
    </w:tbl>
    <w:p w:rsidR="00000000" w:rsidRPr="009D19FD" w:rsidP="009D19FD">
      <w:pPr>
        <w:pStyle w:val="BodyText"/>
      </w:pPr>
    </w:p>
    <w:p w:rsidR="00000000" w:rsidRPr="009D19FD" w:rsidP="009D19FD">
      <w:pPr>
        <w:pStyle w:val="AllowPageBreak"/>
      </w:pPr>
    </w:p>
    <w:p w:rsidR="00000000" w:rsidRPr="009D19FD" w:rsidP="009D19FD">
      <w:pPr>
        <w:pStyle w:val="Heading1"/>
      </w:pPr>
      <w:bookmarkStart w:id="8" w:name="O_538777"/>
      <w:bookmarkEnd w:id="8"/>
      <w:r w:rsidRPr="009D19FD">
        <w:t>Elements and Performance Criteria</w:t>
      </w:r>
    </w:p>
    <w:tbl>
      <w:tblPr>
        <w:tblW w:w="9640" w:type="dxa"/>
        <w:tblLayout w:type="fixed"/>
        <w:tblCellMar>
          <w:left w:w="62" w:type="dxa"/>
          <w:right w:w="62" w:type="dxa"/>
        </w:tblCellMar>
        <w:tblLook w:val="0000"/>
      </w:tblPr>
      <w:tblGrid>
        <w:gridCol w:w="293"/>
        <w:gridCol w:w="1899"/>
        <w:gridCol w:w="584"/>
        <w:gridCol w:w="6864"/>
      </w:tblGrid>
      <w:tr w:rsidTr="009B2E1B">
        <w:tblPrEx>
          <w:tblW w:w="9640" w:type="dxa"/>
          <w:tblLayout w:type="fixed"/>
          <w:tblCellMar>
            <w:left w:w="62" w:type="dxa"/>
            <w:right w:w="62" w:type="dxa"/>
          </w:tblCellMar>
          <w:tblLook w:val="0000"/>
        </w:tblPrEx>
        <w:tc>
          <w:tcPr>
            <w:tcW w:w="293" w:type="dxa"/>
            <w:vMerge w:val="restart"/>
            <w:tcBorders>
              <w:top w:val="nil"/>
              <w:left w:val="nil"/>
              <w:bottom w:val="nil"/>
              <w:right w:val="nil"/>
            </w:tcBorders>
            <w:tcMar>
              <w:top w:w="0" w:type="dxa"/>
              <w:left w:w="62" w:type="dxa"/>
              <w:bottom w:w="0" w:type="dxa"/>
              <w:right w:w="62" w:type="dxa"/>
            </w:tcMar>
          </w:tcPr>
          <w:p w:rsidR="00000000" w:rsidRPr="009D19FD" w:rsidP="009D19FD">
            <w:pPr>
              <w:pStyle w:val="BodyText"/>
            </w:pPr>
            <w:r w:rsidRPr="009D19FD">
              <w:rPr>
                <w:rStyle w:val="SpecialBold"/>
              </w:rPr>
              <w:t>1</w:t>
            </w:r>
          </w:p>
        </w:tc>
        <w:tc>
          <w:tcPr>
            <w:tcW w:w="1899" w:type="dxa"/>
            <w:vMerge w:val="restart"/>
            <w:tcBorders>
              <w:top w:val="nil"/>
              <w:left w:val="nil"/>
              <w:bottom w:val="nil"/>
              <w:right w:val="nil"/>
            </w:tcBorders>
            <w:tcMar>
              <w:top w:w="0" w:type="dxa"/>
              <w:left w:w="62" w:type="dxa"/>
              <w:bottom w:w="0" w:type="dxa"/>
              <w:right w:w="62" w:type="dxa"/>
            </w:tcMar>
          </w:tcPr>
          <w:p w:rsidR="00000000" w:rsidP="009D19FD">
            <w:pPr>
              <w:pStyle w:val="BodyText"/>
              <w:rPr>
                <w:lang w:val="en-NZ"/>
              </w:rPr>
            </w:pPr>
            <w:r w:rsidRPr="009D19FD">
              <w:rPr>
                <w:rStyle w:val="SpecialBold"/>
              </w:rPr>
              <w:t>Identify survey requirements</w:t>
            </w:r>
          </w:p>
        </w:tc>
        <w:tc>
          <w:tcPr>
            <w:tcW w:w="584" w:type="dxa"/>
            <w:tcBorders>
              <w:top w:val="nil"/>
              <w:left w:val="nil"/>
              <w:bottom w:val="nil"/>
              <w:right w:val="nil"/>
            </w:tcBorders>
            <w:tcMar>
              <w:top w:w="0" w:type="dxa"/>
              <w:left w:w="62" w:type="dxa"/>
              <w:bottom w:w="0" w:type="dxa"/>
              <w:right w:w="62" w:type="dxa"/>
            </w:tcMar>
          </w:tcPr>
          <w:p w:rsidR="00000000" w:rsidRPr="009D19FD" w:rsidP="009D19FD">
            <w:pPr>
              <w:pStyle w:val="BodyText"/>
            </w:pPr>
            <w:r w:rsidRPr="009D19FD">
              <w:t>1.1</w:t>
            </w:r>
          </w:p>
        </w:tc>
        <w:tc>
          <w:tcPr>
            <w:tcW w:w="6864" w:type="dxa"/>
            <w:tcBorders>
              <w:top w:val="nil"/>
              <w:left w:val="nil"/>
              <w:bottom w:val="nil"/>
              <w:right w:val="nil"/>
            </w:tcBorders>
            <w:tcMar>
              <w:top w:w="0" w:type="dxa"/>
              <w:left w:w="62" w:type="dxa"/>
              <w:bottom w:w="0" w:type="dxa"/>
              <w:right w:w="62" w:type="dxa"/>
            </w:tcMar>
          </w:tcPr>
          <w:p w:rsidR="00000000" w:rsidP="009D19FD">
            <w:pPr>
              <w:pStyle w:val="BodyText"/>
              <w:rPr>
                <w:lang w:val="en-NZ"/>
              </w:rPr>
            </w:pPr>
            <w:r w:rsidRPr="009D19FD">
              <w:rPr>
                <w:rStyle w:val="BoldandItalics"/>
              </w:rPr>
              <w:t xml:space="preserve">Relevant standards </w:t>
            </w:r>
            <w:r w:rsidRPr="009D19FD">
              <w:t>for vessel equipment and operational systems are identified, accessed and incorporated into survey plan as required</w:t>
            </w:r>
          </w:p>
        </w:tc>
      </w:tr>
      <w:tr w:rsidTr="009B2E1B">
        <w:tblPrEx>
          <w:tblW w:w="9640" w:type="dxa"/>
          <w:tblLayout w:type="fixed"/>
          <w:tblCellMar>
            <w:left w:w="62" w:type="dxa"/>
            <w:right w:w="62" w:type="dxa"/>
          </w:tblCellMar>
          <w:tblLook w:val="0000"/>
        </w:tblPrEx>
        <w:tc>
          <w:tcPr>
            <w:tcW w:w="293" w:type="dxa"/>
            <w:vMerge/>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1899" w:type="dxa"/>
            <w:vMerge/>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584" w:type="dxa"/>
            <w:tcBorders>
              <w:top w:val="nil"/>
              <w:left w:val="nil"/>
              <w:bottom w:val="nil"/>
              <w:right w:val="nil"/>
            </w:tcBorders>
            <w:tcMar>
              <w:top w:w="0" w:type="dxa"/>
              <w:left w:w="62" w:type="dxa"/>
              <w:bottom w:w="0" w:type="dxa"/>
              <w:right w:w="62" w:type="dxa"/>
            </w:tcMar>
          </w:tcPr>
          <w:p w:rsidR="00000000" w:rsidRPr="009D19FD" w:rsidP="009D19FD">
            <w:pPr>
              <w:pStyle w:val="BodyText"/>
            </w:pPr>
            <w:r w:rsidRPr="009D19FD">
              <w:t>1.2</w:t>
            </w:r>
          </w:p>
        </w:tc>
        <w:tc>
          <w:tcPr>
            <w:tcW w:w="6864" w:type="dxa"/>
            <w:tcBorders>
              <w:top w:val="nil"/>
              <w:left w:val="nil"/>
              <w:bottom w:val="nil"/>
              <w:right w:val="nil"/>
            </w:tcBorders>
            <w:tcMar>
              <w:top w:w="0" w:type="dxa"/>
              <w:left w:w="62" w:type="dxa"/>
              <w:bottom w:w="0" w:type="dxa"/>
              <w:right w:w="62" w:type="dxa"/>
            </w:tcMar>
          </w:tcPr>
          <w:p w:rsidR="00000000" w:rsidP="009D19FD">
            <w:pPr>
              <w:pStyle w:val="BodyText"/>
              <w:rPr>
                <w:lang w:val="en-NZ"/>
              </w:rPr>
            </w:pPr>
            <w:r w:rsidRPr="009D19FD">
              <w:rPr>
                <w:rStyle w:val="BoldandItalics"/>
              </w:rPr>
              <w:t>Survey scope and depth</w:t>
            </w:r>
            <w:r w:rsidRPr="009D19FD">
              <w:t xml:space="preserve"> is confirmed against relevant standards and organisational requirements</w:t>
            </w:r>
          </w:p>
        </w:tc>
      </w:tr>
      <w:tr w:rsidTr="009B2E1B">
        <w:tblPrEx>
          <w:tblW w:w="9640" w:type="dxa"/>
          <w:tblLayout w:type="fixed"/>
          <w:tblCellMar>
            <w:left w:w="62" w:type="dxa"/>
            <w:right w:w="62" w:type="dxa"/>
          </w:tblCellMar>
          <w:tblLook w:val="0000"/>
        </w:tblPrEx>
        <w:tc>
          <w:tcPr>
            <w:tcW w:w="293" w:type="dxa"/>
            <w:vMerge/>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1899" w:type="dxa"/>
            <w:vMerge/>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584" w:type="dxa"/>
            <w:tcBorders>
              <w:top w:val="nil"/>
              <w:left w:val="nil"/>
              <w:bottom w:val="nil"/>
              <w:right w:val="nil"/>
            </w:tcBorders>
            <w:tcMar>
              <w:top w:w="0" w:type="dxa"/>
              <w:left w:w="62" w:type="dxa"/>
              <w:bottom w:w="0" w:type="dxa"/>
              <w:right w:w="62" w:type="dxa"/>
            </w:tcMar>
          </w:tcPr>
          <w:p w:rsidR="00000000" w:rsidRPr="009D19FD" w:rsidP="009D19FD">
            <w:pPr>
              <w:pStyle w:val="BodyText"/>
            </w:pPr>
            <w:r w:rsidRPr="009D19FD">
              <w:t>1.3</w:t>
            </w:r>
          </w:p>
        </w:tc>
        <w:tc>
          <w:tcPr>
            <w:tcW w:w="6864" w:type="dxa"/>
            <w:tcBorders>
              <w:top w:val="nil"/>
              <w:left w:val="nil"/>
              <w:bottom w:val="nil"/>
              <w:right w:val="nil"/>
            </w:tcBorders>
            <w:tcMar>
              <w:top w:w="0" w:type="dxa"/>
              <w:left w:w="62" w:type="dxa"/>
              <w:bottom w:w="0" w:type="dxa"/>
              <w:right w:w="62" w:type="dxa"/>
            </w:tcMar>
          </w:tcPr>
          <w:p w:rsidR="00000000" w:rsidP="009D19FD">
            <w:pPr>
              <w:pStyle w:val="BodyText"/>
              <w:rPr>
                <w:lang w:val="en-NZ"/>
              </w:rPr>
            </w:pPr>
            <w:r w:rsidRPr="009D19FD">
              <w:rPr>
                <w:rStyle w:val="BoldandItalics"/>
              </w:rPr>
              <w:t>Operational limits</w:t>
            </w:r>
            <w:r w:rsidRPr="009D19FD">
              <w:t>, certificate of operations and previous certificates of survey are reviewed for special conditions or equivalent solutions</w:t>
            </w:r>
          </w:p>
        </w:tc>
      </w:tr>
      <w:tr w:rsidTr="009B2E1B">
        <w:tblPrEx>
          <w:tblW w:w="9640" w:type="dxa"/>
          <w:tblLayout w:type="fixed"/>
          <w:tblCellMar>
            <w:left w:w="62" w:type="dxa"/>
            <w:right w:w="62" w:type="dxa"/>
          </w:tblCellMar>
          <w:tblLook w:val="0000"/>
        </w:tblPrEx>
        <w:tc>
          <w:tcPr>
            <w:tcW w:w="293" w:type="dxa"/>
            <w:vMerge/>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1899" w:type="dxa"/>
            <w:vMerge/>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584" w:type="dxa"/>
            <w:tcBorders>
              <w:top w:val="nil"/>
              <w:left w:val="nil"/>
              <w:bottom w:val="nil"/>
              <w:right w:val="nil"/>
            </w:tcBorders>
            <w:tcMar>
              <w:top w:w="0" w:type="dxa"/>
              <w:left w:w="62" w:type="dxa"/>
              <w:bottom w:w="0" w:type="dxa"/>
              <w:right w:w="62" w:type="dxa"/>
            </w:tcMar>
          </w:tcPr>
          <w:p w:rsidR="00000000" w:rsidP="009D19FD">
            <w:pPr>
              <w:pStyle w:val="BodyText"/>
              <w:rPr>
                <w:lang w:val="en-NZ"/>
              </w:rPr>
            </w:pPr>
            <w:r w:rsidRPr="009D19FD">
              <w:t>1.4</w:t>
            </w:r>
          </w:p>
        </w:tc>
        <w:tc>
          <w:tcPr>
            <w:tcW w:w="6864" w:type="dxa"/>
            <w:tcBorders>
              <w:top w:val="nil"/>
              <w:left w:val="nil"/>
              <w:bottom w:val="nil"/>
              <w:right w:val="nil"/>
            </w:tcBorders>
            <w:tcMar>
              <w:top w:w="0" w:type="dxa"/>
              <w:left w:w="62" w:type="dxa"/>
              <w:bottom w:w="0" w:type="dxa"/>
              <w:right w:w="62" w:type="dxa"/>
            </w:tcMar>
          </w:tcPr>
          <w:p w:rsidR="00000000" w:rsidP="009D19FD">
            <w:pPr>
              <w:pStyle w:val="BodyText"/>
              <w:rPr>
                <w:lang w:val="en-NZ"/>
              </w:rPr>
            </w:pPr>
            <w:r w:rsidRPr="009D19FD">
              <w:t>Equipment and operational system requirements for survey and range of variations are accurately identified, selected and test</w:t>
            </w:r>
            <w:r w:rsidRPr="009D19FD">
              <w:t>ed for serviceability</w:t>
            </w:r>
          </w:p>
        </w:tc>
      </w:tr>
      <w:tr w:rsidTr="009B2E1B">
        <w:tblPrEx>
          <w:tblW w:w="9640" w:type="dxa"/>
          <w:tblLayout w:type="fixed"/>
          <w:tblCellMar>
            <w:left w:w="62" w:type="dxa"/>
            <w:right w:w="62" w:type="dxa"/>
          </w:tblCellMar>
          <w:tblLook w:val="0000"/>
        </w:tblPrEx>
        <w:tc>
          <w:tcPr>
            <w:tcW w:w="293" w:type="dxa"/>
            <w:vMerge w:val="restart"/>
            <w:tcBorders>
              <w:top w:val="nil"/>
              <w:left w:val="nil"/>
              <w:bottom w:val="nil"/>
              <w:right w:val="nil"/>
            </w:tcBorders>
            <w:tcMar>
              <w:top w:w="0" w:type="dxa"/>
              <w:left w:w="62" w:type="dxa"/>
              <w:bottom w:w="0" w:type="dxa"/>
              <w:right w:w="62" w:type="dxa"/>
            </w:tcMar>
          </w:tcPr>
          <w:p w:rsidR="00000000" w:rsidRPr="009D19FD" w:rsidP="009D19FD">
            <w:pPr>
              <w:pStyle w:val="BodyText"/>
            </w:pPr>
            <w:r w:rsidRPr="009D19FD">
              <w:rPr>
                <w:rStyle w:val="SpecialBold"/>
              </w:rPr>
              <w:t>2</w:t>
            </w:r>
          </w:p>
        </w:tc>
        <w:tc>
          <w:tcPr>
            <w:tcW w:w="1899" w:type="dxa"/>
            <w:vMerge w:val="restart"/>
            <w:tcBorders>
              <w:top w:val="nil"/>
              <w:left w:val="nil"/>
              <w:bottom w:val="nil"/>
              <w:right w:val="nil"/>
            </w:tcBorders>
            <w:tcMar>
              <w:top w:w="0" w:type="dxa"/>
              <w:left w:w="62" w:type="dxa"/>
              <w:bottom w:w="0" w:type="dxa"/>
              <w:right w:w="62" w:type="dxa"/>
            </w:tcMar>
          </w:tcPr>
          <w:p w:rsidR="00000000" w:rsidP="009D19FD">
            <w:pPr>
              <w:pStyle w:val="BodyText"/>
              <w:rPr>
                <w:lang w:val="en-NZ"/>
              </w:rPr>
            </w:pPr>
            <w:r w:rsidRPr="009D19FD">
              <w:rPr>
                <w:rStyle w:val="SpecialBold"/>
              </w:rPr>
              <w:t>Prepare for survey</w:t>
            </w:r>
          </w:p>
        </w:tc>
        <w:tc>
          <w:tcPr>
            <w:tcW w:w="584" w:type="dxa"/>
            <w:tcBorders>
              <w:top w:val="nil"/>
              <w:left w:val="nil"/>
              <w:bottom w:val="nil"/>
              <w:right w:val="nil"/>
            </w:tcBorders>
            <w:tcMar>
              <w:top w:w="0" w:type="dxa"/>
              <w:left w:w="62" w:type="dxa"/>
              <w:bottom w:w="0" w:type="dxa"/>
              <w:right w:w="62" w:type="dxa"/>
            </w:tcMar>
          </w:tcPr>
          <w:p w:rsidR="00000000" w:rsidP="009D19FD">
            <w:pPr>
              <w:pStyle w:val="BodyText"/>
              <w:rPr>
                <w:lang w:val="en-NZ"/>
              </w:rPr>
            </w:pPr>
            <w:r w:rsidRPr="009D19FD">
              <w:t>2.1</w:t>
            </w:r>
          </w:p>
        </w:tc>
        <w:tc>
          <w:tcPr>
            <w:tcW w:w="6864" w:type="dxa"/>
            <w:tcBorders>
              <w:top w:val="nil"/>
              <w:left w:val="nil"/>
              <w:bottom w:val="nil"/>
              <w:right w:val="nil"/>
            </w:tcBorders>
            <w:tcMar>
              <w:top w:w="0" w:type="dxa"/>
              <w:left w:w="62" w:type="dxa"/>
              <w:bottom w:w="0" w:type="dxa"/>
              <w:right w:w="62" w:type="dxa"/>
            </w:tcMar>
          </w:tcPr>
          <w:p w:rsidR="00000000" w:rsidP="009D19FD">
            <w:pPr>
              <w:pStyle w:val="BodyText"/>
              <w:rPr>
                <w:lang w:val="en-NZ"/>
              </w:rPr>
            </w:pPr>
            <w:r w:rsidRPr="009D19FD">
              <w:t>Operational systems to be surveyed for type, size and nature of vessel operations are accurately identified, reviewed and incorporated into survey plan</w:t>
            </w:r>
          </w:p>
        </w:tc>
      </w:tr>
      <w:tr w:rsidTr="009B2E1B">
        <w:tblPrEx>
          <w:tblW w:w="9640" w:type="dxa"/>
          <w:tblLayout w:type="fixed"/>
          <w:tblCellMar>
            <w:left w:w="62" w:type="dxa"/>
            <w:right w:w="62" w:type="dxa"/>
          </w:tblCellMar>
          <w:tblLook w:val="0000"/>
        </w:tblPrEx>
        <w:tc>
          <w:tcPr>
            <w:tcW w:w="293" w:type="dxa"/>
            <w:vMerge/>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1899" w:type="dxa"/>
            <w:vMerge/>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584" w:type="dxa"/>
            <w:tcBorders>
              <w:top w:val="nil"/>
              <w:left w:val="nil"/>
              <w:bottom w:val="nil"/>
              <w:right w:val="nil"/>
            </w:tcBorders>
            <w:tcMar>
              <w:top w:w="0" w:type="dxa"/>
              <w:left w:w="62" w:type="dxa"/>
              <w:bottom w:w="0" w:type="dxa"/>
              <w:right w:w="62" w:type="dxa"/>
            </w:tcMar>
          </w:tcPr>
          <w:p w:rsidR="00000000" w:rsidP="009D19FD">
            <w:pPr>
              <w:pStyle w:val="BodyText"/>
              <w:rPr>
                <w:lang w:val="en-NZ"/>
              </w:rPr>
            </w:pPr>
            <w:r w:rsidRPr="009D19FD">
              <w:t>2.2</w:t>
            </w:r>
          </w:p>
        </w:tc>
        <w:tc>
          <w:tcPr>
            <w:tcW w:w="6864" w:type="dxa"/>
            <w:tcBorders>
              <w:top w:val="nil"/>
              <w:left w:val="nil"/>
              <w:bottom w:val="nil"/>
              <w:right w:val="nil"/>
            </w:tcBorders>
            <w:tcMar>
              <w:top w:w="0" w:type="dxa"/>
              <w:left w:w="62" w:type="dxa"/>
              <w:bottom w:w="0" w:type="dxa"/>
              <w:right w:w="62" w:type="dxa"/>
            </w:tcMar>
          </w:tcPr>
          <w:p w:rsidR="00000000" w:rsidP="009D19FD">
            <w:pPr>
              <w:pStyle w:val="BodyText"/>
              <w:rPr>
                <w:lang w:val="en-NZ"/>
              </w:rPr>
            </w:pPr>
            <w:r w:rsidRPr="009D19FD">
              <w:t>Relationships between different operational systems are accurately interpreted and items to be surveyed are noted in survey plan</w:t>
            </w:r>
          </w:p>
        </w:tc>
      </w:tr>
      <w:tr w:rsidTr="009B2E1B">
        <w:tblPrEx>
          <w:tblW w:w="9640" w:type="dxa"/>
          <w:tblLayout w:type="fixed"/>
          <w:tblCellMar>
            <w:left w:w="62" w:type="dxa"/>
            <w:right w:w="62" w:type="dxa"/>
          </w:tblCellMar>
          <w:tblLook w:val="0000"/>
        </w:tblPrEx>
        <w:tc>
          <w:tcPr>
            <w:tcW w:w="293" w:type="dxa"/>
            <w:vMerge/>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1899" w:type="dxa"/>
            <w:vMerge/>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584" w:type="dxa"/>
            <w:tcBorders>
              <w:top w:val="nil"/>
              <w:left w:val="nil"/>
              <w:bottom w:val="nil"/>
              <w:right w:val="nil"/>
            </w:tcBorders>
            <w:tcMar>
              <w:top w:w="0" w:type="dxa"/>
              <w:left w:w="62" w:type="dxa"/>
              <w:bottom w:w="0" w:type="dxa"/>
              <w:right w:w="62" w:type="dxa"/>
            </w:tcMar>
          </w:tcPr>
          <w:p w:rsidR="00000000" w:rsidP="009D19FD">
            <w:pPr>
              <w:pStyle w:val="BodyText"/>
              <w:rPr>
                <w:lang w:val="en-NZ"/>
              </w:rPr>
            </w:pPr>
            <w:r w:rsidRPr="009D19FD">
              <w:t>2.3</w:t>
            </w:r>
          </w:p>
        </w:tc>
        <w:tc>
          <w:tcPr>
            <w:tcW w:w="6864" w:type="dxa"/>
            <w:tcBorders>
              <w:top w:val="nil"/>
              <w:left w:val="nil"/>
              <w:bottom w:val="nil"/>
              <w:right w:val="nil"/>
            </w:tcBorders>
            <w:tcMar>
              <w:top w:w="0" w:type="dxa"/>
              <w:left w:w="62" w:type="dxa"/>
              <w:bottom w:w="0" w:type="dxa"/>
              <w:right w:w="62" w:type="dxa"/>
            </w:tcMar>
          </w:tcPr>
          <w:p w:rsidR="00000000" w:rsidP="009D19FD">
            <w:pPr>
              <w:pStyle w:val="BodyText"/>
              <w:rPr>
                <w:lang w:val="en-NZ"/>
              </w:rPr>
            </w:pPr>
            <w:r w:rsidRPr="009D19FD">
              <w:t>Maintenance records are obtained and reviewed to confirm survey scope</w:t>
            </w:r>
          </w:p>
        </w:tc>
      </w:tr>
      <w:tr w:rsidTr="009B2E1B">
        <w:tblPrEx>
          <w:tblW w:w="9640" w:type="dxa"/>
          <w:tblLayout w:type="fixed"/>
          <w:tblCellMar>
            <w:left w:w="62" w:type="dxa"/>
            <w:right w:w="62" w:type="dxa"/>
          </w:tblCellMar>
          <w:tblLook w:val="0000"/>
        </w:tblPrEx>
        <w:tc>
          <w:tcPr>
            <w:tcW w:w="293" w:type="dxa"/>
            <w:vMerge w:val="restart"/>
            <w:tcBorders>
              <w:top w:val="nil"/>
              <w:left w:val="nil"/>
              <w:bottom w:val="nil"/>
              <w:right w:val="nil"/>
            </w:tcBorders>
            <w:tcMar>
              <w:top w:w="0" w:type="dxa"/>
              <w:left w:w="62" w:type="dxa"/>
              <w:bottom w:w="0" w:type="dxa"/>
              <w:right w:w="62" w:type="dxa"/>
            </w:tcMar>
          </w:tcPr>
          <w:p w:rsidR="00000000" w:rsidRPr="009D19FD" w:rsidP="009D19FD">
            <w:pPr>
              <w:pStyle w:val="BodyText"/>
            </w:pPr>
            <w:r w:rsidRPr="009D19FD">
              <w:rPr>
                <w:rStyle w:val="SpecialBold"/>
              </w:rPr>
              <w:t>3</w:t>
            </w:r>
          </w:p>
        </w:tc>
        <w:tc>
          <w:tcPr>
            <w:tcW w:w="1899" w:type="dxa"/>
            <w:vMerge w:val="restart"/>
            <w:tcBorders>
              <w:top w:val="nil"/>
              <w:left w:val="nil"/>
              <w:bottom w:val="nil"/>
              <w:right w:val="nil"/>
            </w:tcBorders>
            <w:tcMar>
              <w:top w:w="0" w:type="dxa"/>
              <w:left w:w="62" w:type="dxa"/>
              <w:bottom w:w="0" w:type="dxa"/>
              <w:right w:w="62" w:type="dxa"/>
            </w:tcMar>
          </w:tcPr>
          <w:p w:rsidR="00000000" w:rsidP="009D19FD">
            <w:pPr>
              <w:pStyle w:val="BodyText"/>
              <w:rPr>
                <w:lang w:val="en-NZ"/>
              </w:rPr>
            </w:pPr>
            <w:r w:rsidRPr="009D19FD">
              <w:rPr>
                <w:rStyle w:val="SpecialBold"/>
              </w:rPr>
              <w:t>Conduct periodic survey of operational systems</w:t>
            </w:r>
          </w:p>
        </w:tc>
        <w:tc>
          <w:tcPr>
            <w:tcW w:w="584" w:type="dxa"/>
            <w:tcBorders>
              <w:top w:val="nil"/>
              <w:left w:val="nil"/>
              <w:bottom w:val="nil"/>
              <w:right w:val="nil"/>
            </w:tcBorders>
            <w:tcMar>
              <w:top w:w="0" w:type="dxa"/>
              <w:left w:w="62" w:type="dxa"/>
              <w:bottom w:w="0" w:type="dxa"/>
              <w:right w:w="62" w:type="dxa"/>
            </w:tcMar>
          </w:tcPr>
          <w:p w:rsidR="00000000" w:rsidP="009D19FD">
            <w:pPr>
              <w:pStyle w:val="BodyText"/>
              <w:rPr>
                <w:lang w:val="en-NZ"/>
              </w:rPr>
            </w:pPr>
            <w:r w:rsidRPr="009D19FD">
              <w:t>3.1</w:t>
            </w:r>
          </w:p>
        </w:tc>
        <w:tc>
          <w:tcPr>
            <w:tcW w:w="6864" w:type="dxa"/>
            <w:tcBorders>
              <w:top w:val="nil"/>
              <w:left w:val="nil"/>
              <w:bottom w:val="nil"/>
              <w:right w:val="nil"/>
            </w:tcBorders>
            <w:tcMar>
              <w:top w:w="0" w:type="dxa"/>
              <w:left w:w="62" w:type="dxa"/>
              <w:bottom w:w="0" w:type="dxa"/>
              <w:right w:w="62" w:type="dxa"/>
            </w:tcMar>
          </w:tcPr>
          <w:p w:rsidR="00000000" w:rsidP="009D19FD">
            <w:pPr>
              <w:pStyle w:val="BodyText"/>
              <w:rPr>
                <w:lang w:val="en-NZ"/>
              </w:rPr>
            </w:pPr>
            <w:r w:rsidRPr="009D19FD">
              <w:t xml:space="preserve">Survey of operational systems is carried out according to </w:t>
            </w:r>
            <w:r w:rsidRPr="009D19FD">
              <w:rPr>
                <w:rStyle w:val="BoldandItalics"/>
              </w:rPr>
              <w:t>regulatory requirements</w:t>
            </w:r>
          </w:p>
        </w:tc>
      </w:tr>
      <w:tr w:rsidTr="009B2E1B">
        <w:tblPrEx>
          <w:tblW w:w="9640" w:type="dxa"/>
          <w:tblLayout w:type="fixed"/>
          <w:tblCellMar>
            <w:left w:w="62" w:type="dxa"/>
            <w:right w:w="62" w:type="dxa"/>
          </w:tblCellMar>
          <w:tblLook w:val="0000"/>
        </w:tblPrEx>
        <w:tc>
          <w:tcPr>
            <w:tcW w:w="293" w:type="dxa"/>
            <w:vMerge/>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1899" w:type="dxa"/>
            <w:vMerge/>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584" w:type="dxa"/>
            <w:tcBorders>
              <w:top w:val="nil"/>
              <w:left w:val="nil"/>
              <w:bottom w:val="nil"/>
              <w:right w:val="nil"/>
            </w:tcBorders>
            <w:tcMar>
              <w:top w:w="0" w:type="dxa"/>
              <w:left w:w="62" w:type="dxa"/>
              <w:bottom w:w="0" w:type="dxa"/>
              <w:right w:w="62" w:type="dxa"/>
            </w:tcMar>
          </w:tcPr>
          <w:p w:rsidR="00000000" w:rsidRPr="009D19FD" w:rsidP="009D19FD">
            <w:pPr>
              <w:pStyle w:val="BodyText"/>
            </w:pPr>
            <w:r w:rsidRPr="009D19FD">
              <w:t>3.2</w:t>
            </w:r>
          </w:p>
        </w:tc>
        <w:tc>
          <w:tcPr>
            <w:tcW w:w="6864" w:type="dxa"/>
            <w:tcBorders>
              <w:top w:val="nil"/>
              <w:left w:val="nil"/>
              <w:bottom w:val="nil"/>
              <w:right w:val="nil"/>
            </w:tcBorders>
            <w:tcMar>
              <w:top w:w="0" w:type="dxa"/>
              <w:left w:w="62" w:type="dxa"/>
              <w:bottom w:w="0" w:type="dxa"/>
              <w:right w:w="62" w:type="dxa"/>
            </w:tcMar>
          </w:tcPr>
          <w:p w:rsidR="00000000" w:rsidP="009D19FD">
            <w:pPr>
              <w:pStyle w:val="BodyText"/>
              <w:rPr>
                <w:lang w:val="en-NZ"/>
              </w:rPr>
            </w:pPr>
            <w:r w:rsidRPr="009D19FD">
              <w:rPr>
                <w:rStyle w:val="BoldandItalics"/>
              </w:rPr>
              <w:t>Primary and secondary operational systems</w:t>
            </w:r>
            <w:r w:rsidRPr="009D19FD">
              <w:t xml:space="preserve"> and their components are surveyed according to survey schedule</w:t>
            </w:r>
          </w:p>
        </w:tc>
      </w:tr>
      <w:tr w:rsidTr="009B2E1B">
        <w:tblPrEx>
          <w:tblW w:w="9640" w:type="dxa"/>
          <w:tblLayout w:type="fixed"/>
          <w:tblCellMar>
            <w:left w:w="62" w:type="dxa"/>
            <w:right w:w="62" w:type="dxa"/>
          </w:tblCellMar>
          <w:tblLook w:val="0000"/>
        </w:tblPrEx>
        <w:tc>
          <w:tcPr>
            <w:tcW w:w="293" w:type="dxa"/>
            <w:vMerge/>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1899" w:type="dxa"/>
            <w:vMerge/>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584" w:type="dxa"/>
            <w:tcBorders>
              <w:top w:val="nil"/>
              <w:left w:val="nil"/>
              <w:bottom w:val="nil"/>
              <w:right w:val="nil"/>
            </w:tcBorders>
            <w:tcMar>
              <w:top w:w="0" w:type="dxa"/>
              <w:left w:w="62" w:type="dxa"/>
              <w:bottom w:w="0" w:type="dxa"/>
              <w:right w:w="62" w:type="dxa"/>
            </w:tcMar>
          </w:tcPr>
          <w:p w:rsidR="00000000" w:rsidP="009D19FD">
            <w:pPr>
              <w:pStyle w:val="BodyText"/>
              <w:rPr>
                <w:lang w:val="en-NZ"/>
              </w:rPr>
            </w:pPr>
            <w:r w:rsidRPr="009D19FD">
              <w:t>3.3</w:t>
            </w:r>
          </w:p>
        </w:tc>
        <w:tc>
          <w:tcPr>
            <w:tcW w:w="6864" w:type="dxa"/>
            <w:tcBorders>
              <w:top w:val="nil"/>
              <w:left w:val="nil"/>
              <w:bottom w:val="nil"/>
              <w:right w:val="nil"/>
            </w:tcBorders>
            <w:tcMar>
              <w:top w:w="0" w:type="dxa"/>
              <w:left w:w="62" w:type="dxa"/>
              <w:bottom w:w="0" w:type="dxa"/>
              <w:right w:w="62" w:type="dxa"/>
            </w:tcMar>
          </w:tcPr>
          <w:p w:rsidR="00000000" w:rsidP="009D19FD">
            <w:pPr>
              <w:pStyle w:val="BodyText"/>
              <w:rPr>
                <w:lang w:val="en-NZ"/>
              </w:rPr>
            </w:pPr>
            <w:r w:rsidRPr="009D19FD">
              <w:t xml:space="preserve">Changes to operational equipment or </w:t>
            </w:r>
            <w:r w:rsidRPr="009D19FD">
              <w:rPr>
                <w:rStyle w:val="BoldandItalics"/>
              </w:rPr>
              <w:t>equivalent solutions</w:t>
            </w:r>
            <w:r w:rsidRPr="009D19FD">
              <w:t xml:space="preserve"> are identified and examined for fitness both in or out of water as required by survey schedule</w:t>
            </w:r>
          </w:p>
        </w:tc>
      </w:tr>
      <w:tr w:rsidTr="009B2E1B">
        <w:tblPrEx>
          <w:tblW w:w="9640" w:type="dxa"/>
          <w:tblLayout w:type="fixed"/>
          <w:tblCellMar>
            <w:left w:w="62" w:type="dxa"/>
            <w:right w:w="62" w:type="dxa"/>
          </w:tblCellMar>
          <w:tblLook w:val="0000"/>
        </w:tblPrEx>
        <w:tc>
          <w:tcPr>
            <w:tcW w:w="293" w:type="dxa"/>
            <w:vMerge w:val="restart"/>
            <w:tcBorders>
              <w:top w:val="nil"/>
              <w:left w:val="nil"/>
              <w:bottom w:val="nil"/>
              <w:right w:val="nil"/>
            </w:tcBorders>
            <w:tcMar>
              <w:top w:w="0" w:type="dxa"/>
              <w:left w:w="62" w:type="dxa"/>
              <w:bottom w:w="0" w:type="dxa"/>
              <w:right w:w="62" w:type="dxa"/>
            </w:tcMar>
          </w:tcPr>
          <w:p w:rsidR="00000000" w:rsidRPr="009D19FD" w:rsidP="009D19FD">
            <w:pPr>
              <w:pStyle w:val="BodyText"/>
            </w:pPr>
            <w:r w:rsidRPr="009D19FD">
              <w:rPr>
                <w:rStyle w:val="SpecialBold"/>
              </w:rPr>
              <w:t>4</w:t>
            </w:r>
          </w:p>
        </w:tc>
        <w:tc>
          <w:tcPr>
            <w:tcW w:w="1899" w:type="dxa"/>
            <w:vMerge w:val="restart"/>
            <w:tcBorders>
              <w:top w:val="nil"/>
              <w:left w:val="nil"/>
              <w:bottom w:val="nil"/>
              <w:right w:val="nil"/>
            </w:tcBorders>
            <w:tcMar>
              <w:top w:w="0" w:type="dxa"/>
              <w:left w:w="62" w:type="dxa"/>
              <w:bottom w:w="0" w:type="dxa"/>
              <w:right w:w="62" w:type="dxa"/>
            </w:tcMar>
          </w:tcPr>
          <w:p w:rsidR="00000000" w:rsidP="009D19FD">
            <w:pPr>
              <w:pStyle w:val="BodyText"/>
              <w:rPr>
                <w:lang w:val="en-NZ"/>
              </w:rPr>
            </w:pPr>
            <w:r w:rsidRPr="009D19FD">
              <w:rPr>
                <w:rStyle w:val="SpecialBold"/>
              </w:rPr>
              <w:t>Report and act on non-compliance</w:t>
            </w:r>
          </w:p>
        </w:tc>
        <w:tc>
          <w:tcPr>
            <w:tcW w:w="584" w:type="dxa"/>
            <w:tcBorders>
              <w:top w:val="nil"/>
              <w:left w:val="nil"/>
              <w:bottom w:val="nil"/>
              <w:right w:val="nil"/>
            </w:tcBorders>
            <w:tcMar>
              <w:top w:w="0" w:type="dxa"/>
              <w:left w:w="62" w:type="dxa"/>
              <w:bottom w:w="0" w:type="dxa"/>
              <w:right w:w="62" w:type="dxa"/>
            </w:tcMar>
          </w:tcPr>
          <w:p w:rsidR="00000000" w:rsidP="009D19FD">
            <w:pPr>
              <w:pStyle w:val="BodyText"/>
              <w:rPr>
                <w:lang w:val="en-NZ"/>
              </w:rPr>
            </w:pPr>
            <w:r w:rsidRPr="009D19FD">
              <w:t>4.1</w:t>
            </w:r>
          </w:p>
        </w:tc>
        <w:tc>
          <w:tcPr>
            <w:tcW w:w="6864" w:type="dxa"/>
            <w:tcBorders>
              <w:top w:val="nil"/>
              <w:left w:val="nil"/>
              <w:bottom w:val="nil"/>
              <w:right w:val="nil"/>
            </w:tcBorders>
            <w:tcMar>
              <w:top w:w="0" w:type="dxa"/>
              <w:left w:w="62" w:type="dxa"/>
              <w:bottom w:w="0" w:type="dxa"/>
              <w:right w:w="62" w:type="dxa"/>
            </w:tcMar>
          </w:tcPr>
          <w:p w:rsidR="00000000" w:rsidP="009D19FD">
            <w:pPr>
              <w:pStyle w:val="BodyText"/>
              <w:rPr>
                <w:lang w:val="en-NZ"/>
              </w:rPr>
            </w:pPr>
            <w:r w:rsidRPr="009D19FD">
              <w:t>Non-co</w:t>
            </w:r>
            <w:r w:rsidRPr="009D19FD">
              <w:t>mpliance is detected, recorded and reported according to regulatory and organisational requirements</w:t>
            </w:r>
          </w:p>
        </w:tc>
      </w:tr>
      <w:tr w:rsidTr="009B2E1B">
        <w:tblPrEx>
          <w:tblW w:w="9640" w:type="dxa"/>
          <w:tblLayout w:type="fixed"/>
          <w:tblCellMar>
            <w:left w:w="62" w:type="dxa"/>
            <w:right w:w="62" w:type="dxa"/>
          </w:tblCellMar>
          <w:tblLook w:val="0000"/>
        </w:tblPrEx>
        <w:tc>
          <w:tcPr>
            <w:tcW w:w="293" w:type="dxa"/>
            <w:vMerge/>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1899" w:type="dxa"/>
            <w:vMerge/>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584" w:type="dxa"/>
            <w:tcBorders>
              <w:top w:val="nil"/>
              <w:left w:val="nil"/>
              <w:bottom w:val="nil"/>
              <w:right w:val="nil"/>
            </w:tcBorders>
            <w:tcMar>
              <w:top w:w="0" w:type="dxa"/>
              <w:left w:w="62" w:type="dxa"/>
              <w:bottom w:w="0" w:type="dxa"/>
              <w:right w:w="62" w:type="dxa"/>
            </w:tcMar>
          </w:tcPr>
          <w:p w:rsidR="00000000" w:rsidP="009D19FD">
            <w:pPr>
              <w:pStyle w:val="BodyText"/>
              <w:rPr>
                <w:lang w:val="en-NZ"/>
              </w:rPr>
            </w:pPr>
            <w:r w:rsidRPr="009D19FD">
              <w:t>4.2</w:t>
            </w:r>
          </w:p>
        </w:tc>
        <w:tc>
          <w:tcPr>
            <w:tcW w:w="6864" w:type="dxa"/>
            <w:tcBorders>
              <w:top w:val="nil"/>
              <w:left w:val="nil"/>
              <w:bottom w:val="nil"/>
              <w:right w:val="nil"/>
            </w:tcBorders>
            <w:tcMar>
              <w:top w:w="0" w:type="dxa"/>
              <w:left w:w="62" w:type="dxa"/>
              <w:bottom w:w="0" w:type="dxa"/>
              <w:right w:w="62" w:type="dxa"/>
            </w:tcMar>
          </w:tcPr>
          <w:p w:rsidR="00000000" w:rsidP="009D19FD">
            <w:pPr>
              <w:pStyle w:val="BodyText"/>
              <w:rPr>
                <w:lang w:val="en-NZ"/>
              </w:rPr>
            </w:pPr>
            <w:r w:rsidRPr="009D19FD">
              <w:t>Risk arising from non-compliance is detected, reported and communicated to relevant personnel</w:t>
            </w:r>
          </w:p>
        </w:tc>
      </w:tr>
      <w:tr w:rsidTr="009B2E1B">
        <w:tblPrEx>
          <w:tblW w:w="9640" w:type="dxa"/>
          <w:tblLayout w:type="fixed"/>
          <w:tblCellMar>
            <w:left w:w="62" w:type="dxa"/>
            <w:right w:w="62" w:type="dxa"/>
          </w:tblCellMar>
          <w:tblLook w:val="0000"/>
        </w:tblPrEx>
        <w:tc>
          <w:tcPr>
            <w:tcW w:w="293" w:type="dxa"/>
            <w:vMerge/>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1899" w:type="dxa"/>
            <w:vMerge/>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584" w:type="dxa"/>
            <w:tcBorders>
              <w:top w:val="nil"/>
              <w:left w:val="nil"/>
              <w:bottom w:val="nil"/>
              <w:right w:val="nil"/>
            </w:tcBorders>
            <w:tcMar>
              <w:top w:w="0" w:type="dxa"/>
              <w:left w:w="62" w:type="dxa"/>
              <w:bottom w:w="0" w:type="dxa"/>
              <w:right w:w="62" w:type="dxa"/>
            </w:tcMar>
          </w:tcPr>
          <w:p w:rsidR="00000000" w:rsidP="009D19FD">
            <w:pPr>
              <w:pStyle w:val="BodyText"/>
              <w:rPr>
                <w:lang w:val="en-NZ"/>
              </w:rPr>
            </w:pPr>
            <w:r w:rsidRPr="009D19FD">
              <w:t>4.3</w:t>
            </w:r>
          </w:p>
        </w:tc>
        <w:tc>
          <w:tcPr>
            <w:tcW w:w="6864" w:type="dxa"/>
            <w:tcBorders>
              <w:top w:val="nil"/>
              <w:left w:val="nil"/>
              <w:bottom w:val="nil"/>
              <w:right w:val="nil"/>
            </w:tcBorders>
            <w:tcMar>
              <w:top w:w="0" w:type="dxa"/>
              <w:left w:w="62" w:type="dxa"/>
              <w:bottom w:w="0" w:type="dxa"/>
              <w:right w:w="62" w:type="dxa"/>
            </w:tcMar>
          </w:tcPr>
          <w:p w:rsidR="00000000" w:rsidP="009D19FD">
            <w:pPr>
              <w:pStyle w:val="BodyText"/>
              <w:rPr>
                <w:lang w:val="en-NZ"/>
              </w:rPr>
            </w:pPr>
            <w:r w:rsidRPr="009D19FD">
              <w:t>Relevant provisions of legislation appropriate t</w:t>
            </w:r>
            <w:r w:rsidRPr="009D19FD">
              <w:t>o level of risk detected are identified and followed</w:t>
            </w:r>
          </w:p>
        </w:tc>
      </w:tr>
      <w:tr w:rsidTr="009B2E1B">
        <w:tblPrEx>
          <w:tblW w:w="9640" w:type="dxa"/>
          <w:tblLayout w:type="fixed"/>
          <w:tblCellMar>
            <w:left w:w="62" w:type="dxa"/>
            <w:right w:w="62" w:type="dxa"/>
          </w:tblCellMar>
          <w:tblLook w:val="0000"/>
        </w:tblPrEx>
        <w:tc>
          <w:tcPr>
            <w:tcW w:w="293" w:type="dxa"/>
            <w:vMerge/>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1899" w:type="dxa"/>
            <w:vMerge/>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584" w:type="dxa"/>
            <w:tcBorders>
              <w:top w:val="nil"/>
              <w:left w:val="nil"/>
              <w:bottom w:val="nil"/>
              <w:right w:val="nil"/>
            </w:tcBorders>
            <w:tcMar>
              <w:top w:w="0" w:type="dxa"/>
              <w:left w:w="62" w:type="dxa"/>
              <w:bottom w:w="0" w:type="dxa"/>
              <w:right w:w="62" w:type="dxa"/>
            </w:tcMar>
          </w:tcPr>
          <w:p w:rsidR="00000000" w:rsidP="009D19FD">
            <w:pPr>
              <w:pStyle w:val="BodyText"/>
              <w:rPr>
                <w:lang w:val="en-NZ"/>
              </w:rPr>
            </w:pPr>
            <w:r w:rsidRPr="009D19FD">
              <w:t>4.4</w:t>
            </w:r>
          </w:p>
        </w:tc>
        <w:tc>
          <w:tcPr>
            <w:tcW w:w="6864" w:type="dxa"/>
            <w:tcBorders>
              <w:top w:val="nil"/>
              <w:left w:val="nil"/>
              <w:bottom w:val="nil"/>
              <w:right w:val="nil"/>
            </w:tcBorders>
            <w:tcMar>
              <w:top w:w="0" w:type="dxa"/>
              <w:left w:w="62" w:type="dxa"/>
              <w:bottom w:w="0" w:type="dxa"/>
              <w:right w:w="62" w:type="dxa"/>
            </w:tcMar>
          </w:tcPr>
          <w:p w:rsidR="00000000" w:rsidRPr="009D19FD" w:rsidP="009D19FD">
            <w:pPr>
              <w:pStyle w:val="BodyText"/>
            </w:pPr>
            <w:r w:rsidRPr="009D19FD">
              <w:t>Appropriate reports and documentation related to survey are developed and managed according to regulatory and organisational requirements</w:t>
            </w:r>
          </w:p>
        </w:tc>
      </w:tr>
    </w:tbl>
    <w:p w:rsidR="00000000" w:rsidRPr="009D19FD" w:rsidP="009D19FD">
      <w:pPr>
        <w:pStyle w:val="BodyText"/>
      </w:pPr>
    </w:p>
    <w:p w:rsidR="00000000" w:rsidRPr="009D19FD" w:rsidP="009D19FD">
      <w:pPr>
        <w:pStyle w:val="AllowPageBreak"/>
      </w:pPr>
    </w:p>
    <w:p w:rsidR="00000000" w:rsidRPr="009D19FD" w:rsidP="009D19FD">
      <w:pPr>
        <w:pStyle w:val="Heading1"/>
      </w:pPr>
      <w:bookmarkStart w:id="9" w:name="O_538776"/>
      <w:bookmarkEnd w:id="9"/>
      <w:r w:rsidRPr="009D19FD">
        <w:t>Required Skills and Knowledge</w:t>
      </w:r>
    </w:p>
    <w:tbl>
      <w:tblPr>
        <w:tblW w:w="0" w:type="auto"/>
        <w:tblCellMar>
          <w:left w:w="62" w:type="dxa"/>
          <w:right w:w="62" w:type="dxa"/>
        </w:tblCellMar>
        <w:tblLook w:val="0000"/>
      </w:tblPr>
      <w:tblGrid>
        <w:gridCol w:w="9196"/>
      </w:tblGrid>
      <w:tr w:rsidTr="009B2E1B">
        <w:tblPrEx>
          <w:tblW w:w="0" w:type="auto"/>
          <w:tblCellMar>
            <w:left w:w="62" w:type="dxa"/>
            <w:right w:w="62" w:type="dxa"/>
          </w:tblCellMar>
          <w:tblLook w:val="0000"/>
        </w:tblPrEx>
        <w:tc>
          <w:tcPr>
            <w:tcW w:w="0" w:type="auto"/>
            <w:tcBorders>
              <w:top w:val="nil"/>
              <w:left w:val="nil"/>
              <w:bottom w:val="nil"/>
              <w:right w:val="nil"/>
            </w:tcBorders>
            <w:tcMar>
              <w:top w:w="0" w:type="dxa"/>
              <w:left w:w="62" w:type="dxa"/>
              <w:bottom w:w="0" w:type="dxa"/>
              <w:right w:w="62" w:type="dxa"/>
            </w:tcMar>
          </w:tcPr>
          <w:p w:rsidR="00000000" w:rsidP="009D19FD">
            <w:pPr>
              <w:pStyle w:val="BodyText"/>
              <w:rPr>
                <w:lang w:val="en-NZ"/>
              </w:rPr>
            </w:pPr>
            <w:r w:rsidRPr="009D19FD">
              <w:t>This section describes the skills and knowledge required for this unit.</w:t>
            </w:r>
          </w:p>
        </w:tc>
      </w:tr>
      <w:tr w:rsidTr="009B2E1B">
        <w:tblPrEx>
          <w:tblW w:w="0" w:type="auto"/>
          <w:tblCellMar>
            <w:left w:w="62" w:type="dxa"/>
            <w:right w:w="62" w:type="dxa"/>
          </w:tblCellMar>
          <w:tblLook w:val="0000"/>
        </w:tblPrEx>
        <w:tc>
          <w:tcPr>
            <w:tcW w:w="0" w:type="auto"/>
            <w:tcBorders>
              <w:top w:val="nil"/>
              <w:left w:val="nil"/>
              <w:bottom w:val="nil"/>
              <w:right w:val="nil"/>
            </w:tcBorders>
            <w:tcMar>
              <w:top w:w="0" w:type="dxa"/>
              <w:left w:w="62" w:type="dxa"/>
              <w:bottom w:w="0" w:type="dxa"/>
              <w:right w:w="62" w:type="dxa"/>
            </w:tcMar>
          </w:tcPr>
          <w:p w:rsidR="00000000" w:rsidP="009D19FD">
            <w:pPr>
              <w:pStyle w:val="BodyText"/>
              <w:rPr>
                <w:lang w:val="en-NZ"/>
              </w:rPr>
            </w:pPr>
            <w:r w:rsidRPr="009D19FD">
              <w:rPr>
                <w:rStyle w:val="SpecialBold"/>
              </w:rPr>
              <w:t>Required Skills:</w:t>
            </w:r>
          </w:p>
        </w:tc>
      </w:tr>
      <w:tr w:rsidTr="009B2E1B">
        <w:tblPrEx>
          <w:tblW w:w="0" w:type="auto"/>
          <w:tblCellMar>
            <w:left w:w="62" w:type="dxa"/>
            <w:right w:w="62" w:type="dxa"/>
          </w:tblCellMar>
          <w:tblLook w:val="0000"/>
        </w:tblPrEx>
        <w:tc>
          <w:tcPr>
            <w:tcW w:w="0" w:type="auto"/>
            <w:tcBorders>
              <w:top w:val="nil"/>
              <w:left w:val="nil"/>
              <w:bottom w:val="nil"/>
              <w:right w:val="nil"/>
            </w:tcBorders>
            <w:tcMar>
              <w:top w:w="0" w:type="dxa"/>
              <w:left w:w="62" w:type="dxa"/>
              <w:bottom w:w="0" w:type="dxa"/>
              <w:right w:w="62" w:type="dxa"/>
            </w:tcMar>
          </w:tcPr>
          <w:p w:rsidR="00000000" w:rsidP="009D19FD">
            <w:pPr>
              <w:pStyle w:val="ListBullet"/>
              <w:rPr>
                <w:lang w:val="en-NZ"/>
              </w:rPr>
            </w:pPr>
            <w:r w:rsidRPr="009D19FD">
              <w:t>Accurately interpret relevant codes, standards, rules and regulations for vessel operational systems</w:t>
            </w:r>
          </w:p>
        </w:tc>
      </w:tr>
      <w:tr w:rsidTr="009B2E1B">
        <w:tblPrEx>
          <w:tblW w:w="0" w:type="auto"/>
          <w:tblCellMar>
            <w:left w:w="62" w:type="dxa"/>
            <w:right w:w="62" w:type="dxa"/>
          </w:tblCellMar>
          <w:tblLook w:val="0000"/>
        </w:tblPrEx>
        <w:tc>
          <w:tcPr>
            <w:tcW w:w="0" w:type="auto"/>
            <w:tcBorders>
              <w:top w:val="nil"/>
              <w:left w:val="nil"/>
              <w:bottom w:val="nil"/>
              <w:right w:val="nil"/>
            </w:tcBorders>
            <w:tcMar>
              <w:top w:w="0" w:type="dxa"/>
              <w:left w:w="62" w:type="dxa"/>
              <w:bottom w:w="0" w:type="dxa"/>
              <w:right w:w="62" w:type="dxa"/>
            </w:tcMar>
          </w:tcPr>
          <w:p w:rsidR="00000000" w:rsidP="009D19FD">
            <w:pPr>
              <w:pStyle w:val="ListBullet"/>
              <w:rPr>
                <w:lang w:val="en-NZ"/>
              </w:rPr>
            </w:pPr>
            <w:r w:rsidRPr="009D19FD">
              <w:t>Analyse and evaluate available data and observations to form logical conclusions</w:t>
            </w:r>
          </w:p>
        </w:tc>
      </w:tr>
      <w:tr w:rsidTr="009B2E1B">
        <w:tblPrEx>
          <w:tblW w:w="0" w:type="auto"/>
          <w:tblCellMar>
            <w:left w:w="62" w:type="dxa"/>
            <w:right w:w="62" w:type="dxa"/>
          </w:tblCellMar>
          <w:tblLook w:val="0000"/>
        </w:tblPrEx>
        <w:tc>
          <w:tcPr>
            <w:tcW w:w="0" w:type="auto"/>
            <w:tcBorders>
              <w:top w:val="nil"/>
              <w:left w:val="nil"/>
              <w:bottom w:val="nil"/>
              <w:right w:val="nil"/>
            </w:tcBorders>
            <w:tcMar>
              <w:top w:w="0" w:type="dxa"/>
              <w:left w:w="62" w:type="dxa"/>
              <w:bottom w:w="0" w:type="dxa"/>
              <w:right w:w="62" w:type="dxa"/>
            </w:tcMar>
          </w:tcPr>
          <w:p w:rsidR="00000000" w:rsidRPr="009D19FD" w:rsidP="009D19FD">
            <w:pPr>
              <w:pStyle w:val="ListBullet"/>
            </w:pPr>
            <w:r w:rsidRPr="009D19FD">
              <w:t>Carry out:</w:t>
            </w:r>
          </w:p>
          <w:p w:rsidR="00000000" w:rsidRPr="009D19FD" w:rsidP="009D19FD">
            <w:pPr>
              <w:pStyle w:val="ListBullet2"/>
            </w:pPr>
            <w:r w:rsidRPr="009D19FD">
              <w:t xml:space="preserve">engineering measurements and apply metric and imperial conversions </w:t>
            </w:r>
          </w:p>
          <w:p w:rsidR="00000000" w:rsidP="009D19FD">
            <w:pPr>
              <w:pStyle w:val="ListBullet2"/>
              <w:rPr>
                <w:lang w:val="en-NZ"/>
              </w:rPr>
            </w:pPr>
            <w:r w:rsidRPr="009D19FD">
              <w:t>inspecting and testing operational systems according to regulatory and organisational require</w:t>
            </w:r>
            <w:r w:rsidRPr="009D19FD">
              <w:t>ments</w:t>
            </w:r>
          </w:p>
        </w:tc>
      </w:tr>
      <w:tr w:rsidTr="009B2E1B">
        <w:tblPrEx>
          <w:tblW w:w="0" w:type="auto"/>
          <w:tblCellMar>
            <w:left w:w="62" w:type="dxa"/>
            <w:right w:w="62" w:type="dxa"/>
          </w:tblCellMar>
          <w:tblLook w:val="0000"/>
        </w:tblPrEx>
        <w:tc>
          <w:tcPr>
            <w:tcW w:w="0" w:type="auto"/>
            <w:tcBorders>
              <w:top w:val="nil"/>
              <w:left w:val="nil"/>
              <w:bottom w:val="nil"/>
              <w:right w:val="nil"/>
            </w:tcBorders>
            <w:tcMar>
              <w:top w:w="0" w:type="dxa"/>
              <w:left w:w="62" w:type="dxa"/>
              <w:bottom w:w="0" w:type="dxa"/>
              <w:right w:w="62" w:type="dxa"/>
            </w:tcMar>
          </w:tcPr>
          <w:p w:rsidR="00000000" w:rsidP="009D19FD">
            <w:pPr>
              <w:pStyle w:val="ListBullet"/>
              <w:rPr>
                <w:lang w:val="en-NZ"/>
              </w:rPr>
            </w:pPr>
            <w:r w:rsidRPr="009D19FD">
              <w:t>Communicate effectively verbally and in writing</w:t>
            </w:r>
          </w:p>
        </w:tc>
      </w:tr>
      <w:tr w:rsidTr="009B2E1B">
        <w:tblPrEx>
          <w:tblW w:w="0" w:type="auto"/>
          <w:tblCellMar>
            <w:left w:w="62" w:type="dxa"/>
            <w:right w:w="62" w:type="dxa"/>
          </w:tblCellMar>
          <w:tblLook w:val="0000"/>
        </w:tblPrEx>
        <w:tc>
          <w:tcPr>
            <w:tcW w:w="0" w:type="auto"/>
            <w:tcBorders>
              <w:top w:val="nil"/>
              <w:left w:val="nil"/>
              <w:bottom w:val="nil"/>
              <w:right w:val="nil"/>
            </w:tcBorders>
            <w:tcMar>
              <w:top w:w="0" w:type="dxa"/>
              <w:left w:w="62" w:type="dxa"/>
              <w:bottom w:w="0" w:type="dxa"/>
              <w:right w:w="62" w:type="dxa"/>
            </w:tcMar>
          </w:tcPr>
          <w:p w:rsidR="00000000" w:rsidP="009D19FD">
            <w:pPr>
              <w:pStyle w:val="ListBullet"/>
              <w:rPr>
                <w:lang w:val="en-NZ"/>
              </w:rPr>
            </w:pPr>
            <w:r w:rsidRPr="009D19FD">
              <w:t>Implement principles of work health and safety (WHS)/occupational health and safety (OHS) and marine environment protection measures</w:t>
            </w:r>
          </w:p>
        </w:tc>
      </w:tr>
      <w:tr w:rsidTr="009B2E1B">
        <w:tblPrEx>
          <w:tblW w:w="0" w:type="auto"/>
          <w:tblCellMar>
            <w:left w:w="62" w:type="dxa"/>
            <w:right w:w="62" w:type="dxa"/>
          </w:tblCellMar>
          <w:tblLook w:val="0000"/>
        </w:tblPrEx>
        <w:tc>
          <w:tcPr>
            <w:tcW w:w="0" w:type="auto"/>
            <w:tcBorders>
              <w:top w:val="nil"/>
              <w:left w:val="nil"/>
              <w:bottom w:val="nil"/>
              <w:right w:val="nil"/>
            </w:tcBorders>
            <w:tcMar>
              <w:top w:w="0" w:type="dxa"/>
              <w:left w:w="62" w:type="dxa"/>
              <w:bottom w:w="0" w:type="dxa"/>
              <w:right w:w="62" w:type="dxa"/>
            </w:tcMar>
          </w:tcPr>
          <w:p w:rsidR="00000000" w:rsidP="009D19FD">
            <w:pPr>
              <w:pStyle w:val="ListBullet"/>
              <w:rPr>
                <w:lang w:val="en-NZ"/>
              </w:rPr>
            </w:pPr>
            <w:r w:rsidRPr="009D19FD">
              <w:t>Follow up reports</w:t>
            </w:r>
          </w:p>
        </w:tc>
      </w:tr>
      <w:tr w:rsidTr="009B2E1B">
        <w:tblPrEx>
          <w:tblW w:w="0" w:type="auto"/>
          <w:tblCellMar>
            <w:left w:w="62" w:type="dxa"/>
            <w:right w:w="62" w:type="dxa"/>
          </w:tblCellMar>
          <w:tblLook w:val="0000"/>
        </w:tblPrEx>
        <w:tc>
          <w:tcPr>
            <w:tcW w:w="0" w:type="auto"/>
            <w:tcBorders>
              <w:top w:val="nil"/>
              <w:left w:val="nil"/>
              <w:bottom w:val="nil"/>
              <w:right w:val="nil"/>
            </w:tcBorders>
            <w:tcMar>
              <w:top w:w="0" w:type="dxa"/>
              <w:left w:w="62" w:type="dxa"/>
              <w:bottom w:w="0" w:type="dxa"/>
              <w:right w:w="62" w:type="dxa"/>
            </w:tcMar>
          </w:tcPr>
          <w:p w:rsidR="00000000" w:rsidP="009D19FD">
            <w:pPr>
              <w:pStyle w:val="ListBullet"/>
              <w:rPr>
                <w:lang w:val="en-NZ"/>
              </w:rPr>
            </w:pPr>
            <w:r w:rsidRPr="009D19FD">
              <w:t>Negotiate and resolve conflict</w:t>
            </w:r>
          </w:p>
        </w:tc>
      </w:tr>
      <w:tr w:rsidTr="009B2E1B">
        <w:tblPrEx>
          <w:tblW w:w="0" w:type="auto"/>
          <w:tblCellMar>
            <w:left w:w="62" w:type="dxa"/>
            <w:right w:w="62" w:type="dxa"/>
          </w:tblCellMar>
          <w:tblLook w:val="0000"/>
        </w:tblPrEx>
        <w:tc>
          <w:tcPr>
            <w:tcW w:w="0" w:type="auto"/>
            <w:tcBorders>
              <w:top w:val="nil"/>
              <w:left w:val="nil"/>
              <w:bottom w:val="nil"/>
              <w:right w:val="nil"/>
            </w:tcBorders>
            <w:tcMar>
              <w:top w:w="0" w:type="dxa"/>
              <w:left w:w="62" w:type="dxa"/>
              <w:bottom w:w="0" w:type="dxa"/>
              <w:right w:w="62" w:type="dxa"/>
            </w:tcMar>
          </w:tcPr>
          <w:p w:rsidR="00000000" w:rsidP="009D19FD">
            <w:pPr>
              <w:pStyle w:val="ListBullet"/>
              <w:rPr>
                <w:lang w:val="en-NZ"/>
              </w:rPr>
            </w:pPr>
            <w:r w:rsidRPr="009D19FD">
              <w:t>Question and investigate</w:t>
            </w:r>
          </w:p>
        </w:tc>
      </w:tr>
      <w:tr w:rsidTr="009B2E1B">
        <w:tblPrEx>
          <w:tblW w:w="0" w:type="auto"/>
          <w:tblCellMar>
            <w:left w:w="62" w:type="dxa"/>
            <w:right w:w="62" w:type="dxa"/>
          </w:tblCellMar>
          <w:tblLook w:val="0000"/>
        </w:tblPrEx>
        <w:tc>
          <w:tcPr>
            <w:tcW w:w="0" w:type="auto"/>
            <w:tcBorders>
              <w:top w:val="nil"/>
              <w:left w:val="nil"/>
              <w:bottom w:val="nil"/>
              <w:right w:val="nil"/>
            </w:tcBorders>
            <w:tcMar>
              <w:top w:w="0" w:type="dxa"/>
              <w:left w:w="62" w:type="dxa"/>
              <w:bottom w:w="0" w:type="dxa"/>
              <w:right w:w="62" w:type="dxa"/>
            </w:tcMar>
          </w:tcPr>
          <w:p w:rsidR="00000000" w:rsidRPr="009D19FD" w:rsidP="009D19FD">
            <w:pPr>
              <w:pStyle w:val="ListBullet"/>
            </w:pPr>
            <w:r w:rsidRPr="009D19FD">
              <w:t>Read and interpret:</w:t>
            </w:r>
          </w:p>
          <w:p w:rsidR="00000000" w:rsidRPr="009D19FD" w:rsidP="009D19FD">
            <w:pPr>
              <w:pStyle w:val="ListBullet2"/>
            </w:pPr>
            <w:r w:rsidRPr="009D19FD">
              <w:t>machinery performance readings and indications</w:t>
            </w:r>
          </w:p>
          <w:p w:rsidR="00000000" w:rsidRPr="009D19FD" w:rsidP="009D19FD">
            <w:pPr>
              <w:pStyle w:val="ListBullet2"/>
            </w:pPr>
            <w:r w:rsidRPr="009D19FD">
              <w:t>plans and drawings</w:t>
            </w:r>
          </w:p>
          <w:p w:rsidR="00000000" w:rsidP="009D19FD">
            <w:pPr>
              <w:pStyle w:val="ListBullet2"/>
              <w:rPr>
                <w:lang w:val="en-NZ"/>
              </w:rPr>
            </w:pPr>
            <w:r w:rsidRPr="009D19FD">
              <w:t>technical information</w:t>
            </w:r>
          </w:p>
        </w:tc>
      </w:tr>
      <w:tr w:rsidTr="009B2E1B">
        <w:tblPrEx>
          <w:tblW w:w="0" w:type="auto"/>
          <w:tblCellMar>
            <w:left w:w="62" w:type="dxa"/>
            <w:right w:w="62" w:type="dxa"/>
          </w:tblCellMar>
          <w:tblLook w:val="0000"/>
        </w:tblPrEx>
        <w:tc>
          <w:tcPr>
            <w:tcW w:w="0" w:type="auto"/>
            <w:tcBorders>
              <w:top w:val="nil"/>
              <w:left w:val="nil"/>
              <w:bottom w:val="nil"/>
              <w:right w:val="nil"/>
            </w:tcBorders>
            <w:tcMar>
              <w:top w:w="0" w:type="dxa"/>
              <w:left w:w="62" w:type="dxa"/>
              <w:bottom w:w="0" w:type="dxa"/>
              <w:right w:w="62" w:type="dxa"/>
            </w:tcMar>
          </w:tcPr>
          <w:p w:rsidR="00000000" w:rsidP="009D19FD">
            <w:pPr>
              <w:pStyle w:val="ListBullet"/>
              <w:rPr>
                <w:lang w:val="en-NZ"/>
              </w:rPr>
            </w:pPr>
            <w:r w:rsidRPr="009D19FD">
              <w:t>Recognise faulty equipment</w:t>
            </w:r>
          </w:p>
        </w:tc>
      </w:tr>
      <w:tr w:rsidTr="009B2E1B">
        <w:tblPrEx>
          <w:tblW w:w="0" w:type="auto"/>
          <w:tblCellMar>
            <w:left w:w="62" w:type="dxa"/>
            <w:right w:w="62" w:type="dxa"/>
          </w:tblCellMar>
          <w:tblLook w:val="0000"/>
        </w:tblPrEx>
        <w:tc>
          <w:tcPr>
            <w:tcW w:w="0" w:type="auto"/>
            <w:tcBorders>
              <w:top w:val="nil"/>
              <w:left w:val="nil"/>
              <w:bottom w:val="nil"/>
              <w:right w:val="nil"/>
            </w:tcBorders>
            <w:tcMar>
              <w:top w:w="0" w:type="dxa"/>
              <w:left w:w="62" w:type="dxa"/>
              <w:bottom w:w="0" w:type="dxa"/>
              <w:right w:w="62" w:type="dxa"/>
            </w:tcMar>
          </w:tcPr>
          <w:p w:rsidR="00000000" w:rsidP="009D19FD">
            <w:pPr>
              <w:pStyle w:val="ListBullet"/>
              <w:rPr>
                <w:lang w:val="en-NZ"/>
              </w:rPr>
            </w:pPr>
            <w:r w:rsidRPr="009D19FD">
              <w:t>Select and use appropriate tools and equipment</w:t>
            </w:r>
          </w:p>
        </w:tc>
      </w:tr>
      <w:tr w:rsidTr="009B2E1B">
        <w:tblPrEx>
          <w:tblW w:w="0" w:type="auto"/>
          <w:tblCellMar>
            <w:left w:w="62" w:type="dxa"/>
            <w:right w:w="62" w:type="dxa"/>
          </w:tblCellMar>
          <w:tblLook w:val="0000"/>
        </w:tblPrEx>
        <w:tc>
          <w:tcPr>
            <w:tcW w:w="0" w:type="auto"/>
            <w:tcBorders>
              <w:top w:val="nil"/>
              <w:left w:val="nil"/>
              <w:bottom w:val="nil"/>
              <w:right w:val="nil"/>
            </w:tcBorders>
            <w:tcMar>
              <w:top w:w="0" w:type="dxa"/>
              <w:left w:w="62" w:type="dxa"/>
              <w:bottom w:w="0" w:type="dxa"/>
              <w:right w:w="62" w:type="dxa"/>
            </w:tcMar>
          </w:tcPr>
          <w:p w:rsidR="00000000" w:rsidP="009D19FD">
            <w:pPr>
              <w:pStyle w:val="ListBullet"/>
              <w:rPr>
                <w:lang w:val="en-NZ"/>
              </w:rPr>
            </w:pPr>
            <w:r w:rsidRPr="009D19FD">
              <w:t>Undertake research and analyse reference material and manufacturer data sheets</w:t>
            </w:r>
          </w:p>
        </w:tc>
      </w:tr>
      <w:tr w:rsidTr="009B2E1B">
        <w:tblPrEx>
          <w:tblW w:w="0" w:type="auto"/>
          <w:tblCellMar>
            <w:left w:w="62" w:type="dxa"/>
            <w:right w:w="62" w:type="dxa"/>
          </w:tblCellMar>
          <w:tblLook w:val="0000"/>
        </w:tblPrEx>
        <w:tc>
          <w:tcPr>
            <w:tcW w:w="0" w:type="auto"/>
            <w:tcBorders>
              <w:top w:val="nil"/>
              <w:left w:val="nil"/>
              <w:bottom w:val="nil"/>
              <w:right w:val="nil"/>
            </w:tcBorders>
            <w:tcMar>
              <w:top w:w="0" w:type="dxa"/>
              <w:left w:w="62" w:type="dxa"/>
              <w:bottom w:w="0" w:type="dxa"/>
              <w:right w:w="62" w:type="dxa"/>
            </w:tcMar>
          </w:tcPr>
          <w:p w:rsidR="00000000" w:rsidP="009D19FD">
            <w:pPr>
              <w:pStyle w:val="ListBullet"/>
              <w:rPr>
                <w:lang w:val="en-NZ"/>
              </w:rPr>
            </w:pPr>
            <w:r w:rsidRPr="009D19FD">
              <w:t>Work independently and unsupervised</w:t>
            </w:r>
          </w:p>
        </w:tc>
      </w:tr>
      <w:tr w:rsidTr="009B2E1B">
        <w:tblPrEx>
          <w:tblW w:w="0" w:type="auto"/>
          <w:tblCellMar>
            <w:left w:w="62" w:type="dxa"/>
            <w:right w:w="62" w:type="dxa"/>
          </w:tblCellMar>
          <w:tblLook w:val="0000"/>
        </w:tblPrEx>
        <w:tc>
          <w:tcPr>
            <w:tcW w:w="0" w:type="auto"/>
            <w:tcBorders>
              <w:top w:val="nil"/>
              <w:left w:val="nil"/>
              <w:bottom w:val="nil"/>
              <w:right w:val="nil"/>
            </w:tcBorders>
            <w:tcMar>
              <w:top w:w="0" w:type="dxa"/>
              <w:left w:w="62" w:type="dxa"/>
              <w:bottom w:w="0" w:type="dxa"/>
              <w:right w:w="62" w:type="dxa"/>
            </w:tcMar>
          </w:tcPr>
          <w:p w:rsidR="00000000" w:rsidRPr="009D19FD" w:rsidP="009D19FD">
            <w:pPr>
              <w:pStyle w:val="ListBullet"/>
            </w:pPr>
            <w:r w:rsidRPr="009D19FD">
              <w:t>Write reports</w:t>
            </w:r>
          </w:p>
        </w:tc>
      </w:tr>
    </w:tbl>
    <w:p w:rsidR="00000000" w:rsidRPr="009D19FD" w:rsidP="009D19FD">
      <w:pPr>
        <w:pStyle w:val="BodyText"/>
      </w:pPr>
    </w:p>
    <w:tbl>
      <w:tblPr>
        <w:tblW w:w="0" w:type="auto"/>
        <w:tblCellMar>
          <w:left w:w="62" w:type="dxa"/>
          <w:right w:w="62" w:type="dxa"/>
        </w:tblCellMar>
        <w:tblLook w:val="0000"/>
      </w:tblPr>
      <w:tblGrid>
        <w:gridCol w:w="9196"/>
      </w:tblGrid>
      <w:tr w:rsidTr="009B2E1B">
        <w:tblPrEx>
          <w:tblW w:w="0" w:type="auto"/>
          <w:tblCellMar>
            <w:left w:w="62" w:type="dxa"/>
            <w:right w:w="62" w:type="dxa"/>
          </w:tblCellMar>
          <w:tblLook w:val="0000"/>
        </w:tblPrEx>
        <w:tc>
          <w:tcPr>
            <w:tcW w:w="0" w:type="auto"/>
            <w:tcBorders>
              <w:top w:val="nil"/>
              <w:left w:val="nil"/>
              <w:bottom w:val="nil"/>
              <w:right w:val="nil"/>
            </w:tcBorders>
            <w:tcMar>
              <w:top w:w="0" w:type="dxa"/>
              <w:left w:w="62" w:type="dxa"/>
              <w:bottom w:w="0" w:type="dxa"/>
              <w:right w:w="62" w:type="dxa"/>
            </w:tcMar>
          </w:tcPr>
          <w:p w:rsidR="00000000" w:rsidP="009D19FD">
            <w:pPr>
              <w:pStyle w:val="BodyText"/>
              <w:rPr>
                <w:lang w:val="en-NZ"/>
              </w:rPr>
            </w:pPr>
            <w:r w:rsidRPr="009D19FD">
              <w:rPr>
                <w:rStyle w:val="SpecialBold"/>
              </w:rPr>
              <w:t>Required Knowledge:</w:t>
            </w:r>
          </w:p>
        </w:tc>
      </w:tr>
      <w:tr w:rsidTr="009B2E1B">
        <w:tblPrEx>
          <w:tblW w:w="0" w:type="auto"/>
          <w:tblCellMar>
            <w:left w:w="62" w:type="dxa"/>
            <w:right w:w="62" w:type="dxa"/>
          </w:tblCellMar>
          <w:tblLook w:val="0000"/>
        </w:tblPrEx>
        <w:tc>
          <w:tcPr>
            <w:tcW w:w="0" w:type="auto"/>
            <w:tcBorders>
              <w:top w:val="nil"/>
              <w:left w:val="nil"/>
              <w:bottom w:val="nil"/>
              <w:right w:val="nil"/>
            </w:tcBorders>
            <w:tcMar>
              <w:top w:w="0" w:type="dxa"/>
              <w:left w:w="62" w:type="dxa"/>
              <w:bottom w:w="0" w:type="dxa"/>
              <w:right w:w="62" w:type="dxa"/>
            </w:tcMar>
          </w:tcPr>
          <w:p w:rsidR="00000000" w:rsidP="009D19FD">
            <w:pPr>
              <w:pStyle w:val="ListBullet"/>
              <w:rPr>
                <w:lang w:val="en-NZ"/>
              </w:rPr>
            </w:pPr>
            <w:r w:rsidRPr="009D19FD">
              <w:t>Battery types, care and maintenance</w:t>
            </w:r>
          </w:p>
        </w:tc>
      </w:tr>
      <w:tr w:rsidTr="009B2E1B">
        <w:tblPrEx>
          <w:tblW w:w="0" w:type="auto"/>
          <w:tblCellMar>
            <w:left w:w="62" w:type="dxa"/>
            <w:right w:w="62" w:type="dxa"/>
          </w:tblCellMar>
          <w:tblLook w:val="0000"/>
        </w:tblPrEx>
        <w:tc>
          <w:tcPr>
            <w:tcW w:w="0" w:type="auto"/>
            <w:tcBorders>
              <w:top w:val="nil"/>
              <w:left w:val="nil"/>
              <w:bottom w:val="nil"/>
              <w:right w:val="nil"/>
            </w:tcBorders>
            <w:tcMar>
              <w:top w:w="0" w:type="dxa"/>
              <w:left w:w="62" w:type="dxa"/>
              <w:bottom w:w="0" w:type="dxa"/>
              <w:right w:w="62" w:type="dxa"/>
            </w:tcMar>
          </w:tcPr>
          <w:p w:rsidR="00000000" w:rsidP="009D19FD">
            <w:pPr>
              <w:pStyle w:val="ListBullet"/>
              <w:rPr>
                <w:lang w:val="en-NZ"/>
              </w:rPr>
            </w:pPr>
            <w:r w:rsidRPr="009D19FD">
              <w:t>Commercial vessel classifications and survey requirements for various operational systems and their components</w:t>
            </w:r>
          </w:p>
        </w:tc>
      </w:tr>
      <w:tr w:rsidTr="009B2E1B">
        <w:tblPrEx>
          <w:tblW w:w="0" w:type="auto"/>
          <w:tblCellMar>
            <w:left w:w="62" w:type="dxa"/>
            <w:right w:w="62" w:type="dxa"/>
          </w:tblCellMar>
          <w:tblLook w:val="0000"/>
        </w:tblPrEx>
        <w:tc>
          <w:tcPr>
            <w:tcW w:w="0" w:type="auto"/>
            <w:tcBorders>
              <w:top w:val="nil"/>
              <w:left w:val="nil"/>
              <w:bottom w:val="nil"/>
              <w:right w:val="nil"/>
            </w:tcBorders>
            <w:tcMar>
              <w:top w:w="0" w:type="dxa"/>
              <w:left w:w="62" w:type="dxa"/>
              <w:bottom w:w="0" w:type="dxa"/>
              <w:right w:w="62" w:type="dxa"/>
            </w:tcMar>
          </w:tcPr>
          <w:p w:rsidR="00000000" w:rsidP="009D19FD">
            <w:pPr>
              <w:pStyle w:val="ListBullet"/>
              <w:rPr>
                <w:lang w:val="en-NZ"/>
              </w:rPr>
            </w:pPr>
            <w:r w:rsidRPr="009D19FD">
              <w:t>Compatibility and durability of construction materials</w:t>
            </w:r>
          </w:p>
        </w:tc>
      </w:tr>
      <w:tr w:rsidTr="009B2E1B">
        <w:tblPrEx>
          <w:tblW w:w="0" w:type="auto"/>
          <w:tblCellMar>
            <w:left w:w="62" w:type="dxa"/>
            <w:right w:w="62" w:type="dxa"/>
          </w:tblCellMar>
          <w:tblLook w:val="0000"/>
        </w:tblPrEx>
        <w:tc>
          <w:tcPr>
            <w:tcW w:w="0" w:type="auto"/>
            <w:tcBorders>
              <w:top w:val="nil"/>
              <w:left w:val="nil"/>
              <w:bottom w:val="nil"/>
              <w:right w:val="nil"/>
            </w:tcBorders>
            <w:tcMar>
              <w:top w:w="0" w:type="dxa"/>
              <w:left w:w="62" w:type="dxa"/>
              <w:bottom w:w="0" w:type="dxa"/>
              <w:right w:w="62" w:type="dxa"/>
            </w:tcMar>
          </w:tcPr>
          <w:p w:rsidR="00000000" w:rsidP="009D19FD">
            <w:pPr>
              <w:pStyle w:val="ListBullet"/>
              <w:rPr>
                <w:lang w:val="en-NZ"/>
              </w:rPr>
            </w:pPr>
            <w:r w:rsidRPr="009D19FD">
              <w:t>Construction and layout of a typical commercial vessel, including layouts for pipework</w:t>
            </w:r>
            <w:r w:rsidRPr="009D19FD">
              <w:t>, tail shaft assembly and installed machinery</w:t>
            </w:r>
          </w:p>
        </w:tc>
      </w:tr>
      <w:tr w:rsidTr="009B2E1B">
        <w:tblPrEx>
          <w:tblW w:w="0" w:type="auto"/>
          <w:tblCellMar>
            <w:left w:w="62" w:type="dxa"/>
            <w:right w:w="62" w:type="dxa"/>
          </w:tblCellMar>
          <w:tblLook w:val="0000"/>
        </w:tblPrEx>
        <w:tc>
          <w:tcPr>
            <w:tcW w:w="0" w:type="auto"/>
            <w:tcBorders>
              <w:top w:val="nil"/>
              <w:left w:val="nil"/>
              <w:bottom w:val="nil"/>
              <w:right w:val="nil"/>
            </w:tcBorders>
            <w:tcMar>
              <w:top w:w="0" w:type="dxa"/>
              <w:left w:w="62" w:type="dxa"/>
              <w:bottom w:w="0" w:type="dxa"/>
              <w:right w:w="62" w:type="dxa"/>
            </w:tcMar>
          </w:tcPr>
          <w:p w:rsidR="00000000" w:rsidP="009D19FD">
            <w:pPr>
              <w:pStyle w:val="ListBullet"/>
              <w:rPr>
                <w:lang w:val="en-NZ"/>
              </w:rPr>
            </w:pPr>
            <w:r w:rsidRPr="009D19FD">
              <w:t>Environmental controls and regulations for primary, secondary or ancillary systems and their components</w:t>
            </w:r>
          </w:p>
        </w:tc>
      </w:tr>
      <w:tr w:rsidTr="009B2E1B">
        <w:tblPrEx>
          <w:tblW w:w="0" w:type="auto"/>
          <w:tblCellMar>
            <w:left w:w="62" w:type="dxa"/>
            <w:right w:w="62" w:type="dxa"/>
          </w:tblCellMar>
          <w:tblLook w:val="0000"/>
        </w:tblPrEx>
        <w:tc>
          <w:tcPr>
            <w:tcW w:w="0" w:type="auto"/>
            <w:tcBorders>
              <w:top w:val="nil"/>
              <w:left w:val="nil"/>
              <w:bottom w:val="nil"/>
              <w:right w:val="nil"/>
            </w:tcBorders>
            <w:tcMar>
              <w:top w:w="0" w:type="dxa"/>
              <w:left w:w="62" w:type="dxa"/>
              <w:bottom w:w="0" w:type="dxa"/>
              <w:right w:w="62" w:type="dxa"/>
            </w:tcMar>
          </w:tcPr>
          <w:p w:rsidR="00000000" w:rsidP="009D19FD">
            <w:pPr>
              <w:pStyle w:val="ListBullet"/>
              <w:rPr>
                <w:lang w:val="en-NZ"/>
              </w:rPr>
            </w:pPr>
            <w:r w:rsidRPr="009D19FD">
              <w:t>Ethical behaviour and industry codes of practice</w:t>
            </w:r>
          </w:p>
        </w:tc>
      </w:tr>
      <w:tr w:rsidTr="009B2E1B">
        <w:tblPrEx>
          <w:tblW w:w="0" w:type="auto"/>
          <w:tblCellMar>
            <w:left w:w="62" w:type="dxa"/>
            <w:right w:w="62" w:type="dxa"/>
          </w:tblCellMar>
          <w:tblLook w:val="0000"/>
        </w:tblPrEx>
        <w:tc>
          <w:tcPr>
            <w:tcW w:w="0" w:type="auto"/>
            <w:tcBorders>
              <w:top w:val="nil"/>
              <w:left w:val="nil"/>
              <w:bottom w:val="nil"/>
              <w:right w:val="nil"/>
            </w:tcBorders>
            <w:tcMar>
              <w:top w:w="0" w:type="dxa"/>
              <w:left w:w="62" w:type="dxa"/>
              <w:bottom w:w="0" w:type="dxa"/>
              <w:right w:w="62" w:type="dxa"/>
            </w:tcMar>
          </w:tcPr>
          <w:p w:rsidR="00000000" w:rsidP="009D19FD">
            <w:pPr>
              <w:pStyle w:val="ListBullet"/>
              <w:rPr>
                <w:lang w:val="en-NZ"/>
              </w:rPr>
            </w:pPr>
            <w:r w:rsidRPr="009D19FD">
              <w:t>Features and characteristics of typical faults and signs of deterioration in operational systems and components</w:t>
            </w:r>
          </w:p>
        </w:tc>
      </w:tr>
      <w:tr w:rsidTr="009B2E1B">
        <w:tblPrEx>
          <w:tblW w:w="0" w:type="auto"/>
          <w:tblCellMar>
            <w:left w:w="62" w:type="dxa"/>
            <w:right w:w="62" w:type="dxa"/>
          </w:tblCellMar>
          <w:tblLook w:val="0000"/>
        </w:tblPrEx>
        <w:tc>
          <w:tcPr>
            <w:tcW w:w="0" w:type="auto"/>
            <w:tcBorders>
              <w:top w:val="nil"/>
              <w:left w:val="nil"/>
              <w:bottom w:val="nil"/>
              <w:right w:val="nil"/>
            </w:tcBorders>
            <w:tcMar>
              <w:top w:w="0" w:type="dxa"/>
              <w:left w:w="62" w:type="dxa"/>
              <w:bottom w:w="0" w:type="dxa"/>
              <w:right w:w="62" w:type="dxa"/>
            </w:tcMar>
          </w:tcPr>
          <w:p w:rsidR="00000000" w:rsidP="009D19FD">
            <w:pPr>
              <w:pStyle w:val="ListBullet"/>
              <w:rPr>
                <w:lang w:val="en-NZ"/>
              </w:rPr>
            </w:pPr>
            <w:r w:rsidRPr="009D19FD">
              <w:t>Features of different engine types and sizes</w:t>
            </w:r>
          </w:p>
        </w:tc>
      </w:tr>
      <w:tr w:rsidTr="009B2E1B">
        <w:tblPrEx>
          <w:tblW w:w="0" w:type="auto"/>
          <w:tblCellMar>
            <w:left w:w="62" w:type="dxa"/>
            <w:right w:w="62" w:type="dxa"/>
          </w:tblCellMar>
          <w:tblLook w:val="0000"/>
        </w:tblPrEx>
        <w:tc>
          <w:tcPr>
            <w:tcW w:w="0" w:type="auto"/>
            <w:tcBorders>
              <w:top w:val="nil"/>
              <w:left w:val="nil"/>
              <w:bottom w:val="nil"/>
              <w:right w:val="nil"/>
            </w:tcBorders>
            <w:tcMar>
              <w:top w:w="0" w:type="dxa"/>
              <w:left w:w="62" w:type="dxa"/>
              <w:bottom w:w="0" w:type="dxa"/>
              <w:right w:w="62" w:type="dxa"/>
            </w:tcMar>
          </w:tcPr>
          <w:p w:rsidR="00000000" w:rsidP="009D19FD">
            <w:pPr>
              <w:pStyle w:val="ListBullet"/>
              <w:rPr>
                <w:lang w:val="en-NZ"/>
              </w:rPr>
            </w:pPr>
            <w:r w:rsidRPr="009D19FD">
              <w:t>Forms, causes and prevention of corrosion in a marine environment</w:t>
            </w:r>
          </w:p>
        </w:tc>
      </w:tr>
      <w:tr w:rsidTr="009B2E1B">
        <w:tblPrEx>
          <w:tblW w:w="0" w:type="auto"/>
          <w:tblCellMar>
            <w:left w:w="62" w:type="dxa"/>
            <w:right w:w="62" w:type="dxa"/>
          </w:tblCellMar>
          <w:tblLook w:val="0000"/>
        </w:tblPrEx>
        <w:tc>
          <w:tcPr>
            <w:tcW w:w="0" w:type="auto"/>
            <w:tcBorders>
              <w:top w:val="nil"/>
              <w:left w:val="nil"/>
              <w:bottom w:val="nil"/>
              <w:right w:val="nil"/>
            </w:tcBorders>
            <w:tcMar>
              <w:top w:w="0" w:type="dxa"/>
              <w:left w:w="62" w:type="dxa"/>
              <w:bottom w:w="0" w:type="dxa"/>
              <w:right w:w="62" w:type="dxa"/>
            </w:tcMar>
          </w:tcPr>
          <w:p w:rsidR="00000000" w:rsidP="009D19FD">
            <w:pPr>
              <w:pStyle w:val="ListBullet"/>
              <w:rPr>
                <w:lang w:val="en-NZ"/>
              </w:rPr>
            </w:pPr>
            <w:r w:rsidRPr="009D19FD">
              <w:t>Insurance, liability and pr</w:t>
            </w:r>
            <w:r w:rsidRPr="009D19FD">
              <w:t>ofessional indemnity requirements for self and others</w:t>
            </w:r>
          </w:p>
        </w:tc>
      </w:tr>
      <w:tr w:rsidTr="009B2E1B">
        <w:tblPrEx>
          <w:tblW w:w="0" w:type="auto"/>
          <w:tblCellMar>
            <w:left w:w="62" w:type="dxa"/>
            <w:right w:w="62" w:type="dxa"/>
          </w:tblCellMar>
          <w:tblLook w:val="0000"/>
        </w:tblPrEx>
        <w:tc>
          <w:tcPr>
            <w:tcW w:w="0" w:type="auto"/>
            <w:tcBorders>
              <w:top w:val="nil"/>
              <w:left w:val="nil"/>
              <w:bottom w:val="nil"/>
              <w:right w:val="nil"/>
            </w:tcBorders>
            <w:tcMar>
              <w:top w:w="0" w:type="dxa"/>
              <w:left w:w="62" w:type="dxa"/>
              <w:bottom w:w="0" w:type="dxa"/>
              <w:right w:w="62" w:type="dxa"/>
            </w:tcMar>
          </w:tcPr>
          <w:p w:rsidR="00000000" w:rsidP="009D19FD">
            <w:pPr>
              <w:pStyle w:val="ListBullet"/>
              <w:rPr>
                <w:lang w:val="en-NZ"/>
              </w:rPr>
            </w:pPr>
            <w:r w:rsidRPr="009D19FD">
              <w:t>Interaction of vessel structures and mechanical systems</w:t>
            </w:r>
          </w:p>
        </w:tc>
      </w:tr>
      <w:tr w:rsidTr="009B2E1B">
        <w:tblPrEx>
          <w:tblW w:w="0" w:type="auto"/>
          <w:tblCellMar>
            <w:left w:w="62" w:type="dxa"/>
            <w:right w:w="62" w:type="dxa"/>
          </w:tblCellMar>
          <w:tblLook w:val="0000"/>
        </w:tblPrEx>
        <w:tc>
          <w:tcPr>
            <w:tcW w:w="0" w:type="auto"/>
            <w:tcBorders>
              <w:top w:val="nil"/>
              <w:left w:val="nil"/>
              <w:bottom w:val="nil"/>
              <w:right w:val="nil"/>
            </w:tcBorders>
            <w:tcMar>
              <w:top w:w="0" w:type="dxa"/>
              <w:left w:w="62" w:type="dxa"/>
              <w:bottom w:w="0" w:type="dxa"/>
              <w:right w:w="62" w:type="dxa"/>
            </w:tcMar>
          </w:tcPr>
          <w:p w:rsidR="00000000" w:rsidP="009D19FD">
            <w:pPr>
              <w:pStyle w:val="ListBullet"/>
              <w:rPr>
                <w:lang w:val="en-NZ"/>
              </w:rPr>
            </w:pPr>
            <w:r w:rsidRPr="009D19FD">
              <w:t>Maintaining watertight integrity</w:t>
            </w:r>
          </w:p>
        </w:tc>
      </w:tr>
      <w:tr w:rsidTr="009B2E1B">
        <w:tblPrEx>
          <w:tblW w:w="0" w:type="auto"/>
          <w:tblCellMar>
            <w:left w:w="62" w:type="dxa"/>
            <w:right w:w="62" w:type="dxa"/>
          </w:tblCellMar>
          <w:tblLook w:val="0000"/>
        </w:tblPrEx>
        <w:tc>
          <w:tcPr>
            <w:tcW w:w="0" w:type="auto"/>
            <w:tcBorders>
              <w:top w:val="nil"/>
              <w:left w:val="nil"/>
              <w:bottom w:val="nil"/>
              <w:right w:val="nil"/>
            </w:tcBorders>
            <w:tcMar>
              <w:top w:w="0" w:type="dxa"/>
              <w:left w:w="62" w:type="dxa"/>
              <w:bottom w:w="0" w:type="dxa"/>
              <w:right w:w="62" w:type="dxa"/>
            </w:tcMar>
          </w:tcPr>
          <w:p w:rsidR="00000000" w:rsidP="009D19FD">
            <w:pPr>
              <w:pStyle w:val="ListBullet"/>
              <w:rPr>
                <w:lang w:val="en-NZ"/>
              </w:rPr>
            </w:pPr>
            <w:r w:rsidRPr="009D19FD">
              <w:t xml:space="preserve">Operational characteristics and performance specifications for different types of </w:t>
            </w:r>
            <w:r w:rsidRPr="009D19FD">
              <w:t>marine internal combustion engines and propulsion machinery usually found on vessels of up to 750 kW propulsion power</w:t>
            </w:r>
          </w:p>
        </w:tc>
      </w:tr>
      <w:tr w:rsidTr="009B2E1B">
        <w:tblPrEx>
          <w:tblW w:w="0" w:type="auto"/>
          <w:tblCellMar>
            <w:left w:w="62" w:type="dxa"/>
            <w:right w:w="62" w:type="dxa"/>
          </w:tblCellMar>
          <w:tblLook w:val="0000"/>
        </w:tblPrEx>
        <w:tc>
          <w:tcPr>
            <w:tcW w:w="0" w:type="auto"/>
            <w:tcBorders>
              <w:top w:val="nil"/>
              <w:left w:val="nil"/>
              <w:bottom w:val="nil"/>
              <w:right w:val="nil"/>
            </w:tcBorders>
            <w:tcMar>
              <w:top w:w="0" w:type="dxa"/>
              <w:left w:w="62" w:type="dxa"/>
              <w:bottom w:w="0" w:type="dxa"/>
              <w:right w:w="62" w:type="dxa"/>
            </w:tcMar>
          </w:tcPr>
          <w:p w:rsidR="00000000" w:rsidP="009D19FD">
            <w:pPr>
              <w:pStyle w:val="ListBullet"/>
              <w:rPr>
                <w:lang w:val="en-NZ"/>
              </w:rPr>
            </w:pPr>
            <w:r w:rsidRPr="009D19FD">
              <w:t>Principal features of fittings and machinery found on typical small vessels and characteristics of engine/plant and ancillary equipment</w:t>
            </w:r>
          </w:p>
        </w:tc>
      </w:tr>
      <w:tr w:rsidTr="009B2E1B">
        <w:tblPrEx>
          <w:tblW w:w="0" w:type="auto"/>
          <w:tblCellMar>
            <w:left w:w="62" w:type="dxa"/>
            <w:right w:w="62" w:type="dxa"/>
          </w:tblCellMar>
          <w:tblLook w:val="0000"/>
        </w:tblPrEx>
        <w:tc>
          <w:tcPr>
            <w:tcW w:w="0" w:type="auto"/>
            <w:tcBorders>
              <w:top w:val="nil"/>
              <w:left w:val="nil"/>
              <w:bottom w:val="nil"/>
              <w:right w:val="nil"/>
            </w:tcBorders>
            <w:tcMar>
              <w:top w:w="0" w:type="dxa"/>
              <w:left w:w="62" w:type="dxa"/>
              <w:bottom w:w="0" w:type="dxa"/>
              <w:right w:w="62" w:type="dxa"/>
            </w:tcMar>
          </w:tcPr>
          <w:p w:rsidR="00000000" w:rsidRPr="009D19FD" w:rsidP="009D19FD">
            <w:pPr>
              <w:pStyle w:val="ListBullet"/>
            </w:pPr>
            <w:r w:rsidRPr="009D19FD">
              <w:t>Procedures for:</w:t>
            </w:r>
          </w:p>
          <w:p w:rsidR="00000000" w:rsidRPr="009D19FD" w:rsidP="009D19FD">
            <w:pPr>
              <w:pStyle w:val="ListBullet2"/>
            </w:pPr>
            <w:r w:rsidRPr="009D19FD">
              <w:t>checking fittings, machinery and components</w:t>
            </w:r>
          </w:p>
          <w:p w:rsidR="00000000" w:rsidP="009D19FD">
            <w:pPr>
              <w:pStyle w:val="ListBullet2"/>
              <w:rPr>
                <w:lang w:val="en-NZ"/>
              </w:rPr>
            </w:pPr>
            <w:r w:rsidRPr="009D19FD">
              <w:t>reading and interpreting machinery performance readings and indications</w:t>
            </w:r>
          </w:p>
        </w:tc>
      </w:tr>
      <w:tr w:rsidTr="009B2E1B">
        <w:tblPrEx>
          <w:tblW w:w="0" w:type="auto"/>
          <w:tblCellMar>
            <w:left w:w="62" w:type="dxa"/>
            <w:right w:w="62" w:type="dxa"/>
          </w:tblCellMar>
          <w:tblLook w:val="0000"/>
        </w:tblPrEx>
        <w:tc>
          <w:tcPr>
            <w:tcW w:w="0" w:type="auto"/>
            <w:tcBorders>
              <w:top w:val="nil"/>
              <w:left w:val="nil"/>
              <w:bottom w:val="nil"/>
              <w:right w:val="nil"/>
            </w:tcBorders>
            <w:tcMar>
              <w:top w:w="0" w:type="dxa"/>
              <w:left w:w="62" w:type="dxa"/>
              <w:bottom w:w="0" w:type="dxa"/>
              <w:right w:w="62" w:type="dxa"/>
            </w:tcMar>
          </w:tcPr>
          <w:p w:rsidR="00000000" w:rsidP="009D19FD">
            <w:pPr>
              <w:pStyle w:val="ListBullet"/>
              <w:rPr>
                <w:lang w:val="en-NZ"/>
              </w:rPr>
            </w:pPr>
            <w:r w:rsidRPr="009D19FD">
              <w:t>Purpose and content of safety data sheets (SDS)/material safety data sheets (MSDS)</w:t>
            </w:r>
          </w:p>
        </w:tc>
      </w:tr>
      <w:tr w:rsidTr="009B2E1B">
        <w:tblPrEx>
          <w:tblW w:w="0" w:type="auto"/>
          <w:tblCellMar>
            <w:left w:w="62" w:type="dxa"/>
            <w:right w:w="62" w:type="dxa"/>
          </w:tblCellMar>
          <w:tblLook w:val="0000"/>
        </w:tblPrEx>
        <w:tc>
          <w:tcPr>
            <w:tcW w:w="0" w:type="auto"/>
            <w:tcBorders>
              <w:top w:val="nil"/>
              <w:left w:val="nil"/>
              <w:bottom w:val="nil"/>
              <w:right w:val="nil"/>
            </w:tcBorders>
            <w:tcMar>
              <w:top w:w="0" w:type="dxa"/>
              <w:left w:w="62" w:type="dxa"/>
              <w:bottom w:w="0" w:type="dxa"/>
              <w:right w:w="62" w:type="dxa"/>
            </w:tcMar>
          </w:tcPr>
          <w:p w:rsidR="00000000" w:rsidP="009D19FD">
            <w:pPr>
              <w:pStyle w:val="ListBullet"/>
              <w:rPr>
                <w:lang w:val="en-NZ"/>
              </w:rPr>
            </w:pPr>
            <w:r w:rsidRPr="009D19FD">
              <w:t>Relevant sections of state and territory maritime regulations, National Standard for Commercial Vessels (NSCV) and Uniform Shipping Laws (USL) Code dealing with maintaining small vessels</w:t>
            </w:r>
          </w:p>
        </w:tc>
      </w:tr>
      <w:tr w:rsidTr="009B2E1B">
        <w:tblPrEx>
          <w:tblW w:w="0" w:type="auto"/>
          <w:tblCellMar>
            <w:left w:w="62" w:type="dxa"/>
            <w:right w:w="62" w:type="dxa"/>
          </w:tblCellMar>
          <w:tblLook w:val="0000"/>
        </w:tblPrEx>
        <w:tc>
          <w:tcPr>
            <w:tcW w:w="0" w:type="auto"/>
            <w:tcBorders>
              <w:top w:val="nil"/>
              <w:left w:val="nil"/>
              <w:bottom w:val="nil"/>
              <w:right w:val="nil"/>
            </w:tcBorders>
            <w:tcMar>
              <w:top w:w="0" w:type="dxa"/>
              <w:left w:w="62" w:type="dxa"/>
              <w:bottom w:w="0" w:type="dxa"/>
              <w:right w:w="62" w:type="dxa"/>
            </w:tcMar>
          </w:tcPr>
          <w:p w:rsidR="00000000" w:rsidP="009D19FD">
            <w:pPr>
              <w:pStyle w:val="ListBullet"/>
              <w:rPr>
                <w:lang w:val="en-NZ"/>
              </w:rPr>
            </w:pPr>
            <w:r w:rsidRPr="009D19FD">
              <w:t>Report writing requirements for a range of different survey tasks</w:t>
            </w:r>
          </w:p>
        </w:tc>
      </w:tr>
      <w:tr w:rsidTr="009B2E1B">
        <w:tblPrEx>
          <w:tblW w:w="0" w:type="auto"/>
          <w:tblCellMar>
            <w:left w:w="62" w:type="dxa"/>
            <w:right w:w="62" w:type="dxa"/>
          </w:tblCellMar>
          <w:tblLook w:val="0000"/>
        </w:tblPrEx>
        <w:tc>
          <w:tcPr>
            <w:tcW w:w="0" w:type="auto"/>
            <w:tcBorders>
              <w:top w:val="nil"/>
              <w:left w:val="nil"/>
              <w:bottom w:val="nil"/>
              <w:right w:val="nil"/>
            </w:tcBorders>
            <w:tcMar>
              <w:top w:w="0" w:type="dxa"/>
              <w:left w:w="62" w:type="dxa"/>
              <w:bottom w:w="0" w:type="dxa"/>
              <w:right w:w="62" w:type="dxa"/>
            </w:tcMar>
          </w:tcPr>
          <w:p w:rsidR="00000000" w:rsidP="009D19FD">
            <w:pPr>
              <w:pStyle w:val="ListBullet"/>
              <w:rPr>
                <w:lang w:val="en-NZ"/>
              </w:rPr>
            </w:pPr>
            <w:r w:rsidRPr="009D19FD">
              <w:t>Safety, environmental and hazard control precautions and procedures relevant to checking and basic maintenance of fittings and machinery</w:t>
            </w:r>
          </w:p>
        </w:tc>
      </w:tr>
      <w:tr w:rsidTr="009B2E1B">
        <w:tblPrEx>
          <w:tblW w:w="0" w:type="auto"/>
          <w:tblCellMar>
            <w:left w:w="62" w:type="dxa"/>
            <w:right w:w="62" w:type="dxa"/>
          </w:tblCellMar>
          <w:tblLook w:val="0000"/>
        </w:tblPrEx>
        <w:tc>
          <w:tcPr>
            <w:tcW w:w="0" w:type="auto"/>
            <w:tcBorders>
              <w:top w:val="nil"/>
              <w:left w:val="nil"/>
              <w:bottom w:val="nil"/>
              <w:right w:val="nil"/>
            </w:tcBorders>
            <w:tcMar>
              <w:top w:w="0" w:type="dxa"/>
              <w:left w:w="62" w:type="dxa"/>
              <w:bottom w:w="0" w:type="dxa"/>
              <w:right w:w="62" w:type="dxa"/>
            </w:tcMar>
          </w:tcPr>
          <w:p w:rsidR="00000000" w:rsidP="009D19FD">
            <w:pPr>
              <w:pStyle w:val="ListBullet"/>
              <w:rPr>
                <w:lang w:val="en-NZ"/>
              </w:rPr>
            </w:pPr>
            <w:r w:rsidRPr="009D19FD">
              <w:t>Typical problems related to inspecting and maintaining operational systems</w:t>
            </w:r>
          </w:p>
        </w:tc>
      </w:tr>
      <w:tr w:rsidTr="009B2E1B">
        <w:tblPrEx>
          <w:tblW w:w="0" w:type="auto"/>
          <w:tblCellMar>
            <w:left w:w="62" w:type="dxa"/>
            <w:right w:w="62" w:type="dxa"/>
          </w:tblCellMar>
          <w:tblLook w:val="0000"/>
        </w:tblPrEx>
        <w:tc>
          <w:tcPr>
            <w:tcW w:w="0" w:type="auto"/>
            <w:tcBorders>
              <w:top w:val="nil"/>
              <w:left w:val="nil"/>
              <w:bottom w:val="nil"/>
              <w:right w:val="nil"/>
            </w:tcBorders>
            <w:tcMar>
              <w:top w:w="0" w:type="dxa"/>
              <w:left w:w="62" w:type="dxa"/>
              <w:bottom w:w="0" w:type="dxa"/>
              <w:right w:w="62" w:type="dxa"/>
            </w:tcMar>
          </w:tcPr>
          <w:p w:rsidR="00000000" w:rsidP="009D19FD">
            <w:pPr>
              <w:pStyle w:val="ListBullet"/>
              <w:rPr>
                <w:lang w:val="en-NZ"/>
              </w:rPr>
            </w:pPr>
            <w:r w:rsidRPr="009D19FD">
              <w:t>Typical vessel and machinery specificat</w:t>
            </w:r>
            <w:r w:rsidRPr="009D19FD">
              <w:t>ions, operating manuals and specifications</w:t>
            </w:r>
          </w:p>
        </w:tc>
      </w:tr>
      <w:tr w:rsidTr="009B2E1B">
        <w:tblPrEx>
          <w:tblW w:w="0" w:type="auto"/>
          <w:tblCellMar>
            <w:left w:w="62" w:type="dxa"/>
            <w:right w:w="62" w:type="dxa"/>
          </w:tblCellMar>
          <w:tblLook w:val="0000"/>
        </w:tblPrEx>
        <w:tc>
          <w:tcPr>
            <w:tcW w:w="0" w:type="auto"/>
            <w:tcBorders>
              <w:top w:val="nil"/>
              <w:left w:val="nil"/>
              <w:bottom w:val="nil"/>
              <w:right w:val="nil"/>
            </w:tcBorders>
            <w:tcMar>
              <w:top w:w="0" w:type="dxa"/>
              <w:left w:w="62" w:type="dxa"/>
              <w:bottom w:w="0" w:type="dxa"/>
              <w:right w:w="62" w:type="dxa"/>
            </w:tcMar>
          </w:tcPr>
          <w:p w:rsidR="00000000" w:rsidRPr="009D19FD" w:rsidP="009D19FD">
            <w:pPr>
              <w:pStyle w:val="ListBullet"/>
            </w:pPr>
            <w:r w:rsidRPr="009D19FD">
              <w:t>WHS/OHS requirements and safe work practices</w:t>
            </w:r>
          </w:p>
        </w:tc>
      </w:tr>
    </w:tbl>
    <w:p w:rsidR="009B2E1B" w:rsidP="009D19FD">
      <w:pPr>
        <w:pStyle w:val="BodyText"/>
      </w:pPr>
    </w:p>
    <w:p w:rsidR="009B2E1B" w:rsidP="009D19FD">
      <w:pPr>
        <w:pStyle w:val="BodyText"/>
      </w:pPr>
    </w:p>
    <w:p w:rsidR="00000000" w:rsidRPr="009D19FD" w:rsidP="009D19FD">
      <w:pPr>
        <w:pStyle w:val="Heading1"/>
      </w:pPr>
      <w:bookmarkStart w:id="10" w:name="O_538775"/>
      <w:bookmarkEnd w:id="10"/>
      <w:r w:rsidRPr="009D19FD">
        <w:t>Evidence Guide</w:t>
      </w:r>
    </w:p>
    <w:tbl>
      <w:tblPr>
        <w:tblW w:w="9499" w:type="dxa"/>
        <w:tblLayout w:type="fixed"/>
        <w:tblCellMar>
          <w:left w:w="62" w:type="dxa"/>
          <w:right w:w="62" w:type="dxa"/>
        </w:tblCellMar>
        <w:tblLook w:val="0000"/>
      </w:tblPr>
      <w:tblGrid>
        <w:gridCol w:w="3340"/>
        <w:gridCol w:w="6159"/>
      </w:tblGrid>
      <w:tr w:rsidTr="009D19FD">
        <w:tblPrEx>
          <w:tblW w:w="9499" w:type="dxa"/>
          <w:tblLayout w:type="fixed"/>
          <w:tblCellMar>
            <w:left w:w="62" w:type="dxa"/>
            <w:right w:w="62" w:type="dxa"/>
          </w:tblCellMar>
          <w:tblLook w:val="0000"/>
        </w:tblPrEx>
        <w:tc>
          <w:tcPr>
            <w:tcW w:w="9499" w:type="dxa"/>
            <w:gridSpan w:val="2"/>
            <w:tcBorders>
              <w:top w:val="nil"/>
              <w:left w:val="nil"/>
              <w:bottom w:val="nil"/>
              <w:right w:val="nil"/>
            </w:tcBorders>
            <w:tcMar>
              <w:top w:w="0" w:type="dxa"/>
              <w:left w:w="62" w:type="dxa"/>
              <w:bottom w:w="0" w:type="dxa"/>
              <w:right w:w="62" w:type="dxa"/>
            </w:tcMar>
          </w:tcPr>
          <w:p w:rsidR="00000000" w:rsidP="009D19FD">
            <w:pPr>
              <w:pStyle w:val="BodyText"/>
              <w:rPr>
                <w:lang w:val="en-NZ"/>
              </w:rPr>
            </w:pPr>
            <w:r w:rsidRPr="009D19FD">
              <w:t>The evidence guide provides advice on assessment and must be read in conjunction with the performance criteria, the required skills and knowledge, the range statement and the Assessment Guidelines for the Training Package.</w:t>
            </w:r>
          </w:p>
        </w:tc>
      </w:tr>
      <w:tr w:rsidTr="009D19FD">
        <w:tblPrEx>
          <w:tblW w:w="9499" w:type="dxa"/>
          <w:tblLayout w:type="fixed"/>
          <w:tblCellMar>
            <w:left w:w="62" w:type="dxa"/>
            <w:right w:w="62" w:type="dxa"/>
          </w:tblCellMar>
          <w:tblLook w:val="0000"/>
        </w:tblPrEx>
        <w:tc>
          <w:tcPr>
            <w:tcW w:w="3340" w:type="dxa"/>
            <w:tcBorders>
              <w:top w:val="nil"/>
              <w:left w:val="nil"/>
              <w:bottom w:val="nil"/>
              <w:right w:val="nil"/>
            </w:tcBorders>
            <w:tcMar>
              <w:top w:w="0" w:type="dxa"/>
              <w:left w:w="62" w:type="dxa"/>
              <w:bottom w:w="0" w:type="dxa"/>
              <w:right w:w="62" w:type="dxa"/>
            </w:tcMar>
          </w:tcPr>
          <w:p w:rsidR="00000000" w:rsidP="009D19FD">
            <w:pPr>
              <w:pStyle w:val="BodyText"/>
              <w:rPr>
                <w:lang w:val="en-NZ"/>
              </w:rPr>
            </w:pPr>
            <w:r w:rsidRPr="009D19FD">
              <w:rPr>
                <w:rStyle w:val="SpecialBold"/>
              </w:rPr>
              <w:t>Critical aspects for assessment</w:t>
            </w:r>
            <w:r w:rsidRPr="009D19FD">
              <w:rPr>
                <w:rStyle w:val="SpecialBold"/>
              </w:rPr>
              <w:t xml:space="preserve"> and evidence required to demonstrate competency in this unit</w:t>
            </w:r>
          </w:p>
        </w:tc>
        <w:tc>
          <w:tcPr>
            <w:tcW w:w="6159" w:type="dxa"/>
            <w:tcBorders>
              <w:top w:val="nil"/>
              <w:left w:val="nil"/>
              <w:bottom w:val="nil"/>
              <w:right w:val="nil"/>
            </w:tcBorders>
            <w:tcMar>
              <w:top w:w="0" w:type="dxa"/>
              <w:left w:w="62" w:type="dxa"/>
              <w:bottom w:w="0" w:type="dxa"/>
              <w:right w:w="62" w:type="dxa"/>
            </w:tcMar>
          </w:tcPr>
          <w:p w:rsidR="00000000" w:rsidRPr="009D19FD" w:rsidP="009D19FD">
            <w:pPr>
              <w:pStyle w:val="BodyText"/>
            </w:pPr>
            <w:r w:rsidRPr="009D19FD">
              <w:t>The evidence required to demonstrate competence in this unit must be relevant to and satisfy all of the requirements of the Elements, Performance Criteria, Required Skills, Required Knowledge an</w:t>
            </w:r>
            <w:r w:rsidRPr="009D19FD">
              <w:t>d include:</w:t>
            </w:r>
          </w:p>
          <w:p w:rsidR="00000000" w:rsidRPr="009D19FD" w:rsidP="009D19FD">
            <w:pPr>
              <w:pStyle w:val="ListBullet"/>
            </w:pPr>
            <w:r w:rsidRPr="009D19FD">
              <w:t>ensuring currency of relevant WHS/OHS skills and knowledge</w:t>
            </w:r>
          </w:p>
          <w:p w:rsidR="00000000" w:rsidRPr="009D19FD" w:rsidP="009D19FD">
            <w:pPr>
              <w:pStyle w:val="ListBullet"/>
            </w:pPr>
            <w:r w:rsidRPr="009D19FD">
              <w:t>providing high quality reports</w:t>
            </w:r>
          </w:p>
          <w:p w:rsidR="00000000" w:rsidRPr="009D19FD" w:rsidP="009D19FD">
            <w:pPr>
              <w:pStyle w:val="ListBullet"/>
            </w:pPr>
            <w:r w:rsidRPr="009D19FD">
              <w:t>developing effective planning documents</w:t>
            </w:r>
          </w:p>
          <w:p w:rsidR="00000000" w:rsidP="009D19FD">
            <w:pPr>
              <w:pStyle w:val="ListBullet"/>
              <w:rPr>
                <w:lang w:val="en-NZ"/>
              </w:rPr>
            </w:pPr>
            <w:r w:rsidRPr="009D19FD">
              <w:t>communicating effectively with others as required.</w:t>
            </w:r>
          </w:p>
        </w:tc>
      </w:tr>
      <w:tr w:rsidTr="009D19FD">
        <w:tblPrEx>
          <w:tblW w:w="9499" w:type="dxa"/>
          <w:tblLayout w:type="fixed"/>
          <w:tblCellMar>
            <w:left w:w="62" w:type="dxa"/>
            <w:right w:w="62" w:type="dxa"/>
          </w:tblCellMar>
          <w:tblLook w:val="0000"/>
        </w:tblPrEx>
        <w:tc>
          <w:tcPr>
            <w:tcW w:w="3340" w:type="dxa"/>
            <w:tcBorders>
              <w:top w:val="nil"/>
              <w:left w:val="nil"/>
              <w:bottom w:val="nil"/>
              <w:right w:val="nil"/>
            </w:tcBorders>
            <w:tcMar>
              <w:top w:w="0" w:type="dxa"/>
              <w:left w:w="62" w:type="dxa"/>
              <w:bottom w:w="0" w:type="dxa"/>
              <w:right w:w="62" w:type="dxa"/>
            </w:tcMar>
          </w:tcPr>
          <w:p w:rsidR="00000000" w:rsidP="009D19FD">
            <w:pPr>
              <w:pStyle w:val="BodyText"/>
              <w:rPr>
                <w:lang w:val="en-NZ"/>
              </w:rPr>
            </w:pPr>
            <w:r w:rsidRPr="009D19FD">
              <w:rPr>
                <w:rStyle w:val="SpecialBold"/>
              </w:rPr>
              <w:t>Context of and specific resources for assessment</w:t>
            </w:r>
          </w:p>
        </w:tc>
        <w:tc>
          <w:tcPr>
            <w:tcW w:w="6159" w:type="dxa"/>
            <w:tcBorders>
              <w:top w:val="nil"/>
              <w:left w:val="nil"/>
              <w:bottom w:val="nil"/>
              <w:right w:val="nil"/>
            </w:tcBorders>
            <w:tcMar>
              <w:top w:w="0" w:type="dxa"/>
              <w:left w:w="62" w:type="dxa"/>
              <w:bottom w:w="0" w:type="dxa"/>
              <w:right w:w="62" w:type="dxa"/>
            </w:tcMar>
          </w:tcPr>
          <w:p w:rsidR="00000000" w:rsidRPr="009D19FD" w:rsidP="009D19FD">
            <w:pPr>
              <w:pStyle w:val="BodyText"/>
            </w:pPr>
            <w:r w:rsidRPr="009D19FD">
              <w:t>Performance is demonstrated consistently over time and in a suitable range of contexts.</w:t>
            </w:r>
          </w:p>
          <w:p w:rsidR="00000000" w:rsidRPr="009D19FD" w:rsidP="009D19FD">
            <w:pPr>
              <w:pStyle w:val="BodyText"/>
            </w:pPr>
            <w:r w:rsidRPr="009D19FD">
              <w:t>Resources for assessment include access to:</w:t>
            </w:r>
          </w:p>
          <w:p w:rsidR="00000000" w:rsidRPr="009D19FD" w:rsidP="009D19FD">
            <w:pPr>
              <w:pStyle w:val="ListBullet"/>
            </w:pPr>
            <w:r w:rsidRPr="009D19FD">
              <w:t>industry-approved marine operations site where undertaking survey of vessel operational systems can be conducted</w:t>
            </w:r>
          </w:p>
          <w:p w:rsidR="00000000" w:rsidRPr="009D19FD" w:rsidP="009D19FD">
            <w:pPr>
              <w:pStyle w:val="ListBullet"/>
            </w:pPr>
            <w:r w:rsidRPr="009D19FD">
              <w:t>tools, equ</w:t>
            </w:r>
            <w:r w:rsidRPr="009D19FD">
              <w:t>ipment and personal protective equipment currently used in industry</w:t>
            </w:r>
          </w:p>
          <w:p w:rsidR="00000000" w:rsidRPr="009D19FD" w:rsidP="009D19FD">
            <w:pPr>
              <w:pStyle w:val="ListBullet"/>
            </w:pPr>
            <w:r w:rsidRPr="009D19FD">
              <w:t>relevant regulatory and equipment documentation that impacts on work activities</w:t>
            </w:r>
          </w:p>
          <w:p w:rsidR="00000000" w:rsidRPr="009D19FD" w:rsidP="009D19FD">
            <w:pPr>
              <w:pStyle w:val="ListBullet"/>
            </w:pPr>
            <w:r w:rsidRPr="009D19FD">
              <w:t>range of relevant exercises, case studies and/or other simulated practical and knowledge assessments</w:t>
            </w:r>
          </w:p>
          <w:p w:rsidR="00000000" w:rsidRPr="009D19FD" w:rsidP="009D19FD">
            <w:pPr>
              <w:pStyle w:val="ListBullet"/>
            </w:pPr>
            <w:r w:rsidRPr="009D19FD">
              <w:t>appropr</w:t>
            </w:r>
            <w:r w:rsidRPr="009D19FD">
              <w:t>iate range of relevant operational situations in the workplace.</w:t>
            </w:r>
          </w:p>
          <w:p w:rsidR="00000000" w:rsidRPr="009D19FD" w:rsidP="009D19FD">
            <w:pPr>
              <w:pStyle w:val="BodyText"/>
            </w:pPr>
            <w:r w:rsidRPr="009D19FD">
              <w:t>In both real and simulated environments, access is required to:</w:t>
            </w:r>
          </w:p>
          <w:p w:rsidR="00000000" w:rsidRPr="009D19FD" w:rsidP="009D19FD">
            <w:pPr>
              <w:pStyle w:val="ListBullet"/>
            </w:pPr>
            <w:r w:rsidRPr="009D19FD">
              <w:t>relevant and appropriate materials and equipment</w:t>
            </w:r>
          </w:p>
          <w:p w:rsidR="00000000" w:rsidP="009D19FD">
            <w:pPr>
              <w:pStyle w:val="ListBullet"/>
              <w:rPr>
                <w:lang w:val="en-NZ"/>
              </w:rPr>
            </w:pPr>
            <w:r w:rsidRPr="009D19FD">
              <w:t>applicable documentation including workplace procedures, regulations, codes of</w:t>
            </w:r>
            <w:r w:rsidRPr="009D19FD">
              <w:t xml:space="preserve"> practice and operation manuals.</w:t>
            </w:r>
          </w:p>
        </w:tc>
      </w:tr>
      <w:tr w:rsidTr="009D19FD">
        <w:tblPrEx>
          <w:tblW w:w="9499" w:type="dxa"/>
          <w:tblLayout w:type="fixed"/>
          <w:tblCellMar>
            <w:left w:w="62" w:type="dxa"/>
            <w:right w:w="62" w:type="dxa"/>
          </w:tblCellMar>
          <w:tblLook w:val="0000"/>
        </w:tblPrEx>
        <w:tc>
          <w:tcPr>
            <w:tcW w:w="3340" w:type="dxa"/>
            <w:tcBorders>
              <w:top w:val="nil"/>
              <w:left w:val="nil"/>
              <w:bottom w:val="nil"/>
              <w:right w:val="nil"/>
            </w:tcBorders>
            <w:tcMar>
              <w:top w:w="0" w:type="dxa"/>
              <w:left w:w="62" w:type="dxa"/>
              <w:bottom w:w="0" w:type="dxa"/>
              <w:right w:w="62" w:type="dxa"/>
            </w:tcMar>
          </w:tcPr>
          <w:p w:rsidR="00000000" w:rsidP="009D19FD">
            <w:pPr>
              <w:pStyle w:val="BodyText"/>
              <w:rPr>
                <w:lang w:val="en-NZ"/>
              </w:rPr>
            </w:pPr>
            <w:r w:rsidRPr="009D19FD">
              <w:rPr>
                <w:rStyle w:val="SpecialBold"/>
              </w:rPr>
              <w:t>Method of assessment</w:t>
            </w:r>
          </w:p>
        </w:tc>
        <w:tc>
          <w:tcPr>
            <w:tcW w:w="6159" w:type="dxa"/>
            <w:tcBorders>
              <w:top w:val="nil"/>
              <w:left w:val="nil"/>
              <w:bottom w:val="nil"/>
              <w:right w:val="nil"/>
            </w:tcBorders>
            <w:tcMar>
              <w:top w:w="0" w:type="dxa"/>
              <w:left w:w="62" w:type="dxa"/>
              <w:bottom w:w="0" w:type="dxa"/>
              <w:right w:w="62" w:type="dxa"/>
            </w:tcMar>
          </w:tcPr>
          <w:p w:rsidR="00000000" w:rsidRPr="009D19FD" w:rsidP="009D19FD">
            <w:pPr>
              <w:pStyle w:val="BodyText"/>
            </w:pPr>
            <w:r w:rsidRPr="009D19FD">
              <w:t>Practical assessment must occur in an:</w:t>
            </w:r>
          </w:p>
          <w:p w:rsidR="00000000" w:rsidRPr="009D19FD" w:rsidP="009D19FD">
            <w:pPr>
              <w:pStyle w:val="ListBullet"/>
            </w:pPr>
            <w:r w:rsidRPr="009D19FD">
              <w:t>appropriately simulated workplace environment and/or</w:t>
            </w:r>
          </w:p>
          <w:p w:rsidR="00000000" w:rsidRPr="009D19FD" w:rsidP="009D19FD">
            <w:pPr>
              <w:pStyle w:val="ListBullet"/>
            </w:pPr>
            <w:r w:rsidRPr="009D19FD">
              <w:t>appropriate range of situations in the workplace.</w:t>
            </w:r>
          </w:p>
          <w:p w:rsidR="00000000" w:rsidRPr="009D19FD" w:rsidP="009D19FD">
            <w:pPr>
              <w:pStyle w:val="BodyText"/>
            </w:pPr>
            <w:r w:rsidRPr="009D19FD">
              <w:t>A range of assessment methods should be used to assess practical skills and knowledge. The following examples are appropriate to this unit:</w:t>
            </w:r>
          </w:p>
          <w:p w:rsidR="00000000" w:rsidRPr="009D19FD" w:rsidP="009D19FD">
            <w:pPr>
              <w:pStyle w:val="ListBullet"/>
            </w:pPr>
            <w:r w:rsidRPr="009D19FD">
              <w:t>direct observation of the candidate undertaking survey of vessel operational systems</w:t>
            </w:r>
          </w:p>
          <w:p w:rsidR="00000000" w:rsidP="009D19FD">
            <w:pPr>
              <w:pStyle w:val="ListBullet"/>
              <w:rPr>
                <w:lang w:val="en-NZ"/>
              </w:rPr>
            </w:pPr>
            <w:r w:rsidRPr="009D19FD">
              <w:t>direct observation of the cand</w:t>
            </w:r>
            <w:r w:rsidRPr="009D19FD">
              <w:t>idate applying relevant WHS/OHS requirements and work practices</w:t>
            </w:r>
          </w:p>
        </w:tc>
      </w:tr>
      <w:tr w:rsidTr="009D19FD">
        <w:tblPrEx>
          <w:tblW w:w="9499" w:type="dxa"/>
          <w:tblLayout w:type="fixed"/>
          <w:tblCellMar>
            <w:left w:w="62" w:type="dxa"/>
            <w:right w:w="62" w:type="dxa"/>
          </w:tblCellMar>
          <w:tblLook w:val="0000"/>
        </w:tblPrEx>
        <w:tc>
          <w:tcPr>
            <w:tcW w:w="3340" w:type="dxa"/>
            <w:tcBorders>
              <w:top w:val="nil"/>
              <w:left w:val="nil"/>
              <w:bottom w:val="nil"/>
              <w:right w:val="nil"/>
            </w:tcBorders>
            <w:tcMar>
              <w:top w:w="0" w:type="dxa"/>
              <w:left w:w="62" w:type="dxa"/>
              <w:bottom w:w="0" w:type="dxa"/>
              <w:right w:w="62" w:type="dxa"/>
            </w:tcMar>
          </w:tcPr>
          <w:p w:rsidR="00000000" w:rsidP="009D19FD">
            <w:pPr>
              <w:pStyle w:val="BodyText"/>
              <w:rPr>
                <w:lang w:val="en-NZ"/>
              </w:rPr>
            </w:pPr>
            <w:r w:rsidRPr="009D19FD">
              <w:rPr>
                <w:rStyle w:val="SpecialBold"/>
              </w:rPr>
              <w:t>Guidance information for assessment</w:t>
            </w:r>
          </w:p>
        </w:tc>
        <w:tc>
          <w:tcPr>
            <w:tcW w:w="6159" w:type="dxa"/>
            <w:tcBorders>
              <w:top w:val="nil"/>
              <w:left w:val="nil"/>
              <w:bottom w:val="nil"/>
              <w:right w:val="nil"/>
            </w:tcBorders>
            <w:tcMar>
              <w:top w:w="0" w:type="dxa"/>
              <w:left w:w="62" w:type="dxa"/>
              <w:bottom w:w="0" w:type="dxa"/>
              <w:right w:w="62" w:type="dxa"/>
            </w:tcMar>
          </w:tcPr>
          <w:p w:rsidR="00000000" w:rsidRPr="009D19FD" w:rsidP="009D19FD">
            <w:pPr>
              <w:pStyle w:val="BodyText"/>
            </w:pPr>
            <w:r w:rsidRPr="009D19FD">
              <w:t>Holistic assessment with other units relevant to the industry sector, workplace and job role is recommended.</w:t>
            </w:r>
          </w:p>
          <w:p w:rsidR="00000000" w:rsidRPr="009D19FD" w:rsidP="009D19FD">
            <w:pPr>
              <w:pStyle w:val="BodyText"/>
            </w:pPr>
            <w:r w:rsidRPr="009D19FD">
              <w:t>In all cases where practical assessment is use</w:t>
            </w:r>
            <w:r w:rsidRPr="009D19FD">
              <w:t>d it should be combined with targeted questioning to assess Required Knowledge.</w:t>
            </w:r>
          </w:p>
          <w:p w:rsidR="00000000" w:rsidRPr="009D19FD" w:rsidP="009D19FD">
            <w:pPr>
              <w:pStyle w:val="BodyText"/>
            </w:pPr>
            <w:r w:rsidRPr="009D19FD">
              <w:t>Assessment processes and techniques must be appropriate to the language and literacy requirements of the work being performed and the capacity of the candidate.</w:t>
            </w:r>
          </w:p>
        </w:tc>
      </w:tr>
    </w:tbl>
    <w:p w:rsidR="00000000" w:rsidRPr="009D19FD" w:rsidP="009D19FD">
      <w:pPr>
        <w:pStyle w:val="BodyText"/>
      </w:pPr>
    </w:p>
    <w:p w:rsidR="00000000" w:rsidRPr="009D19FD" w:rsidP="009D19FD">
      <w:pPr>
        <w:pStyle w:val="AllowPageBreak"/>
      </w:pPr>
    </w:p>
    <w:p w:rsidR="00000000" w:rsidRPr="009D19FD" w:rsidP="009D19FD">
      <w:pPr>
        <w:pStyle w:val="Heading1"/>
      </w:pPr>
      <w:bookmarkStart w:id="11" w:name="O_538774"/>
      <w:bookmarkEnd w:id="11"/>
      <w:r w:rsidRPr="009D19FD">
        <w:t>Range Statement</w:t>
      </w:r>
    </w:p>
    <w:tbl>
      <w:tblPr>
        <w:tblW w:w="0" w:type="auto"/>
        <w:tblCellMar>
          <w:left w:w="62" w:type="dxa"/>
          <w:right w:w="62" w:type="dxa"/>
        </w:tblCellMar>
        <w:tblLook w:val="0000"/>
      </w:tblPr>
      <w:tblGrid>
        <w:gridCol w:w="2586"/>
        <w:gridCol w:w="6610"/>
      </w:tblGrid>
      <w:tr w:rsidTr="009B2E1B">
        <w:tblPrEx>
          <w:tblW w:w="0" w:type="auto"/>
          <w:tblCellMar>
            <w:left w:w="62" w:type="dxa"/>
            <w:right w:w="62" w:type="dxa"/>
          </w:tblCellMar>
          <w:tblLook w:val="0000"/>
        </w:tblPrEx>
        <w:tc>
          <w:tcPr>
            <w:tcW w:w="0" w:type="auto"/>
            <w:gridSpan w:val="2"/>
            <w:tcBorders>
              <w:top w:val="nil"/>
              <w:left w:val="nil"/>
              <w:bottom w:val="nil"/>
              <w:right w:val="nil"/>
            </w:tcBorders>
            <w:tcMar>
              <w:top w:w="0" w:type="dxa"/>
              <w:left w:w="62" w:type="dxa"/>
              <w:bottom w:w="0" w:type="dxa"/>
              <w:right w:w="62" w:type="dxa"/>
            </w:tcMar>
          </w:tcPr>
          <w:p w:rsidR="00000000" w:rsidP="009D19FD">
            <w:pPr>
              <w:pStyle w:val="BodyText"/>
              <w:rPr>
                <w:lang w:val="en-NZ"/>
              </w:rPr>
            </w:pPr>
            <w:r w:rsidRPr="009D19FD">
              <w:t>The range statement relates to the unit of competency as a whole. It allows for different work environments and situations that may affect performance. Bold italicised wording, if used in the performance criteria, is detailed below.</w:t>
            </w:r>
          </w:p>
        </w:tc>
      </w:tr>
      <w:tr w:rsidTr="009B2E1B">
        <w:tblPrEx>
          <w:tblW w:w="0" w:type="auto"/>
          <w:tblCellMar>
            <w:left w:w="62" w:type="dxa"/>
            <w:right w:w="62" w:type="dxa"/>
          </w:tblCellMar>
          <w:tblLook w:val="0000"/>
        </w:tblPrEx>
        <w:tc>
          <w:tcPr>
            <w:tcW w:w="0" w:type="auto"/>
            <w:tcBorders>
              <w:top w:val="nil"/>
              <w:left w:val="nil"/>
              <w:bottom w:val="nil"/>
              <w:right w:val="nil"/>
            </w:tcBorders>
            <w:tcMar>
              <w:top w:w="0" w:type="dxa"/>
              <w:left w:w="62" w:type="dxa"/>
              <w:bottom w:w="0" w:type="dxa"/>
              <w:right w:w="62" w:type="dxa"/>
            </w:tcMar>
          </w:tcPr>
          <w:p w:rsidR="00000000" w:rsidP="009D19FD">
            <w:pPr>
              <w:pStyle w:val="BodyText"/>
              <w:rPr>
                <w:lang w:val="en-NZ"/>
              </w:rPr>
            </w:pPr>
            <w:r w:rsidRPr="009D19FD">
              <w:t>Relevant standards may include:</w:t>
            </w:r>
          </w:p>
        </w:tc>
        <w:tc>
          <w:tcPr>
            <w:tcW w:w="0" w:type="auto"/>
            <w:tcBorders>
              <w:top w:val="nil"/>
              <w:left w:val="nil"/>
              <w:bottom w:val="nil"/>
              <w:right w:val="nil"/>
            </w:tcBorders>
            <w:tcMar>
              <w:top w:w="0" w:type="dxa"/>
              <w:left w:w="62" w:type="dxa"/>
              <w:bottom w:w="0" w:type="dxa"/>
              <w:right w:w="62" w:type="dxa"/>
            </w:tcMar>
          </w:tcPr>
          <w:p w:rsidR="00000000" w:rsidRPr="009D19FD" w:rsidP="009D19FD">
            <w:pPr>
              <w:pStyle w:val="ListBullet"/>
            </w:pPr>
            <w:r w:rsidRPr="009D19FD">
              <w:t>Class rules and approvals</w:t>
            </w:r>
          </w:p>
          <w:p w:rsidR="00000000" w:rsidRPr="009D19FD" w:rsidP="009D19FD">
            <w:pPr>
              <w:pStyle w:val="ListBullet"/>
            </w:pPr>
            <w:r w:rsidRPr="009D19FD">
              <w:t>General servicing requirements for operational equipment</w:t>
            </w:r>
          </w:p>
          <w:p w:rsidR="00000000" w:rsidRPr="009D19FD" w:rsidP="009D19FD">
            <w:pPr>
              <w:pStyle w:val="ListBullet"/>
            </w:pPr>
            <w:r w:rsidRPr="009D19FD">
              <w:t>Manufacturer guidelines and servicing requirements</w:t>
            </w:r>
          </w:p>
          <w:p w:rsidR="00000000" w:rsidRPr="009D19FD" w:rsidP="009D19FD">
            <w:pPr>
              <w:pStyle w:val="ListBullet"/>
            </w:pPr>
            <w:r w:rsidRPr="009D19FD">
              <w:t>Marine orders</w:t>
            </w:r>
          </w:p>
          <w:p w:rsidR="00000000" w:rsidRPr="009D19FD" w:rsidP="009D19FD">
            <w:pPr>
              <w:pStyle w:val="ListBullet"/>
            </w:pPr>
            <w:r w:rsidRPr="009D19FD">
              <w:t>National Standard for the Administration of Marine Safety (NSAMS) Section 4</w:t>
            </w:r>
            <w:r w:rsidRPr="009D19FD">
              <w:t xml:space="preserve"> </w:t>
            </w:r>
          </w:p>
          <w:p w:rsidR="00000000" w:rsidRPr="009D19FD" w:rsidP="009D19FD">
            <w:pPr>
              <w:pStyle w:val="ListBullet"/>
            </w:pPr>
            <w:r w:rsidRPr="009D19FD">
              <w:t xml:space="preserve">NSCV and USL Code as applicable </w:t>
            </w:r>
          </w:p>
          <w:p w:rsidR="00000000" w:rsidRPr="009D19FD" w:rsidP="009D19FD">
            <w:pPr>
              <w:pStyle w:val="ListBullet"/>
            </w:pPr>
            <w:r w:rsidRPr="009D19FD">
              <w:t xml:space="preserve">Organisational standards </w:t>
            </w:r>
          </w:p>
          <w:p w:rsidR="00000000" w:rsidRPr="009D19FD" w:rsidP="009D19FD">
            <w:pPr>
              <w:pStyle w:val="ListBullet"/>
            </w:pPr>
            <w:r w:rsidRPr="009D19FD">
              <w:t>SDS/MSDS</w:t>
            </w:r>
          </w:p>
          <w:p w:rsidR="00000000" w:rsidRPr="009D19FD" w:rsidP="009D19FD">
            <w:pPr>
              <w:pStyle w:val="ListBullet"/>
            </w:pPr>
            <w:r w:rsidRPr="009D19FD">
              <w:t>Safety management systems (SMS)</w:t>
            </w:r>
          </w:p>
          <w:p w:rsidR="00000000" w:rsidRPr="009D19FD" w:rsidP="009D19FD">
            <w:pPr>
              <w:pStyle w:val="ListBullet"/>
            </w:pPr>
            <w:r w:rsidRPr="009D19FD">
              <w:t>Safety of life at sea (SOLAS)</w:t>
            </w:r>
          </w:p>
          <w:p w:rsidR="00000000" w:rsidRPr="009D19FD" w:rsidP="009D19FD">
            <w:pPr>
              <w:pStyle w:val="ListBullet"/>
            </w:pPr>
            <w:r w:rsidRPr="009D19FD">
              <w:t>Australian/New Zealand Standards (AS/NZS):</w:t>
            </w:r>
          </w:p>
          <w:p w:rsidR="00000000" w:rsidRPr="009D19FD" w:rsidP="009D19FD">
            <w:pPr>
              <w:pStyle w:val="ListBullet2"/>
            </w:pPr>
            <w:r w:rsidRPr="009D19FD">
              <w:t xml:space="preserve">AS/NZS 3000: Electrical installations </w:t>
            </w:r>
          </w:p>
          <w:p w:rsidR="00000000" w:rsidRPr="009D19FD" w:rsidP="009D19FD">
            <w:pPr>
              <w:pStyle w:val="ListBullet2"/>
            </w:pPr>
            <w:r w:rsidRPr="009D19FD">
              <w:t>AS/NZS 3004: Electrical installations –</w:t>
            </w:r>
            <w:r w:rsidRPr="009D19FD">
              <w:t xml:space="preserve"> verification guidelines </w:t>
            </w:r>
          </w:p>
          <w:p w:rsidR="00000000" w:rsidP="009D19FD">
            <w:pPr>
              <w:pStyle w:val="ListBullet"/>
              <w:rPr>
                <w:lang w:val="en-NZ"/>
              </w:rPr>
            </w:pPr>
            <w:r w:rsidRPr="009D19FD">
              <w:t>WHS/OHS</w:t>
            </w:r>
          </w:p>
        </w:tc>
      </w:tr>
      <w:tr w:rsidTr="009B2E1B">
        <w:tblPrEx>
          <w:tblW w:w="0" w:type="auto"/>
          <w:tblCellMar>
            <w:left w:w="62" w:type="dxa"/>
            <w:right w:w="62" w:type="dxa"/>
          </w:tblCellMar>
          <w:tblLook w:val="0000"/>
        </w:tblPrEx>
        <w:tc>
          <w:tcPr>
            <w:tcW w:w="0" w:type="auto"/>
            <w:tcBorders>
              <w:top w:val="nil"/>
              <w:left w:val="nil"/>
              <w:bottom w:val="nil"/>
              <w:right w:val="nil"/>
            </w:tcBorders>
            <w:tcMar>
              <w:top w:w="0" w:type="dxa"/>
              <w:left w:w="62" w:type="dxa"/>
              <w:bottom w:w="0" w:type="dxa"/>
              <w:right w:w="62" w:type="dxa"/>
            </w:tcMar>
          </w:tcPr>
          <w:p w:rsidR="00000000" w:rsidP="009D19FD">
            <w:pPr>
              <w:pStyle w:val="BodyText"/>
              <w:rPr>
                <w:lang w:val="en-NZ"/>
              </w:rPr>
            </w:pPr>
            <w:r w:rsidRPr="009D19FD">
              <w:t>Survey scope and depth may include:</w:t>
            </w:r>
          </w:p>
        </w:tc>
        <w:tc>
          <w:tcPr>
            <w:tcW w:w="0" w:type="auto"/>
            <w:tcBorders>
              <w:top w:val="nil"/>
              <w:left w:val="nil"/>
              <w:bottom w:val="nil"/>
              <w:right w:val="nil"/>
            </w:tcBorders>
            <w:tcMar>
              <w:top w:w="0" w:type="dxa"/>
              <w:left w:w="62" w:type="dxa"/>
              <w:bottom w:w="0" w:type="dxa"/>
              <w:right w:w="62" w:type="dxa"/>
            </w:tcMar>
          </w:tcPr>
          <w:p w:rsidR="00000000" w:rsidRPr="009D19FD" w:rsidP="009D19FD">
            <w:pPr>
              <w:pStyle w:val="ListBullet"/>
            </w:pPr>
            <w:r w:rsidRPr="009D19FD">
              <w:t xml:space="preserve">Class of vessel </w:t>
            </w:r>
          </w:p>
          <w:p w:rsidR="00000000" w:rsidRPr="009D19FD" w:rsidP="009D19FD">
            <w:pPr>
              <w:pStyle w:val="ListBullet"/>
            </w:pPr>
            <w:r w:rsidRPr="009D19FD">
              <w:t xml:space="preserve">Grandfathering conditions </w:t>
            </w:r>
          </w:p>
          <w:p w:rsidR="00000000" w:rsidRPr="009D19FD" w:rsidP="009D19FD">
            <w:pPr>
              <w:pStyle w:val="ListBullet"/>
            </w:pPr>
            <w:r w:rsidRPr="009D19FD">
              <w:t>Survey cycle in accordance with NSAMS Chapter 4:</w:t>
            </w:r>
          </w:p>
          <w:p w:rsidR="00000000" w:rsidRPr="009D19FD" w:rsidP="009D19FD">
            <w:pPr>
              <w:pStyle w:val="ListBullet2"/>
            </w:pPr>
            <w:r w:rsidRPr="009D19FD">
              <w:t>change of class survey</w:t>
            </w:r>
          </w:p>
          <w:p w:rsidR="00000000" w:rsidRPr="009D19FD" w:rsidP="009D19FD">
            <w:pPr>
              <w:pStyle w:val="ListBullet2"/>
            </w:pPr>
            <w:r w:rsidRPr="009D19FD">
              <w:t>damage/repair or condition surveys</w:t>
            </w:r>
          </w:p>
          <w:p w:rsidR="00000000" w:rsidRPr="009D19FD" w:rsidP="009D19FD">
            <w:pPr>
              <w:pStyle w:val="ListBullet2"/>
            </w:pPr>
            <w:r w:rsidRPr="009D19FD">
              <w:t>equiv</w:t>
            </w:r>
            <w:r w:rsidRPr="009D19FD">
              <w:t>alent solution or deemed-to-satisfy surveys</w:t>
            </w:r>
          </w:p>
          <w:p w:rsidR="00000000" w:rsidRPr="009D19FD" w:rsidP="009D19FD">
            <w:pPr>
              <w:pStyle w:val="ListBullet2"/>
            </w:pPr>
            <w:r w:rsidRPr="009D19FD">
              <w:t>periodic survey (either annual or bi-annual)</w:t>
            </w:r>
          </w:p>
          <w:p w:rsidR="00000000" w:rsidP="009D19FD">
            <w:pPr>
              <w:pStyle w:val="ListBullet"/>
              <w:rPr>
                <w:lang w:val="en-NZ"/>
              </w:rPr>
            </w:pPr>
            <w:r w:rsidRPr="009D19FD">
              <w:t>Survey level of vessel</w:t>
            </w:r>
          </w:p>
        </w:tc>
      </w:tr>
      <w:tr w:rsidTr="009B2E1B">
        <w:tblPrEx>
          <w:tblW w:w="0" w:type="auto"/>
          <w:tblCellMar>
            <w:left w:w="62" w:type="dxa"/>
            <w:right w:w="62" w:type="dxa"/>
          </w:tblCellMar>
          <w:tblLook w:val="0000"/>
        </w:tblPrEx>
        <w:tc>
          <w:tcPr>
            <w:tcW w:w="0" w:type="auto"/>
            <w:tcBorders>
              <w:top w:val="nil"/>
              <w:left w:val="nil"/>
              <w:bottom w:val="nil"/>
              <w:right w:val="nil"/>
            </w:tcBorders>
            <w:tcMar>
              <w:top w:w="0" w:type="dxa"/>
              <w:left w:w="62" w:type="dxa"/>
              <w:bottom w:w="0" w:type="dxa"/>
              <w:right w:w="62" w:type="dxa"/>
            </w:tcMar>
          </w:tcPr>
          <w:p w:rsidR="00000000" w:rsidP="009D19FD">
            <w:pPr>
              <w:pStyle w:val="BodyText"/>
              <w:rPr>
                <w:lang w:val="en-NZ"/>
              </w:rPr>
            </w:pPr>
            <w:r w:rsidRPr="009D19FD">
              <w:t>Operational limits may include:</w:t>
            </w:r>
          </w:p>
        </w:tc>
        <w:tc>
          <w:tcPr>
            <w:tcW w:w="0" w:type="auto"/>
            <w:tcBorders>
              <w:top w:val="nil"/>
              <w:left w:val="nil"/>
              <w:bottom w:val="nil"/>
              <w:right w:val="nil"/>
            </w:tcBorders>
            <w:tcMar>
              <w:top w:w="0" w:type="dxa"/>
              <w:left w:w="62" w:type="dxa"/>
              <w:bottom w:w="0" w:type="dxa"/>
              <w:right w:w="62" w:type="dxa"/>
            </w:tcMar>
          </w:tcPr>
          <w:p w:rsidR="00000000" w:rsidRPr="009D19FD" w:rsidP="009D19FD">
            <w:pPr>
              <w:pStyle w:val="ListBullet"/>
            </w:pPr>
            <w:r w:rsidRPr="009D19FD">
              <w:t>As defined in certificate of operations and/or certificate of survey</w:t>
            </w:r>
          </w:p>
          <w:p w:rsidR="00000000" w:rsidP="009D19FD">
            <w:pPr>
              <w:pStyle w:val="ListBullet"/>
              <w:rPr>
                <w:lang w:val="en-NZ"/>
              </w:rPr>
            </w:pPr>
            <w:r w:rsidRPr="009D19FD">
              <w:t>Testing requirements for electrical and fire systems</w:t>
            </w:r>
          </w:p>
        </w:tc>
      </w:tr>
      <w:tr w:rsidTr="009B2E1B">
        <w:tblPrEx>
          <w:tblW w:w="0" w:type="auto"/>
          <w:tblCellMar>
            <w:left w:w="62" w:type="dxa"/>
            <w:right w:w="62" w:type="dxa"/>
          </w:tblCellMar>
          <w:tblLook w:val="0000"/>
        </w:tblPrEx>
        <w:tc>
          <w:tcPr>
            <w:tcW w:w="0" w:type="auto"/>
            <w:tcBorders>
              <w:top w:val="nil"/>
              <w:left w:val="nil"/>
              <w:bottom w:val="nil"/>
              <w:right w:val="nil"/>
            </w:tcBorders>
            <w:tcMar>
              <w:top w:w="0" w:type="dxa"/>
              <w:left w:w="62" w:type="dxa"/>
              <w:bottom w:w="0" w:type="dxa"/>
              <w:right w:w="62" w:type="dxa"/>
            </w:tcMar>
          </w:tcPr>
          <w:p w:rsidR="00000000" w:rsidP="009D19FD">
            <w:pPr>
              <w:pStyle w:val="BodyText"/>
              <w:rPr>
                <w:lang w:val="en-NZ"/>
              </w:rPr>
            </w:pPr>
            <w:r w:rsidRPr="009D19FD">
              <w:t>Regulatory requirements may include:</w:t>
            </w:r>
          </w:p>
        </w:tc>
        <w:tc>
          <w:tcPr>
            <w:tcW w:w="0" w:type="auto"/>
            <w:tcBorders>
              <w:top w:val="nil"/>
              <w:left w:val="nil"/>
              <w:bottom w:val="nil"/>
              <w:right w:val="nil"/>
            </w:tcBorders>
            <w:tcMar>
              <w:top w:w="0" w:type="dxa"/>
              <w:left w:w="62" w:type="dxa"/>
              <w:bottom w:w="0" w:type="dxa"/>
              <w:right w:w="62" w:type="dxa"/>
            </w:tcMar>
          </w:tcPr>
          <w:p w:rsidR="00000000" w:rsidRPr="009D19FD" w:rsidP="009D19FD">
            <w:pPr>
              <w:pStyle w:val="ListBullet"/>
            </w:pPr>
            <w:r w:rsidRPr="009D19FD">
              <w:t xml:space="preserve">Marine Safety (Domestic Commercial Vessel) National Law </w:t>
            </w:r>
          </w:p>
          <w:p w:rsidR="00000000" w:rsidRPr="009D19FD" w:rsidP="009D19FD">
            <w:pPr>
              <w:pStyle w:val="ListBullet"/>
            </w:pPr>
            <w:r w:rsidRPr="009D19FD">
              <w:t>NSCV</w:t>
            </w:r>
          </w:p>
          <w:p w:rsidR="00000000" w:rsidRPr="009D19FD" w:rsidP="009D19FD">
            <w:pPr>
              <w:pStyle w:val="ListBullet"/>
            </w:pPr>
            <w:r w:rsidRPr="009D19FD">
              <w:t>Regulations and marine orders</w:t>
            </w:r>
          </w:p>
          <w:p w:rsidR="00000000" w:rsidP="009D19FD">
            <w:pPr>
              <w:pStyle w:val="ListBullet"/>
              <w:rPr>
                <w:lang w:val="en-NZ"/>
              </w:rPr>
            </w:pPr>
            <w:r w:rsidRPr="009D19FD">
              <w:t>USL Code</w:t>
            </w:r>
          </w:p>
        </w:tc>
      </w:tr>
      <w:tr w:rsidTr="009B2E1B">
        <w:tblPrEx>
          <w:tblW w:w="0" w:type="auto"/>
          <w:tblCellMar>
            <w:left w:w="62" w:type="dxa"/>
            <w:right w:w="62" w:type="dxa"/>
          </w:tblCellMar>
          <w:tblLook w:val="0000"/>
        </w:tblPrEx>
        <w:tc>
          <w:tcPr>
            <w:tcW w:w="0" w:type="auto"/>
            <w:tcBorders>
              <w:top w:val="nil"/>
              <w:left w:val="nil"/>
              <w:bottom w:val="nil"/>
              <w:right w:val="nil"/>
            </w:tcBorders>
            <w:tcMar>
              <w:top w:w="0" w:type="dxa"/>
              <w:left w:w="62" w:type="dxa"/>
              <w:bottom w:w="0" w:type="dxa"/>
              <w:right w:w="62" w:type="dxa"/>
            </w:tcMar>
          </w:tcPr>
          <w:p w:rsidR="00000000" w:rsidP="009D19FD">
            <w:pPr>
              <w:pStyle w:val="BodyText"/>
              <w:rPr>
                <w:lang w:val="en-NZ"/>
              </w:rPr>
            </w:pPr>
            <w:r w:rsidRPr="009D19FD">
              <w:t>Primary and secondary operational systems must include:</w:t>
            </w:r>
          </w:p>
        </w:tc>
        <w:tc>
          <w:tcPr>
            <w:tcW w:w="0" w:type="auto"/>
            <w:tcBorders>
              <w:top w:val="nil"/>
              <w:left w:val="nil"/>
              <w:bottom w:val="nil"/>
              <w:right w:val="nil"/>
            </w:tcBorders>
            <w:tcMar>
              <w:top w:w="0" w:type="dxa"/>
              <w:left w:w="62" w:type="dxa"/>
              <w:bottom w:w="0" w:type="dxa"/>
              <w:right w:w="62" w:type="dxa"/>
            </w:tcMar>
          </w:tcPr>
          <w:p w:rsidR="00000000" w:rsidRPr="009D19FD" w:rsidP="009D19FD">
            <w:pPr>
              <w:pStyle w:val="ListBullet"/>
            </w:pPr>
            <w:r w:rsidRPr="009D19FD">
              <w:t>Maint</w:t>
            </w:r>
            <w:r w:rsidRPr="009D19FD">
              <w:t>enance and servicing requirements as well as general condition of:</w:t>
            </w:r>
          </w:p>
          <w:p w:rsidR="00000000" w:rsidRPr="009D19FD" w:rsidP="009D19FD">
            <w:pPr>
              <w:pStyle w:val="ListBullet2"/>
            </w:pPr>
            <w:r w:rsidRPr="009D19FD">
              <w:t xml:space="preserve">ballast </w:t>
            </w:r>
          </w:p>
          <w:p w:rsidR="00000000" w:rsidRPr="009D19FD" w:rsidP="009D19FD">
            <w:pPr>
              <w:pStyle w:val="ListBullet2"/>
            </w:pPr>
            <w:r w:rsidRPr="009D19FD">
              <w:t xml:space="preserve">bilge pumping systems </w:t>
            </w:r>
          </w:p>
          <w:p w:rsidR="00000000" w:rsidRPr="009D19FD" w:rsidP="009D19FD">
            <w:pPr>
              <w:pStyle w:val="ListBullet2"/>
            </w:pPr>
            <w:r w:rsidRPr="009D19FD">
              <w:t>communication equipment</w:t>
            </w:r>
          </w:p>
          <w:p w:rsidR="00000000" w:rsidRPr="009D19FD" w:rsidP="009D19FD">
            <w:pPr>
              <w:pStyle w:val="ListBullet2"/>
            </w:pPr>
            <w:r w:rsidRPr="009D19FD">
              <w:t>electrical systems</w:t>
            </w:r>
          </w:p>
          <w:p w:rsidR="00000000" w:rsidRPr="009D19FD" w:rsidP="009D19FD">
            <w:pPr>
              <w:pStyle w:val="ListBullet2"/>
            </w:pPr>
            <w:r w:rsidRPr="009D19FD">
              <w:t>engines and auxiliaries</w:t>
            </w:r>
          </w:p>
          <w:p w:rsidR="00000000" w:rsidRPr="009D19FD" w:rsidP="009D19FD">
            <w:pPr>
              <w:pStyle w:val="ListBullet2"/>
            </w:pPr>
            <w:r w:rsidRPr="009D19FD">
              <w:t>fire and safety systems</w:t>
            </w:r>
          </w:p>
          <w:p w:rsidR="00000000" w:rsidRPr="009D19FD" w:rsidP="009D19FD">
            <w:pPr>
              <w:pStyle w:val="ListBullet2"/>
            </w:pPr>
            <w:r w:rsidRPr="009D19FD">
              <w:t>fuel systems</w:t>
            </w:r>
          </w:p>
          <w:p w:rsidR="00000000" w:rsidRPr="009D19FD" w:rsidP="009D19FD">
            <w:pPr>
              <w:pStyle w:val="ListBullet2"/>
            </w:pPr>
            <w:r w:rsidRPr="009D19FD">
              <w:t>hydraulic systems</w:t>
            </w:r>
          </w:p>
          <w:p w:rsidR="00000000" w:rsidRPr="009D19FD" w:rsidP="009D19FD">
            <w:pPr>
              <w:pStyle w:val="ListBullet2"/>
            </w:pPr>
            <w:r w:rsidRPr="009D19FD">
              <w:t>machinery systems</w:t>
            </w:r>
          </w:p>
          <w:p w:rsidR="00000000" w:rsidRPr="009D19FD" w:rsidP="009D19FD">
            <w:pPr>
              <w:pStyle w:val="ListBullet2"/>
            </w:pPr>
            <w:r w:rsidRPr="009D19FD">
              <w:t>navigat</w:t>
            </w:r>
            <w:r w:rsidRPr="009D19FD">
              <w:t>ional systems</w:t>
            </w:r>
          </w:p>
          <w:p w:rsidR="00000000" w:rsidRPr="009D19FD" w:rsidP="009D19FD">
            <w:pPr>
              <w:pStyle w:val="ListBullet2"/>
            </w:pPr>
            <w:r w:rsidRPr="009D19FD">
              <w:t>piping and pumping systems</w:t>
            </w:r>
          </w:p>
          <w:p w:rsidR="00000000" w:rsidRPr="009D19FD" w:rsidP="009D19FD">
            <w:pPr>
              <w:pStyle w:val="ListBullet2"/>
            </w:pPr>
            <w:r w:rsidRPr="009D19FD">
              <w:t>power generating plants such as hybrid systems, wind and solar generation</w:t>
            </w:r>
          </w:p>
          <w:p w:rsidR="00000000" w:rsidRPr="009D19FD" w:rsidP="009D19FD">
            <w:pPr>
              <w:pStyle w:val="ListBullet2"/>
            </w:pPr>
            <w:r w:rsidRPr="009D19FD">
              <w:t>propulsion systems</w:t>
            </w:r>
          </w:p>
          <w:p w:rsidR="00000000" w:rsidRPr="009D19FD" w:rsidP="009D19FD">
            <w:pPr>
              <w:pStyle w:val="ListBullet2"/>
            </w:pPr>
            <w:r w:rsidRPr="009D19FD">
              <w:t>refrigeration</w:t>
            </w:r>
          </w:p>
          <w:p w:rsidR="00000000" w:rsidRPr="009D19FD" w:rsidP="009D19FD">
            <w:pPr>
              <w:pStyle w:val="ListBullet2"/>
            </w:pPr>
            <w:r w:rsidRPr="009D19FD">
              <w:t>sanitary systems</w:t>
            </w:r>
          </w:p>
          <w:p w:rsidR="00000000" w:rsidRPr="009D19FD" w:rsidP="009D19FD">
            <w:pPr>
              <w:pStyle w:val="ListBullet2"/>
            </w:pPr>
            <w:r w:rsidRPr="009D19FD">
              <w:t>steering systems</w:t>
            </w:r>
          </w:p>
          <w:p w:rsidR="00000000" w:rsidP="009D19FD">
            <w:pPr>
              <w:pStyle w:val="ListBullet2"/>
              <w:rPr>
                <w:lang w:val="en-NZ"/>
              </w:rPr>
            </w:pPr>
            <w:r w:rsidRPr="009D19FD">
              <w:t>tanks</w:t>
            </w:r>
          </w:p>
        </w:tc>
      </w:tr>
      <w:tr w:rsidTr="009B2E1B">
        <w:tblPrEx>
          <w:tblW w:w="0" w:type="auto"/>
          <w:tblCellMar>
            <w:left w:w="62" w:type="dxa"/>
            <w:right w:w="62" w:type="dxa"/>
          </w:tblCellMar>
          <w:tblLook w:val="0000"/>
        </w:tblPrEx>
        <w:tc>
          <w:tcPr>
            <w:tcW w:w="0" w:type="auto"/>
            <w:tcBorders>
              <w:top w:val="nil"/>
              <w:left w:val="nil"/>
              <w:bottom w:val="nil"/>
              <w:right w:val="nil"/>
            </w:tcBorders>
            <w:tcMar>
              <w:top w:w="0" w:type="dxa"/>
              <w:left w:w="62" w:type="dxa"/>
              <w:bottom w:w="0" w:type="dxa"/>
              <w:right w:w="62" w:type="dxa"/>
            </w:tcMar>
          </w:tcPr>
          <w:p w:rsidR="00000000" w:rsidP="009D19FD">
            <w:pPr>
              <w:pStyle w:val="BodyText"/>
              <w:rPr>
                <w:lang w:val="en-NZ"/>
              </w:rPr>
            </w:pPr>
            <w:r w:rsidRPr="009D19FD">
              <w:t>Equivalent solutions may include:</w:t>
            </w:r>
          </w:p>
        </w:tc>
        <w:tc>
          <w:tcPr>
            <w:tcW w:w="0" w:type="auto"/>
            <w:tcBorders>
              <w:top w:val="nil"/>
              <w:left w:val="nil"/>
              <w:bottom w:val="nil"/>
              <w:right w:val="nil"/>
            </w:tcBorders>
            <w:tcMar>
              <w:top w:w="0" w:type="dxa"/>
              <w:left w:w="62" w:type="dxa"/>
              <w:bottom w:w="0" w:type="dxa"/>
              <w:right w:w="62" w:type="dxa"/>
            </w:tcMar>
          </w:tcPr>
          <w:p w:rsidR="00000000" w:rsidRPr="009D19FD" w:rsidP="009D19FD">
            <w:pPr>
              <w:pStyle w:val="ListBullet"/>
            </w:pPr>
            <w:r w:rsidRPr="009D19FD">
              <w:t>As noted in certificate of operation or certificate of survey</w:t>
            </w:r>
          </w:p>
          <w:p w:rsidR="00000000" w:rsidRPr="009D19FD" w:rsidP="009D19FD">
            <w:pPr>
              <w:pStyle w:val="ListBullet"/>
            </w:pPr>
            <w:r w:rsidRPr="009D19FD">
              <w:t xml:space="preserve">As noted in NSCV Part B </w:t>
            </w:r>
          </w:p>
          <w:p w:rsidR="00000000" w:rsidRPr="009D19FD" w:rsidP="009D19FD">
            <w:pPr>
              <w:pStyle w:val="ListBullet"/>
            </w:pPr>
            <w:r w:rsidRPr="009D19FD">
              <w:t>National register of exemptions and equivalent solutions</w:t>
            </w:r>
          </w:p>
        </w:tc>
      </w:tr>
    </w:tbl>
    <w:p w:rsidR="00000000" w:rsidRPr="009D19FD" w:rsidP="009D19FD">
      <w:pPr>
        <w:pStyle w:val="BodyText"/>
      </w:pPr>
    </w:p>
    <w:p w:rsidR="00000000" w:rsidRPr="009D19FD" w:rsidP="009D19FD">
      <w:pPr>
        <w:pStyle w:val="AllowPageBreak"/>
      </w:pPr>
    </w:p>
    <w:p w:rsidR="00000000" w:rsidRPr="009D19FD" w:rsidP="009D19FD">
      <w:pPr>
        <w:pStyle w:val="Heading1"/>
      </w:pPr>
      <w:bookmarkStart w:id="12" w:name="O_538773"/>
      <w:bookmarkEnd w:id="12"/>
      <w:r w:rsidRPr="009D19FD">
        <w:t>Unit Sector(s)</w:t>
      </w:r>
    </w:p>
    <w:p w:rsidR="00000000" w:rsidRPr="009D19FD" w:rsidP="009D19FD">
      <w:pPr>
        <w:pStyle w:val="BodyText"/>
      </w:pPr>
      <w:r w:rsidRPr="009D19FD">
        <w:t>Not applicable.</w:t>
      </w:r>
    </w:p>
    <w:p w:rsidR="00000000" w:rsidRPr="009D19FD" w:rsidP="009D19FD">
      <w:pPr>
        <w:pStyle w:val="AllowPageBreak"/>
      </w:pPr>
    </w:p>
    <w:p w:rsidR="00000000" w:rsidRPr="009D19FD" w:rsidP="009D19FD">
      <w:pPr>
        <w:pStyle w:val="Heading1"/>
      </w:pPr>
      <w:bookmarkStart w:id="13" w:name="O_538772"/>
      <w:bookmarkEnd w:id="13"/>
      <w:r w:rsidRPr="009D19FD">
        <w:t>Competency Field</w:t>
      </w:r>
    </w:p>
    <w:p w:rsidR="00000000" w:rsidRPr="009D19FD" w:rsidP="009D19FD">
      <w:pPr>
        <w:pStyle w:val="BodyText"/>
      </w:pPr>
      <w:r w:rsidRPr="009D19FD">
        <w:t>Marine Surveying</w:t>
      </w:r>
    </w:p>
    <w:p w:rsidR="00000000" w:rsidRPr="009D19FD" w:rsidP="009D19FD"/>
    <w:sectPr w:rsidSect="009D19FD">
      <w:headerReference w:type="default" r:id="rId10"/>
      <w:footerReference w:type="default" r:id="rId11"/>
      <w:pgSz w:w="11908" w:h="16833"/>
      <w:pgMar w:top="1700" w:right="1418" w:bottom="1700" w:left="1418" w:header="992" w:footer="992" w:gutter="0"/>
      <w:cols w:space="720"/>
      <w:noEndnote/>
      <w:docGrid w:linePitch="299"/>
    </w:sectPr>
  </w:body>
</w:document>
</file>

<file path=word/fontTable.xml><?xml version="1.0" encoding="utf-8"?>
<w:fonts xmlns:r="http://schemas.openxmlformats.org/officeDocument/2006/relationships" xmlns:w="http://schemas.openxmlformats.org/wordprocessingml/2006/main">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AFF" w:usb1="C0007841" w:usb2="00000009" w:usb3="00000000" w:csb0="000001FF" w:csb1="00000000"/>
  </w:font>
  <w:font w:name="Symbol">
    <w:panose1 w:val="05050102010706020507"/>
    <w:charset w:val="02"/>
    <w:family w:val="roman"/>
    <w:pitch w:val="variable"/>
    <w:sig w:usb0="00000000" w:usb1="10000000" w:usb2="00000000" w:usb3="00000000" w:csb0="80000000" w:csb1="00000000"/>
  </w:font>
  <w:font w:name="Webdings">
    <w:panose1 w:val="05030102010509060703"/>
    <w:charset w:val="02"/>
    <w:family w:val="roman"/>
    <w:pitch w:val="variable"/>
    <w:sig w:usb0="00000000" w:usb1="10000000" w:usb2="00000000" w:usb3="00000000" w:csb0="80000000" w:csb1="00000000"/>
  </w:font>
  <w:font w:name="Courier New">
    <w:panose1 w:val="02070309020205020404"/>
    <w:charset w:val="00"/>
    <w:family w:val="modern"/>
    <w:pitch w:val="fixed"/>
    <w:sig w:usb0="E0002AFF" w:usb1="C0007843" w:usb2="00000009" w:usb3="00000000" w:csb0="000001FF" w:csb1="00000000"/>
  </w:font>
  <w:font w:name="Garamond">
    <w:panose1 w:val="02020404030301010803"/>
    <w:charset w:val="00"/>
    <w:family w:val="roman"/>
    <w:pitch w:val="variable"/>
    <w:sig w:usb0="00000287" w:usb1="00000000" w:usb2="00000000" w:usb3="00000000" w:csb0="0000009F" w:csb1="00000000"/>
  </w:font>
  <w:font w:name="Palatino Linotype">
    <w:panose1 w:val="02040502050505030304"/>
    <w:charset w:val="00"/>
    <w:family w:val="roman"/>
    <w:pitch w:val="variable"/>
    <w:sig w:usb0="E0000287" w:usb1="40000013" w:usb2="00000000" w:usb3="00000000" w:csb0="0000019F" w:csb1="00000000"/>
  </w:font>
  <w:font w:name="Calibri">
    <w:panose1 w:val="020F0502020204030204"/>
    <w:charset w:val="00"/>
    <w:family w:val="swiss"/>
    <w:pitch w:val="variable"/>
    <w:sig w:usb0="E10002FF" w:usb1="4000ACFF" w:usb2="00000009" w:usb3="00000000" w:csb0="0000019F" w:csb1="00000000"/>
  </w:font>
  <w:font w:name="Arial">
    <w:panose1 w:val="020B0604020202020204"/>
    <w:charset w:val="00"/>
    <w:family w:val="swiss"/>
    <w:pitch w:val="variable"/>
    <w:sig w:usb0="E0002AFF" w:usb1="C0007843" w:usb2="00000009" w:usb3="00000000" w:csb0="000001FF" w:csb1="00000000"/>
  </w:font>
  <w:font w:name="Trebuchet MS">
    <w:panose1 w:val="020B0603020202020204"/>
    <w:charset w:val="00"/>
    <w:family w:val="swiss"/>
    <w:pitch w:val="variable"/>
    <w:sig w:usb0="00000287" w:usb1="00000000" w:usb2="00000000" w:usb3="00000000" w:csb0="0000009F" w:csb1="00000000"/>
  </w:font>
  <w:font w:name="Arial Narrow">
    <w:panose1 w:val="020B0606020202030204"/>
    <w:charset w:val="00"/>
    <w:family w:val="swiss"/>
    <w:pitch w:val="variable"/>
    <w:sig w:usb0="00000287" w:usb1="00000800" w:usb2="00000000" w:usb3="00000000" w:csb0="0000009F" w:csb1="00000000"/>
  </w:font>
  <w:font w:name="Tahoma">
    <w:panose1 w:val="020B0604030504040204"/>
    <w:charset w:val="00"/>
    <w:family w:val="swiss"/>
    <w:pitch w:val="variable"/>
    <w:sig w:usb0="E1002EFF" w:usb1="C000605B" w:usb2="00000029" w:usb3="00000000" w:csb0="000101FF" w:csb1="00000000"/>
  </w:font>
  <w:font w:name="Cambria">
    <w:panose1 w:val="02040503050406030204"/>
    <w:charset w:val="00"/>
    <w:family w:val="roman"/>
    <w:pitch w:val="variable"/>
    <w:sig w:usb0="E00002FF" w:usb1="400004FF" w:usb2="00000000" w:usb3="00000000" w:csb0="000001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9D19FD">
    <w:pPr>
      <w:pStyle w:val="Footer"/>
      <w:framePr w:wrap="around"/>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9D19FD" w:rsidRPr="009B2E1B" w:rsidP="009B2E1B">
    <w:pPr>
      <w:pStyle w:val="BodyText"/>
    </w:pPr>
    <w:bookmarkStart w:id="0" w:name="_GoBack"/>
    <w:bookmarkEnd w:id="0"/>
  </w:p>
</w:ftr>
</file>

<file path=word/footer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9D19FD">
    <w:pPr>
      <w:pStyle w:val="Footer"/>
      <w:framePr w:wrap="around"/>
    </w:pPr>
  </w:p>
</w:ftr>
</file>

<file path=word/footer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9B2E1B" w:rsidP="009D19FD">
    <w:pPr>
      <w:pStyle w:val="Footer"/>
      <w:framePr w:wrap="around"/>
    </w:pPr>
    <w:r>
      <w:fldChar w:fldCharType="begin"/>
    </w:r>
    <w:r>
      <w:instrText xml:space="preserve"> DOCPROPERTY  Subject  \* MERGEFORMAT </w:instrText>
    </w:r>
    <w:r>
      <w:fldChar w:fldCharType="separate"/>
    </w:r>
    <w:r>
      <w:t>Approved</w:t>
    </w:r>
    <w:r>
      <w:fldChar w:fldCharType="end"/>
    </w:r>
    <w:r>
      <w:tab/>
      <w:t xml:space="preserve">Page </w:t>
    </w:r>
    <w:r>
      <w:fldChar w:fldCharType="begin"/>
    </w:r>
    <w:r>
      <w:instrText xml:space="preserve"> PAGE  \* Arabic  \* MERGEFORMAT </w:instrText>
    </w:r>
    <w:r>
      <w:fldChar w:fldCharType="separate"/>
    </w:r>
    <w:r>
      <w:rPr>
        <w:noProof/>
      </w:rPr>
      <w:t>9</w:t>
    </w:r>
    <w:r>
      <w:fldChar w:fldCharType="end"/>
    </w:r>
    <w:r>
      <w:t xml:space="preserve"> of </w:t>
    </w:r>
    <w:r>
      <w:fldChar w:fldCharType="begin"/>
    </w:r>
    <w:r>
      <w:instrText xml:space="preserve"> NUMPAGES  \* Arabic  \* MERGEFORMAT </w:instrText>
    </w:r>
    <w:r>
      <w:fldChar w:fldCharType="separate"/>
    </w:r>
    <w:r>
      <w:rPr>
        <w:noProof/>
      </w:rPr>
      <w:t>9</w:t>
    </w:r>
    <w:r>
      <w:rPr>
        <w:noProof/>
      </w:rPr>
      <w:fldChar w:fldCharType="end"/>
    </w:r>
  </w:p>
  <w:p w:rsidR="009B2E1B" w:rsidP="009D19FD">
    <w:pPr>
      <w:pStyle w:val="Footer"/>
      <w:framePr w:wrap="around"/>
    </w:pPr>
    <w:r>
      <w:t xml:space="preserve">© Commonwealth of Australia, </w:t>
    </w:r>
    <w:r>
      <w:fldChar w:fldCharType="begin"/>
    </w:r>
    <w:r>
      <w:instrText xml:space="preserve"> DATE  \@ "yyyy"  \* MERGEFORMAT </w:instrText>
    </w:r>
    <w:r>
      <w:fldChar w:fldCharType="separate"/>
    </w:r>
    <w:r>
      <w:rPr>
        <w:noProof/>
      </w:rPr>
      <w:t>2013</w:t>
    </w:r>
    <w:r>
      <w:fldChar w:fldCharType="end"/>
    </w:r>
    <w:r>
      <w:tab/>
    </w:r>
    <w:r>
      <w:fldChar w:fldCharType="begin"/>
    </w:r>
    <w:r>
      <w:instrText xml:space="preserve"> DOCPROPERTY  Author  \* MERGEFORMAT </w:instrText>
    </w:r>
    <w:r>
      <w:fldChar w:fldCharType="separate"/>
    </w:r>
    <w:r>
      <w:t>Transport &amp; Logistics Industry Skills Council</w:t>
    </w:r>
    <w:r>
      <w:fldChar w:fldCharType="end"/>
    </w:r>
  </w:p>
  <w:p w:rsidR="009B2E1B" w:rsidP="009D19FD">
    <w:pPr>
      <w:pStyle w:val="Footer"/>
      <w:framePr w:wrap="around"/>
      <w:pBdr>
        <w:top w:val="nil"/>
      </w:pBdr>
    </w:pP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9D19FD">
    <w:pPr>
      <w:pStyle w:val="Header"/>
      <w:framePr w:wrap="around"/>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9D19FD" w:rsidRPr="009B2E1B" w:rsidP="009B2E1B">
    <w:pPr>
      <w:pStyle w:val="BodyText"/>
    </w:pPr>
    <w:r>
      <w:rPr>
        <w:noProof/>
        <w:lang w:eastAsia="en-AU"/>
      </w:rPr>
      <w:drawing>
        <wp:anchor distT="0" distB="0" distL="114300" distR="114300" simplePos="0" relativeHeight="251659264" behindDoc="1" locked="0" layoutInCell="1" allowOverlap="1">
          <wp:simplePos x="0" y="0"/>
          <wp:positionH relativeFrom="margin">
            <wp:align>center</wp:align>
          </wp:positionH>
          <wp:positionV relativeFrom="margin">
            <wp:align>center</wp:align>
          </wp:positionV>
          <wp:extent cx="7733665" cy="10926445"/>
          <wp:effectExtent l="0" t="0" r="0" b="0"/>
          <wp:wrapNone/>
          <wp:docPr id="2" name="Picture 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titlepage.png"/>
                  <pic:cNvPicPr/>
                </pic:nvPicPr>
                <pic:blipFill>
                  <a:blip xmlns:r="http://schemas.openxmlformats.org/officeDocument/2006/relationships" r:embed="rId1">
                    <a:extLst>
                      <a:ext uri="{28A0092B-C50C-407E-A947-70E740481C1C}">
                        <a14:useLocalDpi xmlns:a14="http://schemas.microsoft.com/office/drawing/2010/main" val="0"/>
                      </a:ext>
                    </a:extLst>
                  </a:blip>
                  <a:stretch>
                    <a:fillRect/>
                  </a:stretch>
                </pic:blipFill>
                <pic:spPr>
                  <a:xfrm>
                    <a:off x="0" y="0"/>
                    <a:ext cx="7734031" cy="10926468"/>
                  </a:xfrm>
                  <a:prstGeom prst="rect">
                    <a:avLst/>
                  </a:prstGeom>
                </pic:spPr>
              </pic:pic>
            </a:graphicData>
          </a:graphic>
        </wp:anchor>
      </w:drawing>
    </w:r>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9D19FD">
    <w:pPr>
      <w:pStyle w:val="Header"/>
      <w:framePr w:wrap="around"/>
    </w:pPr>
  </w:p>
</w:hdr>
</file>

<file path=word/header4.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9B2E1B" w:rsidRPr="002D2AF8" w:rsidP="009D19FD">
    <w:pPr>
      <w:pStyle w:val="Header"/>
      <w:framePr w:wrap="around"/>
    </w:pPr>
    <w:r>
      <w:fldChar w:fldCharType="begin"/>
    </w:r>
    <w:r>
      <w:instrText xml:space="preserve"> TITLE   \* MERGEFORMAT </w:instrText>
    </w:r>
    <w:r>
      <w:fldChar w:fldCharType="separate"/>
    </w:r>
    <w:r>
      <w:t>MARM5007A Survey vessel operational systems</w:t>
    </w:r>
    <w:r>
      <w:fldChar w:fldCharType="end"/>
    </w:r>
    <w:r>
      <w:tab/>
      <w:t xml:space="preserve">Date this document was generated: </w:t>
    </w:r>
    <w:r>
      <w:fldChar w:fldCharType="begin"/>
    </w:r>
    <w:r>
      <w:instrText xml:space="preserve"> CREATEDATE  \@ "d MMMM yyyy"  \* MERGEFORMAT </w:instrText>
    </w:r>
    <w:r>
      <w:fldChar w:fldCharType="separate"/>
    </w:r>
    <w:r>
      <w:rPr>
        <w:noProof/>
      </w:rPr>
      <w:t>6 June 2013</w:t>
    </w:r>
    <w:r>
      <w:fldChar w:fldCharType="end"/>
    </w:r>
  </w:p>
  <w:p w:rsidR="009B2E1B" w:rsidP="009D19FD">
    <w:pPr>
      <w:pStyle w:val="Header"/>
      <w:framePr w:wrap="around"/>
      <w:pBdr>
        <w:bottom w:val="nil"/>
      </w:pBdr>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FFFFFF7C"/>
    <w:multiLevelType w:val="singleLevel"/>
    <w:tmpl w:val="F63E7044"/>
    <w:lvl w:ilvl="0">
      <w:start w:val="1"/>
      <w:numFmt w:val="decimal"/>
      <w:pStyle w:val="ListNumber5"/>
      <w:lvlText w:val="%1."/>
      <w:lvlJc w:val="left"/>
      <w:pPr>
        <w:tabs>
          <w:tab w:val="num" w:pos="1800"/>
        </w:tabs>
        <w:ind w:left="1800" w:hanging="360"/>
      </w:pPr>
    </w:lvl>
  </w:abstractNum>
  <w:abstractNum w:abstractNumId="1">
    <w:nsid w:val="FFFFFF7D"/>
    <w:multiLevelType w:val="singleLevel"/>
    <w:tmpl w:val="DD28FC82"/>
    <w:lvl w:ilvl="0">
      <w:start w:val="1"/>
      <w:numFmt w:val="decimal"/>
      <w:pStyle w:val="ListNumber4"/>
      <w:lvlText w:val="%1."/>
      <w:lvlJc w:val="left"/>
      <w:pPr>
        <w:tabs>
          <w:tab w:val="num" w:pos="1440"/>
        </w:tabs>
        <w:ind w:left="1440" w:hanging="360"/>
      </w:pPr>
    </w:lvl>
  </w:abstractNum>
  <w:abstractNum w:abstractNumId="2">
    <w:nsid w:val="FFFFFF7E"/>
    <w:multiLevelType w:val="singleLevel"/>
    <w:tmpl w:val="38BCCFA2"/>
    <w:lvl w:ilvl="0">
      <w:start w:val="1"/>
      <w:numFmt w:val="decimal"/>
      <w:pStyle w:val="ListNumber3"/>
      <w:lvlText w:val="%1."/>
      <w:lvlJc w:val="left"/>
      <w:pPr>
        <w:tabs>
          <w:tab w:val="num" w:pos="1080"/>
        </w:tabs>
        <w:ind w:left="1080" w:hanging="360"/>
      </w:pPr>
    </w:lvl>
  </w:abstractNum>
  <w:abstractNum w:abstractNumId="3">
    <w:nsid w:val="FFFFFF80"/>
    <w:multiLevelType w:val="singleLevel"/>
    <w:tmpl w:val="98347A92"/>
    <w:lvl w:ilvl="0">
      <w:start w:val="1"/>
      <w:numFmt w:val="bullet"/>
      <w:pStyle w:val="ListBullet5"/>
      <w:lvlText w:val=""/>
      <w:lvlJc w:val="left"/>
      <w:pPr>
        <w:tabs>
          <w:tab w:val="num" w:pos="360"/>
        </w:tabs>
        <w:ind w:left="340" w:hanging="340"/>
      </w:pPr>
      <w:rPr>
        <w:rFonts w:ascii="Wingdings" w:hAnsi="Wingdings" w:hint="default"/>
      </w:rPr>
    </w:lvl>
  </w:abstractNum>
  <w:abstractNum w:abstractNumId="4">
    <w:nsid w:val="FFFFFF81"/>
    <w:multiLevelType w:val="singleLevel"/>
    <w:tmpl w:val="F1C0E5CE"/>
    <w:lvl w:ilvl="0">
      <w:start w:val="1"/>
      <w:numFmt w:val="bullet"/>
      <w:pStyle w:val="ListBullet4"/>
      <w:lvlText w:val=""/>
      <w:lvlJc w:val="left"/>
      <w:pPr>
        <w:tabs>
          <w:tab w:val="num" w:pos="360"/>
        </w:tabs>
        <w:ind w:left="340" w:hanging="340"/>
      </w:pPr>
      <w:rPr>
        <w:rFonts w:ascii="Wingdings" w:hAnsi="Wingdings" w:hint="default"/>
      </w:rPr>
    </w:lvl>
  </w:abstractNum>
  <w:abstractNum w:abstractNumId="5">
    <w:nsid w:val="FFFFFF82"/>
    <w:multiLevelType w:val="singleLevel"/>
    <w:tmpl w:val="E1C61E12"/>
    <w:lvl w:ilvl="0">
      <w:start w:val="1"/>
      <w:numFmt w:val="bullet"/>
      <w:pStyle w:val="ListBullet3"/>
      <w:lvlText w:val=""/>
      <w:lvlJc w:val="left"/>
      <w:pPr>
        <w:ind w:left="360" w:hanging="360"/>
      </w:pPr>
      <w:rPr>
        <w:rFonts w:ascii="Symbol" w:hAnsi="Symbol" w:hint="default"/>
        <w:color w:val="auto"/>
        <w:sz w:val="16"/>
      </w:rPr>
    </w:lvl>
  </w:abstractNum>
  <w:abstractNum w:abstractNumId="6">
    <w:nsid w:val="FFFFFF83"/>
    <w:multiLevelType w:val="singleLevel"/>
    <w:tmpl w:val="43B4C73C"/>
    <w:lvl w:ilvl="0">
      <w:start w:val="1"/>
      <w:numFmt w:val="bullet"/>
      <w:pStyle w:val="ListBullet2"/>
      <w:lvlText w:val=""/>
      <w:lvlJc w:val="left"/>
      <w:pPr>
        <w:tabs>
          <w:tab w:val="num" w:pos="643"/>
        </w:tabs>
        <w:ind w:left="643" w:hanging="360"/>
      </w:pPr>
      <w:rPr>
        <w:rFonts w:ascii="Symbol" w:hAnsi="Symbol" w:hint="default"/>
      </w:rPr>
    </w:lvl>
  </w:abstractNum>
  <w:abstractNum w:abstractNumId="7">
    <w:nsid w:val="FFFFFF89"/>
    <w:multiLevelType w:val="singleLevel"/>
    <w:tmpl w:val="80F81B4C"/>
    <w:lvl w:ilvl="0">
      <w:start w:val="1"/>
      <w:numFmt w:val="bullet"/>
      <w:pStyle w:val="ListBullet"/>
      <w:lvlText w:val=""/>
      <w:lvlJc w:val="left"/>
      <w:pPr>
        <w:tabs>
          <w:tab w:val="num" w:pos="360"/>
        </w:tabs>
        <w:ind w:left="360" w:hanging="360"/>
      </w:pPr>
      <w:rPr>
        <w:rFonts w:ascii="Symbol" w:hAnsi="Symbol" w:hint="default"/>
      </w:rPr>
    </w:lvl>
  </w:abstractNum>
  <w:abstractNum w:abstractNumId="8">
    <w:nsid w:val="FFFFFFFE"/>
    <w:multiLevelType w:val="singleLevel"/>
    <w:tmpl w:val="E9E24010"/>
    <w:lvl w:ilvl="0">
      <w:start w:val="0"/>
      <w:numFmt w:val="bullet"/>
      <w:lvlText w:val="*"/>
      <w:lvlJc w:val="left"/>
    </w:lvl>
  </w:abstractNum>
  <w:abstractNum w:abstractNumId="9">
    <w:nsid w:val="0F986AE9"/>
    <w:multiLevelType w:val="hybridMultilevel"/>
    <w:tmpl w:val="3224FB34"/>
    <w:lvl w:ilvl="0">
      <w:start w:val="1"/>
      <w:numFmt w:val="bullet"/>
      <w:pStyle w:val="TableListBullet"/>
      <w:lvlText w:val=""/>
      <w:lvlJc w:val="left"/>
      <w:pPr>
        <w:tabs>
          <w:tab w:val="num" w:pos="360"/>
        </w:tabs>
        <w:ind w:left="360" w:hanging="360"/>
      </w:pPr>
      <w:rPr>
        <w:rFonts w:ascii="Webdings" w:hAnsi="Webdings" w:hint="default"/>
        <w:color w:val="808080"/>
        <w:sz w:val="20"/>
      </w:rPr>
    </w:lvl>
    <w:lvl w:ilvl="1" w:tentative="1">
      <w:start w:val="1"/>
      <w:numFmt w:val="bullet"/>
      <w:lvlText w:val="o"/>
      <w:lvlJc w:val="left"/>
      <w:pPr>
        <w:tabs>
          <w:tab w:val="num" w:pos="1440"/>
        </w:tabs>
        <w:ind w:left="1440" w:hanging="360"/>
      </w:pPr>
      <w:rPr>
        <w:rFonts w:ascii="Courier New" w:hAnsi="Courier New" w:cs="Courier New" w:hint="default"/>
      </w:rPr>
    </w:lvl>
    <w:lvl w:ilvl="2" w:tentative="1">
      <w:start w:val="1"/>
      <w:numFmt w:val="bullet"/>
      <w:lvlText w:val=""/>
      <w:lvlJc w:val="left"/>
      <w:pPr>
        <w:tabs>
          <w:tab w:val="num" w:pos="2160"/>
        </w:tabs>
        <w:ind w:left="2160" w:hanging="360"/>
      </w:pPr>
      <w:rPr>
        <w:rFonts w:ascii="Wingdings" w:hAnsi="Wingdings" w:hint="default"/>
      </w:rPr>
    </w:lvl>
    <w:lvl w:ilvl="3" w:tentative="1">
      <w:start w:val="1"/>
      <w:numFmt w:val="bullet"/>
      <w:lvlText w:val=""/>
      <w:lvlJc w:val="left"/>
      <w:pPr>
        <w:tabs>
          <w:tab w:val="num" w:pos="2880"/>
        </w:tabs>
        <w:ind w:left="2880" w:hanging="360"/>
      </w:pPr>
      <w:rPr>
        <w:rFonts w:ascii="Symbol" w:hAnsi="Symbol" w:hint="default"/>
      </w:rPr>
    </w:lvl>
    <w:lvl w:ilvl="4" w:tentative="1">
      <w:start w:val="1"/>
      <w:numFmt w:val="bullet"/>
      <w:lvlText w:val="o"/>
      <w:lvlJc w:val="left"/>
      <w:pPr>
        <w:tabs>
          <w:tab w:val="num" w:pos="3600"/>
        </w:tabs>
        <w:ind w:left="3600" w:hanging="360"/>
      </w:pPr>
      <w:rPr>
        <w:rFonts w:ascii="Courier New" w:hAnsi="Courier New" w:cs="Courier New" w:hint="default"/>
      </w:rPr>
    </w:lvl>
    <w:lvl w:ilvl="5" w:tentative="1">
      <w:start w:val="1"/>
      <w:numFmt w:val="bullet"/>
      <w:lvlText w:val=""/>
      <w:lvlJc w:val="left"/>
      <w:pPr>
        <w:tabs>
          <w:tab w:val="num" w:pos="4320"/>
        </w:tabs>
        <w:ind w:left="4320" w:hanging="360"/>
      </w:pPr>
      <w:rPr>
        <w:rFonts w:ascii="Wingdings" w:hAnsi="Wingdings" w:hint="default"/>
      </w:rPr>
    </w:lvl>
    <w:lvl w:ilvl="6" w:tentative="1">
      <w:start w:val="1"/>
      <w:numFmt w:val="bullet"/>
      <w:lvlText w:val=""/>
      <w:lvlJc w:val="left"/>
      <w:pPr>
        <w:tabs>
          <w:tab w:val="num" w:pos="5040"/>
        </w:tabs>
        <w:ind w:left="5040" w:hanging="360"/>
      </w:pPr>
      <w:rPr>
        <w:rFonts w:ascii="Symbol" w:hAnsi="Symbol" w:hint="default"/>
      </w:rPr>
    </w:lvl>
    <w:lvl w:ilvl="7" w:tentative="1">
      <w:start w:val="1"/>
      <w:numFmt w:val="bullet"/>
      <w:lvlText w:val="o"/>
      <w:lvlJc w:val="left"/>
      <w:pPr>
        <w:tabs>
          <w:tab w:val="num" w:pos="5760"/>
        </w:tabs>
        <w:ind w:left="5760" w:hanging="360"/>
      </w:pPr>
      <w:rPr>
        <w:rFonts w:ascii="Courier New" w:hAnsi="Courier New" w:cs="Courier New" w:hint="default"/>
      </w:rPr>
    </w:lvl>
    <w:lvl w:ilvl="8" w:tentative="1">
      <w:start w:val="1"/>
      <w:numFmt w:val="bullet"/>
      <w:lvlText w:val=""/>
      <w:lvlJc w:val="left"/>
      <w:pPr>
        <w:tabs>
          <w:tab w:val="num" w:pos="6480"/>
        </w:tabs>
        <w:ind w:left="6480" w:hanging="360"/>
      </w:pPr>
      <w:rPr>
        <w:rFonts w:ascii="Wingdings" w:hAnsi="Wingdings" w:hint="default"/>
      </w:rPr>
    </w:lvl>
  </w:abstractNum>
  <w:abstractNum w:abstractNumId="10">
    <w:nsid w:val="2B1B562A"/>
    <w:multiLevelType w:val="singleLevel"/>
    <w:tmpl w:val="0D3CFE5A"/>
    <w:lvl w:ilvl="0">
      <w:start w:val="1"/>
      <w:numFmt w:val="bullet"/>
      <w:pStyle w:val="ListBullet2"/>
      <w:lvlText w:val=""/>
      <w:lvlJc w:val="left"/>
      <w:pPr>
        <w:ind w:left="700" w:hanging="360"/>
      </w:pPr>
      <w:rPr>
        <w:rFonts w:ascii="Symbol" w:hAnsi="Symbol" w:hint="default"/>
        <w:b w:val="0"/>
        <w:i w:val="0"/>
        <w:color w:val="auto"/>
        <w:sz w:val="16"/>
        <w:szCs w:val="18"/>
      </w:rPr>
    </w:lvl>
  </w:abstractNum>
  <w:abstractNum w:abstractNumId="11">
    <w:nsid w:val="2E40016D"/>
    <w:multiLevelType w:val="hybridMultilevel"/>
    <w:tmpl w:val="4252A022"/>
    <w:lvl w:ilvl="0">
      <w:start w:val="1"/>
      <w:numFmt w:val="lowerLetter"/>
      <w:pStyle w:val="ListAlpha"/>
      <w:lvlText w:val="%1)"/>
      <w:lvlJc w:val="left"/>
      <w:pPr>
        <w:tabs>
          <w:tab w:val="num" w:pos="680"/>
        </w:tabs>
        <w:ind w:left="680" w:hanging="680"/>
      </w:pPr>
      <w:rPr>
        <w:rFonts w:ascii="Garamond" w:hAnsi="Garamond" w:hint="default"/>
        <w:b w:val="0"/>
        <w:i w:val="0"/>
        <w:color w:val="000000"/>
        <w:sz w:val="22"/>
        <w:szCs w:val="22"/>
      </w:rPr>
    </w:lvl>
    <w:lvl w:ilvl="1" w:tentative="1">
      <w:start w:val="1"/>
      <w:numFmt w:val="lowerLetter"/>
      <w:lvlText w:val="%2."/>
      <w:lvlJc w:val="left"/>
      <w:pPr>
        <w:tabs>
          <w:tab w:val="num" w:pos="1440"/>
        </w:tabs>
        <w:ind w:left="1440" w:hanging="360"/>
      </w:pPr>
    </w:lvl>
    <w:lvl w:ilvl="2" w:tentative="1">
      <w:start w:val="1"/>
      <w:numFmt w:val="lowerRoman"/>
      <w:lvlText w:val="%3."/>
      <w:lvlJc w:val="right"/>
      <w:pPr>
        <w:tabs>
          <w:tab w:val="num" w:pos="2160"/>
        </w:tabs>
        <w:ind w:left="2160" w:hanging="180"/>
      </w:pPr>
    </w:lvl>
    <w:lvl w:ilvl="3" w:tentative="1">
      <w:start w:val="1"/>
      <w:numFmt w:val="decimal"/>
      <w:lvlText w:val="%4."/>
      <w:lvlJc w:val="left"/>
      <w:pPr>
        <w:tabs>
          <w:tab w:val="num" w:pos="2880"/>
        </w:tabs>
        <w:ind w:left="2880" w:hanging="360"/>
      </w:pPr>
    </w:lvl>
    <w:lvl w:ilvl="4" w:tentative="1">
      <w:start w:val="1"/>
      <w:numFmt w:val="lowerLetter"/>
      <w:lvlText w:val="%5."/>
      <w:lvlJc w:val="left"/>
      <w:pPr>
        <w:tabs>
          <w:tab w:val="num" w:pos="3600"/>
        </w:tabs>
        <w:ind w:left="3600" w:hanging="360"/>
      </w:pPr>
    </w:lvl>
    <w:lvl w:ilvl="5" w:tentative="1">
      <w:start w:val="1"/>
      <w:numFmt w:val="lowerRoman"/>
      <w:lvlText w:val="%6."/>
      <w:lvlJc w:val="right"/>
      <w:pPr>
        <w:tabs>
          <w:tab w:val="num" w:pos="4320"/>
        </w:tabs>
        <w:ind w:left="4320" w:hanging="180"/>
      </w:pPr>
    </w:lvl>
    <w:lvl w:ilvl="6" w:tentative="1">
      <w:start w:val="1"/>
      <w:numFmt w:val="decimal"/>
      <w:lvlText w:val="%7."/>
      <w:lvlJc w:val="left"/>
      <w:pPr>
        <w:tabs>
          <w:tab w:val="num" w:pos="5040"/>
        </w:tabs>
        <w:ind w:left="5040" w:hanging="360"/>
      </w:pPr>
    </w:lvl>
    <w:lvl w:ilvl="7" w:tentative="1">
      <w:start w:val="1"/>
      <w:numFmt w:val="lowerLetter"/>
      <w:lvlText w:val="%8."/>
      <w:lvlJc w:val="left"/>
      <w:pPr>
        <w:tabs>
          <w:tab w:val="num" w:pos="5760"/>
        </w:tabs>
        <w:ind w:left="5760" w:hanging="360"/>
      </w:pPr>
    </w:lvl>
    <w:lvl w:ilvl="8" w:tentative="1">
      <w:start w:val="1"/>
      <w:numFmt w:val="lowerRoman"/>
      <w:lvlText w:val="%9."/>
      <w:lvlJc w:val="right"/>
      <w:pPr>
        <w:tabs>
          <w:tab w:val="num" w:pos="6480"/>
        </w:tabs>
        <w:ind w:left="6480" w:hanging="180"/>
      </w:pPr>
    </w:lvl>
  </w:abstractNum>
  <w:abstractNum w:abstractNumId="12">
    <w:nsid w:val="4E3755AB"/>
    <w:multiLevelType w:val="singleLevel"/>
    <w:tmpl w:val="40964F6C"/>
    <w:lvl w:ilvl="0">
      <w:start w:val="1"/>
      <w:numFmt w:val="bullet"/>
      <w:pStyle w:val="ListBullet"/>
      <w:lvlText w:val=""/>
      <w:lvlJc w:val="left"/>
      <w:pPr>
        <w:ind w:left="360" w:hanging="360"/>
      </w:pPr>
      <w:rPr>
        <w:rFonts w:ascii="Symbol" w:hAnsi="Symbol" w:hint="default"/>
        <w:color w:val="auto"/>
        <w:sz w:val="16"/>
      </w:rPr>
    </w:lvl>
  </w:abstractNum>
  <w:abstractNum w:abstractNumId="13">
    <w:nsid w:val="61571FB4"/>
    <w:multiLevelType w:val="singleLevel"/>
    <w:tmpl w:val="F73ECEE0"/>
    <w:lvl w:ilvl="0">
      <w:start w:val="1"/>
      <w:numFmt w:val="decimal"/>
      <w:pStyle w:val="ListNumber"/>
      <w:lvlText w:val="%1)"/>
      <w:lvlJc w:val="left"/>
      <w:pPr>
        <w:tabs>
          <w:tab w:val="num" w:pos="360"/>
        </w:tabs>
        <w:ind w:left="340" w:hanging="340"/>
      </w:pPr>
      <w:rPr>
        <w:rFonts w:ascii="Palatino Linotype" w:hAnsi="Palatino Linotype" w:hint="default"/>
        <w:b w:val="0"/>
        <w:i w:val="0"/>
        <w:color w:val="auto"/>
      </w:rPr>
    </w:lvl>
  </w:abstractNum>
  <w:abstractNum w:abstractNumId="14">
    <w:nsid w:val="7B332CA8"/>
    <w:multiLevelType w:val="hybridMultilevel"/>
    <w:tmpl w:val="F2C40DCA"/>
    <w:lvl w:ilvl="0">
      <w:start w:val="1"/>
      <w:numFmt w:val="lowerLetter"/>
      <w:pStyle w:val="ListAlpha2"/>
      <w:lvlText w:val="%1."/>
      <w:lvlJc w:val="left"/>
      <w:pPr>
        <w:tabs>
          <w:tab w:val="num" w:pos="1060"/>
        </w:tabs>
        <w:ind w:left="681" w:hanging="341"/>
      </w:pPr>
      <w:rPr>
        <w:rFonts w:hint="default"/>
      </w:rPr>
    </w:lvl>
    <w:lvl w:ilvl="1" w:tentative="1">
      <w:start w:val="1"/>
      <w:numFmt w:val="lowerLetter"/>
      <w:lvlText w:val="%2."/>
      <w:lvlJc w:val="left"/>
      <w:pPr>
        <w:tabs>
          <w:tab w:val="num" w:pos="1780"/>
        </w:tabs>
        <w:ind w:left="1780" w:hanging="360"/>
      </w:pPr>
    </w:lvl>
    <w:lvl w:ilvl="2" w:tentative="1">
      <w:start w:val="1"/>
      <w:numFmt w:val="lowerRoman"/>
      <w:lvlText w:val="%3."/>
      <w:lvlJc w:val="right"/>
      <w:pPr>
        <w:tabs>
          <w:tab w:val="num" w:pos="2500"/>
        </w:tabs>
        <w:ind w:left="2500" w:hanging="180"/>
      </w:pPr>
    </w:lvl>
    <w:lvl w:ilvl="3" w:tentative="1">
      <w:start w:val="1"/>
      <w:numFmt w:val="decimal"/>
      <w:lvlText w:val="%4."/>
      <w:lvlJc w:val="left"/>
      <w:pPr>
        <w:tabs>
          <w:tab w:val="num" w:pos="3220"/>
        </w:tabs>
        <w:ind w:left="3220" w:hanging="360"/>
      </w:pPr>
    </w:lvl>
    <w:lvl w:ilvl="4" w:tentative="1">
      <w:start w:val="1"/>
      <w:numFmt w:val="lowerLetter"/>
      <w:lvlText w:val="%5."/>
      <w:lvlJc w:val="left"/>
      <w:pPr>
        <w:tabs>
          <w:tab w:val="num" w:pos="3940"/>
        </w:tabs>
        <w:ind w:left="3940" w:hanging="360"/>
      </w:pPr>
    </w:lvl>
    <w:lvl w:ilvl="5" w:tentative="1">
      <w:start w:val="1"/>
      <w:numFmt w:val="lowerRoman"/>
      <w:lvlText w:val="%6."/>
      <w:lvlJc w:val="right"/>
      <w:pPr>
        <w:tabs>
          <w:tab w:val="num" w:pos="4660"/>
        </w:tabs>
        <w:ind w:left="4660" w:hanging="180"/>
      </w:pPr>
    </w:lvl>
    <w:lvl w:ilvl="6" w:tentative="1">
      <w:start w:val="1"/>
      <w:numFmt w:val="decimal"/>
      <w:lvlText w:val="%7."/>
      <w:lvlJc w:val="left"/>
      <w:pPr>
        <w:tabs>
          <w:tab w:val="num" w:pos="5380"/>
        </w:tabs>
        <w:ind w:left="5380" w:hanging="360"/>
      </w:pPr>
    </w:lvl>
    <w:lvl w:ilvl="7" w:tentative="1">
      <w:start w:val="1"/>
      <w:numFmt w:val="lowerLetter"/>
      <w:lvlText w:val="%8."/>
      <w:lvlJc w:val="left"/>
      <w:pPr>
        <w:tabs>
          <w:tab w:val="num" w:pos="6100"/>
        </w:tabs>
        <w:ind w:left="6100" w:hanging="360"/>
      </w:pPr>
    </w:lvl>
    <w:lvl w:ilvl="8" w:tentative="1">
      <w:start w:val="1"/>
      <w:numFmt w:val="lowerRoman"/>
      <w:lvlText w:val="%9."/>
      <w:lvlJc w:val="right"/>
      <w:pPr>
        <w:tabs>
          <w:tab w:val="num" w:pos="6820"/>
        </w:tabs>
        <w:ind w:left="6820" w:hanging="180"/>
      </w:pPr>
    </w:lvl>
  </w:abstractNum>
  <w:abstractNum w:abstractNumId="15">
    <w:nsid w:val="7F827F09"/>
    <w:multiLevelType w:val="singleLevel"/>
    <w:tmpl w:val="36769C9A"/>
    <w:lvl w:ilvl="0">
      <w:start w:val="1"/>
      <w:numFmt w:val="decimal"/>
      <w:pStyle w:val="ListNumber2"/>
      <w:lvlText w:val="%1."/>
      <w:lvlJc w:val="left"/>
      <w:pPr>
        <w:tabs>
          <w:tab w:val="num" w:pos="1060"/>
        </w:tabs>
        <w:ind w:left="680" w:hanging="340"/>
      </w:pPr>
      <w:rPr>
        <w:rFonts w:ascii="Garamond" w:hAnsi="Garamond" w:hint="default"/>
      </w:rPr>
    </w:lvl>
  </w:abstractNum>
  <w:num w:numId="1">
    <w:abstractNumId w:val="7"/>
  </w:num>
  <w:num w:numId="2">
    <w:abstractNumId w:val="6"/>
  </w:num>
  <w:num w:numId="3">
    <w:abstractNumId w:val="4"/>
  </w:num>
  <w:num w:numId="4">
    <w:abstractNumId w:val="3"/>
  </w:num>
  <w:num w:numId="5">
    <w:abstractNumId w:val="2"/>
  </w:num>
  <w:num w:numId="6">
    <w:abstractNumId w:val="1"/>
  </w:num>
  <w:num w:numId="7">
    <w:abstractNumId w:val="0"/>
  </w:num>
  <w:num w:numId="8">
    <w:abstractNumId w:val="14"/>
  </w:num>
  <w:num w:numId="9">
    <w:abstractNumId w:val="11"/>
  </w:num>
  <w:num w:numId="10">
    <w:abstractNumId w:val="15"/>
  </w:num>
  <w:num w:numId="11">
    <w:abstractNumId w:val="13"/>
  </w:num>
  <w:num w:numId="12">
    <w:abstractNumId w:val="9"/>
  </w:num>
  <w:num w:numId="13">
    <w:abstractNumId w:val="12"/>
  </w:num>
  <w:num w:numId="14">
    <w:abstractNumId w:val="10"/>
  </w:num>
  <w:num w:numId="15">
    <w:abstractNumId w:val="5"/>
  </w:num>
  <w:num w:numId="16">
    <w:abstractNumId w:val="8"/>
    <w:lvlOverride w:ilvl="0">
      <w:lvl w:ilvl="0">
        <w:start w:val="0"/>
        <w:numFmt w:val="bullet"/>
        <w:lvlText w:val=""/>
        <w:legacy w:legacy="1" w:legacySpace="0" w:legacyIndent="0"/>
        <w:lvlJc w:val="left"/>
        <w:pPr>
          <w:ind w:left="0" w:firstLine="0"/>
        </w:pPr>
        <w:rPr>
          <w:rFonts w:ascii="Wingdings" w:hAnsi="Wingdings" w:hint="default"/>
        </w:rPr>
      </w:lvl>
    </w:lvlOverride>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embedSystemFonts/>
  <w:doNotTrackMoves/>
  <w:defaultTabStop w:val="720"/>
  <w:drawingGridHorizontalSpacing w:val="120"/>
  <w:drawingGridVerticalSpacing w:val="120"/>
  <w:displayHorizontalDrawingGridEvery w:val="0"/>
  <w:displayVerticalDrawingGridEvery w:val="3"/>
  <w:doNotUseMarginsForDrawingGridOrigin/>
  <w:characterSpacingControl w:val="compressPunctuation"/>
  <w:doNotValidateAgainstSchema/>
  <w:doNotDemarcateInvalidXml/>
  <w:compat>
    <w:spaceForUL/>
    <w:balanceSingleByteDoubleByteWidth/>
    <w:doNotLeaveBackslashAlone/>
    <w:ulTrailSpace/>
    <w:doNotExpandShiftReturn/>
    <w:footnoteLayoutLikeWW8/>
    <w:shapeLayoutLikeWW8/>
    <w:alignTablesRowByRow/>
    <w:forgetLastTabAlignment/>
    <w:adjustLineHeightInTable/>
    <w:layoutRawTableWidth/>
    <w:layoutTableRowsApart/>
    <w:useWord97LineBreakRules/>
    <w:doNotBreakWrappedTables/>
    <w:doNotSnapToGridInCell/>
    <w:selectFldWithFirstOrLastChar/>
    <w:doNotWrapTextWithPunct/>
    <w:doNotUseEastAsianBreakRules/>
    <w:useWord2002TableStyleRules/>
    <w:useFELayout/>
    <w:useNormalStyleForList/>
    <w:doNotUseIndentAsNumberingTabStop/>
    <w:useAltKinsokuLineBreakRules/>
    <w:allowSpaceOfSameStyleInTable/>
    <w:doNotSuppressIndentation/>
    <w:doNotAutofitConstrainedTables/>
    <w:autofitToFirstFixedWidthCell/>
    <w:underlineTabInNumList/>
    <w:displayHangulFixedWidth/>
    <w:splitPgBreakAndParaMark/>
    <w:doNotVertAlignCellWithSp/>
    <w:doNotBreakConstrainedForcedTable/>
    <w:doNotVertAlignInTxbx/>
    <w:useAnsiKerningPairs/>
    <w:cachedColBalance/>
  </w:compat>
  <m:mathPr>
    <m:mathFont m:val="Cambria Math"/>
  </m:mathPr>
  <w:themeFontLang w:val="en-AU"/>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r="http://schemas.openxmlformats.org/officeDocument/2006/relationships" xmlns:w="http://schemas.openxmlformats.org/wordprocessingml/2006/main">
  <w:docDefaults>
    <w:rPrDefault>
      <w:rPr>
        <w:rFonts w:ascii="Calibri" w:hAnsi="Calibri"/>
        <w:sz w:val="22"/>
        <w:szCs w:val="22"/>
        <w:lang w:val="en-AU" w:eastAsia="en-AU"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0" w:unhideWhenUsed="0" w:qFormat="1"/>
    <w:lsdException w:name="heading 2"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index 1" w:uiPriority="0"/>
    <w:lsdException w:name="index 2" w:uiPriority="0"/>
    <w:lsdException w:name="index 3" w:uiPriority="0"/>
    <w:lsdException w:name="toc 1" w:uiPriority="0"/>
    <w:lsdException w:name="toc 2" w:uiPriority="0"/>
    <w:lsdException w:name="toc 3" w:uiPriority="0"/>
    <w:lsdException w:name="toc 4" w:uiPriority="0"/>
    <w:lsdException w:name="toc 5" w:uiPriority="39"/>
    <w:lsdException w:name="toc 6" w:uiPriority="39"/>
    <w:lsdException w:name="toc 7" w:uiPriority="39"/>
    <w:lsdException w:name="toc 8" w:uiPriority="39"/>
    <w:lsdException w:name="toc 9" w:uiPriority="39"/>
    <w:lsdException w:name="header" w:uiPriority="0"/>
    <w:lsdException w:name="footer" w:uiPriority="0"/>
    <w:lsdException w:name="index heading" w:uiPriority="0"/>
    <w:lsdException w:name="caption" w:uiPriority="0" w:qFormat="1"/>
    <w:lsdException w:name="table of figures" w:uiPriority="0"/>
    <w:lsdException w:name="page number" w:uiPriority="0"/>
    <w:lsdException w:name="List" w:uiPriority="0"/>
    <w:lsdException w:name="List Bullet" w:uiPriority="0" w:unhideWhenUsed="0"/>
    <w:lsdException w:name="List Number" w:uiPriority="0"/>
    <w:lsdException w:name="List 2" w:uiPriority="0"/>
    <w:lsdException w:name="List 3" w:uiPriority="0"/>
    <w:lsdException w:name="List 4" w:uiPriority="0"/>
    <w:lsdException w:name="List 5" w:uiPriority="0"/>
    <w:lsdException w:name="List Bullet 2" w:uiPriority="0" w:unhideWhenUsed="0"/>
    <w:lsdException w:name="List Bullet 3" w:uiPriority="0"/>
    <w:lsdException w:name="List Bullet 4" w:uiPriority="0"/>
    <w:lsdException w:name="List Bullet 5" w:uiPriority="0"/>
    <w:lsdException w:name="List Number 2" w:uiPriority="0"/>
    <w:lsdException w:name="List Number 3" w:uiPriority="0"/>
    <w:lsdException w:name="List Number 4" w:uiPriority="0"/>
    <w:lsdException w:name="List Number 5" w:uiPriority="0"/>
    <w:lsdException w:name="Title" w:semiHidden="0" w:uiPriority="0" w:unhideWhenUsed="0" w:qFormat="1"/>
    <w:lsdException w:name="Default Paragraph Font" w:uiPriority="1" w:unhideWhenUsed="0"/>
    <w:lsdException w:name="Body Text" w:uiPriority="0" w:unhideWhenUsed="0"/>
    <w:lsdException w:name="List Continue" w:uiPriority="0"/>
    <w:lsdException w:name="List Continue 2" w:uiPriority="0"/>
    <w:lsdException w:name="List Continue 3" w:uiPriority="0"/>
    <w:lsdException w:name="List Continue 4" w:uiPriority="0"/>
    <w:lsdException w:name="List Continue 5" w:uiPriority="0"/>
    <w:lsdException w:name="Subtitle" w:semiHidden="0" w:uiPriority="0" w:unhideWhenUsed="0" w:qFormat="1"/>
    <w:lsdException w:name="Body Text First Indent" w:uiPriority="0"/>
    <w:lsdException w:name="Block Text" w:uiPriority="0"/>
    <w:lsdException w:name="Strong" w:semiHidden="0" w:uiPriority="22" w:unhideWhenUsed="0" w:qFormat="1"/>
    <w:lsdException w:name="Emphasis" w:semiHidden="0" w:uiPriority="0" w:unhideWhenUsed="0" w:qFormat="1"/>
    <w:lsdException w:name="Plain Text" w:uiPriority="0"/>
    <w:lsdException w:name="Balloon Text" w:uiPriority="0"/>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0"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9D19FD"/>
    <w:pPr>
      <w:keepNext/>
      <w:keepLines/>
      <w:spacing w:after="0" w:line="240" w:lineRule="auto"/>
    </w:pPr>
    <w:rPr>
      <w:rFonts w:ascii="Courier New" w:eastAsia="Times New Roman" w:hAnsi="Courier New" w:cs="Times New Roman"/>
      <w:szCs w:val="20"/>
      <w:lang w:eastAsia="en-US"/>
    </w:rPr>
  </w:style>
  <w:style w:type="paragraph" w:styleId="Heading1">
    <w:name w:val="heading 1"/>
    <w:basedOn w:val="HeadingBase"/>
    <w:next w:val="Heading2"/>
    <w:link w:val="Heading1Char"/>
    <w:qFormat/>
    <w:rsid w:val="009D19FD"/>
    <w:pPr>
      <w:spacing w:before="360" w:after="60"/>
      <w:outlineLvl w:val="0"/>
    </w:pPr>
    <w:rPr>
      <w:sz w:val="32"/>
    </w:rPr>
  </w:style>
  <w:style w:type="paragraph" w:styleId="Heading2">
    <w:name w:val="heading 2"/>
    <w:basedOn w:val="HeadingBase"/>
    <w:next w:val="BodyText"/>
    <w:link w:val="Heading2Char"/>
    <w:qFormat/>
    <w:rsid w:val="009D19FD"/>
    <w:pPr>
      <w:keepLines/>
      <w:spacing w:before="240" w:after="120"/>
      <w:outlineLvl w:val="1"/>
    </w:pPr>
    <w:rPr>
      <w:sz w:val="28"/>
      <w:szCs w:val="40"/>
    </w:rPr>
  </w:style>
  <w:style w:type="paragraph" w:styleId="Heading3">
    <w:name w:val="heading 3"/>
    <w:basedOn w:val="HeadingBase"/>
    <w:next w:val="BodyText"/>
    <w:link w:val="Heading3Char"/>
    <w:qFormat/>
    <w:rsid w:val="009D19FD"/>
    <w:pPr>
      <w:spacing w:before="180" w:after="120"/>
      <w:outlineLvl w:val="2"/>
    </w:pPr>
    <w:rPr>
      <w:spacing w:val="-10"/>
      <w:kern w:val="32"/>
    </w:rPr>
  </w:style>
  <w:style w:type="paragraph" w:styleId="Heading4">
    <w:name w:val="heading 4"/>
    <w:basedOn w:val="HeadingBase"/>
    <w:next w:val="BodyText"/>
    <w:link w:val="Heading4Char"/>
    <w:qFormat/>
    <w:rsid w:val="009D19FD"/>
    <w:pPr>
      <w:spacing w:before="160" w:after="120"/>
      <w:outlineLvl w:val="3"/>
    </w:pPr>
    <w:rPr>
      <w:sz w:val="22"/>
    </w:rPr>
  </w:style>
  <w:style w:type="paragraph" w:styleId="Heading5">
    <w:name w:val="heading 5"/>
    <w:basedOn w:val="HeadingBase"/>
    <w:next w:val="Normal"/>
    <w:link w:val="Heading5Char"/>
    <w:qFormat/>
    <w:rsid w:val="009D19FD"/>
    <w:pPr>
      <w:spacing w:before="80"/>
      <w:outlineLvl w:val="4"/>
    </w:pPr>
    <w:rPr>
      <w:color w:val="918585"/>
      <w:sz w:val="20"/>
    </w:rPr>
  </w:style>
  <w:style w:type="paragraph" w:styleId="Heading6">
    <w:name w:val="heading 6"/>
    <w:basedOn w:val="HeadingBase"/>
    <w:next w:val="Normal"/>
    <w:link w:val="Heading6Char"/>
    <w:qFormat/>
    <w:rsid w:val="009D19FD"/>
    <w:pPr>
      <w:spacing w:before="60"/>
      <w:outlineLvl w:val="5"/>
    </w:pPr>
    <w:rPr>
      <w:color w:val="918585"/>
      <w:sz w:val="20"/>
    </w:rPr>
  </w:style>
  <w:style w:type="paragraph" w:styleId="Heading7">
    <w:name w:val="heading 7"/>
    <w:basedOn w:val="Normal"/>
    <w:next w:val="Normal"/>
    <w:link w:val="Heading7Char"/>
    <w:qFormat/>
    <w:rsid w:val="009D19FD"/>
    <w:pPr>
      <w:ind w:left="720"/>
      <w:outlineLvl w:val="6"/>
    </w:pPr>
    <w:rPr>
      <w:i/>
    </w:rPr>
  </w:style>
  <w:style w:type="paragraph" w:styleId="Heading8">
    <w:name w:val="heading 8"/>
    <w:basedOn w:val="Normal"/>
    <w:next w:val="Normal"/>
    <w:link w:val="Heading8Char"/>
    <w:qFormat/>
    <w:rsid w:val="009D19FD"/>
    <w:pPr>
      <w:ind w:left="720"/>
      <w:outlineLvl w:val="7"/>
    </w:pPr>
    <w:rPr>
      <w:i/>
    </w:rPr>
  </w:style>
  <w:style w:type="paragraph" w:styleId="Heading9">
    <w:name w:val="heading 9"/>
    <w:basedOn w:val="Normal"/>
    <w:next w:val="Normal"/>
    <w:link w:val="Heading9Char"/>
    <w:qFormat/>
    <w:rsid w:val="009D19FD"/>
    <w:pPr>
      <w:ind w:left="720"/>
      <w:outlineLvl w:val="8"/>
    </w:pPr>
    <w:rPr>
      <w:i/>
    </w:rPr>
  </w:style>
  <w:style w:type="character" w:default="1" w:styleId="DefaultParagraphFont">
    <w:name w:val="Default Paragraph Font"/>
    <w:uiPriority w:val="1"/>
    <w:unhideWhenUsed/>
    <w:rsid w:val="009D19F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rsid w:val="009D19FD"/>
  </w:style>
  <w:style w:type="character" w:customStyle="1" w:styleId="Heading1Char">
    <w:name w:val="Heading 1 Char"/>
    <w:basedOn w:val="DefaultParagraphFont"/>
    <w:link w:val="Heading1"/>
    <w:rsid w:val="009D19FD"/>
    <w:rPr>
      <w:rFonts w:ascii="Times New Roman" w:eastAsia="Times New Roman" w:hAnsi="Times New Roman" w:cs="Times New Roman"/>
      <w:b/>
      <w:sz w:val="32"/>
      <w:szCs w:val="20"/>
      <w:lang w:eastAsia="en-US"/>
    </w:rPr>
  </w:style>
  <w:style w:type="paragraph" w:styleId="BodyText">
    <w:name w:val="Body Text"/>
    <w:basedOn w:val="Normal"/>
    <w:link w:val="BodyTextChar"/>
    <w:rsid w:val="009D19FD"/>
    <w:pPr>
      <w:spacing w:before="120" w:after="120"/>
      <w:contextualSpacing/>
    </w:pPr>
    <w:rPr>
      <w:rFonts w:ascii="Times New Roman" w:hAnsi="Times New Roman"/>
      <w:sz w:val="24"/>
      <w:szCs w:val="22"/>
    </w:rPr>
  </w:style>
  <w:style w:type="character" w:customStyle="1" w:styleId="BodyTextChar">
    <w:name w:val="Body Text Char"/>
    <w:basedOn w:val="DefaultParagraphFont"/>
    <w:link w:val="BodyText"/>
    <w:rsid w:val="009D19FD"/>
    <w:rPr>
      <w:rFonts w:ascii="Times New Roman" w:eastAsia="Times New Roman" w:hAnsi="Times New Roman" w:cs="Times New Roman"/>
      <w:sz w:val="24"/>
      <w:lang w:eastAsia="en-US"/>
    </w:rPr>
  </w:style>
  <w:style w:type="paragraph" w:styleId="ListBullet">
    <w:name w:val="List Bullet"/>
    <w:basedOn w:val="List"/>
    <w:rsid w:val="009D19FD"/>
    <w:pPr>
      <w:numPr>
        <w:numId w:val="13"/>
      </w:numPr>
      <w:tabs>
        <w:tab w:val="clear" w:pos="340"/>
      </w:tabs>
      <w:spacing w:before="40" w:after="40"/>
    </w:pPr>
  </w:style>
  <w:style w:type="character" w:customStyle="1" w:styleId="SpecialBold">
    <w:name w:val="Special Bold"/>
    <w:basedOn w:val="DefaultParagraphFont"/>
    <w:rsid w:val="009D19FD"/>
    <w:rPr>
      <w:b/>
      <w:spacing w:val="0"/>
    </w:rPr>
  </w:style>
  <w:style w:type="paragraph" w:styleId="ListBullet2">
    <w:name w:val="List Bullet 2"/>
    <w:basedOn w:val="List2"/>
    <w:rsid w:val="009D19FD"/>
    <w:pPr>
      <w:numPr>
        <w:numId w:val="14"/>
      </w:numPr>
      <w:tabs>
        <w:tab w:val="clear" w:pos="680"/>
      </w:tabs>
    </w:pPr>
  </w:style>
  <w:style w:type="paragraph" w:customStyle="1" w:styleId="SuperHeading">
    <w:name w:val="SuperHeading"/>
    <w:basedOn w:val="Normal"/>
    <w:rsid w:val="009D19FD"/>
    <w:pPr>
      <w:spacing w:before="240" w:after="120"/>
      <w:outlineLvl w:val="0"/>
    </w:pPr>
    <w:rPr>
      <w:rFonts w:ascii="Times New Roman" w:hAnsi="Times New Roman"/>
      <w:b/>
      <w:sz w:val="32"/>
    </w:rPr>
  </w:style>
  <w:style w:type="paragraph" w:customStyle="1" w:styleId="AllowPageBreak">
    <w:name w:val="AllowPageBreak"/>
    <w:rsid w:val="009D19FD"/>
    <w:pPr>
      <w:widowControl w:val="0"/>
      <w:spacing w:after="0" w:line="240" w:lineRule="auto"/>
    </w:pPr>
    <w:rPr>
      <w:rFonts w:ascii="Times New Roman" w:eastAsia="Times New Roman" w:hAnsi="Times New Roman" w:cs="Times New Roman"/>
      <w:noProof/>
      <w:sz w:val="2"/>
      <w:szCs w:val="20"/>
      <w:lang w:eastAsia="en-US"/>
    </w:rPr>
  </w:style>
  <w:style w:type="character" w:customStyle="1" w:styleId="BoldandItalics">
    <w:name w:val="Bold and Italics"/>
    <w:qFormat/>
    <w:rsid w:val="009D19FD"/>
    <w:rPr>
      <w:b/>
      <w:i/>
      <w:u w:val="none"/>
    </w:rPr>
  </w:style>
  <w:style w:type="character" w:customStyle="1" w:styleId="Heading2Char">
    <w:name w:val="Heading 2 Char"/>
    <w:basedOn w:val="DefaultParagraphFont"/>
    <w:link w:val="Heading2"/>
    <w:rsid w:val="009D19FD"/>
    <w:rPr>
      <w:rFonts w:ascii="Times New Roman" w:eastAsia="Times New Roman" w:hAnsi="Times New Roman" w:cs="Times New Roman"/>
      <w:b/>
      <w:sz w:val="28"/>
      <w:szCs w:val="40"/>
      <w:lang w:eastAsia="en-US"/>
    </w:rPr>
  </w:style>
  <w:style w:type="character" w:customStyle="1" w:styleId="Heading3Char">
    <w:name w:val="Heading 3 Char"/>
    <w:basedOn w:val="DefaultParagraphFont"/>
    <w:link w:val="Heading3"/>
    <w:rsid w:val="009D19FD"/>
    <w:rPr>
      <w:rFonts w:ascii="Times New Roman" w:eastAsia="Times New Roman" w:hAnsi="Times New Roman" w:cs="Times New Roman"/>
      <w:b/>
      <w:spacing w:val="-10"/>
      <w:kern w:val="32"/>
      <w:sz w:val="24"/>
      <w:szCs w:val="20"/>
      <w:lang w:eastAsia="en-US"/>
    </w:rPr>
  </w:style>
  <w:style w:type="character" w:customStyle="1" w:styleId="Heading4Char">
    <w:name w:val="Heading 4 Char"/>
    <w:basedOn w:val="DefaultParagraphFont"/>
    <w:link w:val="Heading4"/>
    <w:rsid w:val="009D19FD"/>
    <w:rPr>
      <w:rFonts w:ascii="Times New Roman" w:eastAsia="Times New Roman" w:hAnsi="Times New Roman" w:cs="Times New Roman"/>
      <w:b/>
      <w:szCs w:val="20"/>
      <w:lang w:eastAsia="en-US"/>
    </w:rPr>
  </w:style>
  <w:style w:type="character" w:customStyle="1" w:styleId="Heading5Char">
    <w:name w:val="Heading 5 Char"/>
    <w:basedOn w:val="DefaultParagraphFont"/>
    <w:link w:val="Heading5"/>
    <w:rsid w:val="009D19FD"/>
    <w:rPr>
      <w:rFonts w:ascii="Times New Roman" w:eastAsia="Times New Roman" w:hAnsi="Times New Roman" w:cs="Times New Roman"/>
      <w:b/>
      <w:color w:val="918585"/>
      <w:sz w:val="20"/>
      <w:szCs w:val="20"/>
      <w:lang w:eastAsia="en-US"/>
    </w:rPr>
  </w:style>
  <w:style w:type="character" w:customStyle="1" w:styleId="Heading6Char">
    <w:name w:val="Heading 6 Char"/>
    <w:basedOn w:val="DefaultParagraphFont"/>
    <w:link w:val="Heading6"/>
    <w:rsid w:val="009D19FD"/>
    <w:rPr>
      <w:rFonts w:ascii="Times New Roman" w:eastAsia="Times New Roman" w:hAnsi="Times New Roman" w:cs="Times New Roman"/>
      <w:b/>
      <w:color w:val="918585"/>
      <w:sz w:val="20"/>
      <w:szCs w:val="20"/>
      <w:lang w:eastAsia="en-US"/>
    </w:rPr>
  </w:style>
  <w:style w:type="character" w:customStyle="1" w:styleId="Heading7Char">
    <w:name w:val="Heading 7 Char"/>
    <w:basedOn w:val="DefaultParagraphFont"/>
    <w:link w:val="Heading7"/>
    <w:rsid w:val="009D19FD"/>
    <w:rPr>
      <w:rFonts w:ascii="Courier New" w:eastAsia="Times New Roman" w:hAnsi="Courier New" w:cs="Times New Roman"/>
      <w:i/>
      <w:szCs w:val="20"/>
      <w:lang w:eastAsia="en-US"/>
    </w:rPr>
  </w:style>
  <w:style w:type="character" w:customStyle="1" w:styleId="Heading8Char">
    <w:name w:val="Heading 8 Char"/>
    <w:basedOn w:val="DefaultParagraphFont"/>
    <w:link w:val="Heading8"/>
    <w:rsid w:val="009D19FD"/>
    <w:rPr>
      <w:rFonts w:ascii="Courier New" w:eastAsia="Times New Roman" w:hAnsi="Courier New" w:cs="Times New Roman"/>
      <w:i/>
      <w:szCs w:val="20"/>
      <w:lang w:eastAsia="en-US"/>
    </w:rPr>
  </w:style>
  <w:style w:type="character" w:customStyle="1" w:styleId="Heading9Char">
    <w:name w:val="Heading 9 Char"/>
    <w:basedOn w:val="DefaultParagraphFont"/>
    <w:link w:val="Heading9"/>
    <w:rsid w:val="009D19FD"/>
    <w:rPr>
      <w:rFonts w:ascii="Courier New" w:eastAsia="Times New Roman" w:hAnsi="Courier New" w:cs="Times New Roman"/>
      <w:i/>
      <w:szCs w:val="20"/>
      <w:lang w:eastAsia="en-US"/>
    </w:rPr>
  </w:style>
  <w:style w:type="paragraph" w:customStyle="1" w:styleId="HeadingBase">
    <w:name w:val="Heading Base"/>
    <w:rsid w:val="009D19FD"/>
    <w:pPr>
      <w:keepNext/>
      <w:spacing w:after="0" w:line="240" w:lineRule="auto"/>
    </w:pPr>
    <w:rPr>
      <w:rFonts w:ascii="Times New Roman" w:eastAsia="Times New Roman" w:hAnsi="Times New Roman" w:cs="Times New Roman"/>
      <w:b/>
      <w:sz w:val="24"/>
      <w:szCs w:val="20"/>
      <w:lang w:eastAsia="en-US"/>
    </w:rPr>
  </w:style>
  <w:style w:type="paragraph" w:styleId="TOC3">
    <w:name w:val="toc 3"/>
    <w:basedOn w:val="TOCBase"/>
    <w:next w:val="Normal"/>
    <w:semiHidden/>
    <w:rsid w:val="009D19FD"/>
    <w:pPr>
      <w:tabs>
        <w:tab w:val="right" w:leader="dot" w:pos="9072"/>
      </w:tabs>
      <w:ind w:left="567"/>
    </w:pPr>
    <w:rPr>
      <w:szCs w:val="22"/>
    </w:rPr>
  </w:style>
  <w:style w:type="paragraph" w:customStyle="1" w:styleId="TOCBase">
    <w:name w:val="TOC Base"/>
    <w:rsid w:val="009D19FD"/>
    <w:pPr>
      <w:spacing w:after="0" w:line="240" w:lineRule="auto"/>
    </w:pPr>
    <w:rPr>
      <w:rFonts w:ascii="Garamond" w:eastAsia="Times New Roman" w:hAnsi="Garamond" w:cs="Times New Roman"/>
      <w:noProof/>
      <w:sz w:val="20"/>
      <w:szCs w:val="20"/>
      <w:lang w:eastAsia="en-US"/>
    </w:rPr>
  </w:style>
  <w:style w:type="paragraph" w:styleId="TOC2">
    <w:name w:val="toc 2"/>
    <w:basedOn w:val="TOCBase"/>
    <w:next w:val="Normal"/>
    <w:rsid w:val="009D19FD"/>
    <w:pPr>
      <w:tabs>
        <w:tab w:val="right" w:leader="dot" w:pos="9072"/>
      </w:tabs>
      <w:spacing w:before="40" w:after="40"/>
      <w:ind w:left="284"/>
    </w:pPr>
    <w:rPr>
      <w:rFonts w:ascii="Times New Roman" w:hAnsi="Times New Roman"/>
    </w:rPr>
  </w:style>
  <w:style w:type="paragraph" w:styleId="TOC1">
    <w:name w:val="toc 1"/>
    <w:basedOn w:val="TOCBase"/>
    <w:next w:val="Normal"/>
    <w:rsid w:val="009D19FD"/>
    <w:pPr>
      <w:keepNext/>
      <w:tabs>
        <w:tab w:val="right" w:leader="dot" w:pos="9072"/>
      </w:tabs>
      <w:spacing w:before="120" w:after="60"/>
    </w:pPr>
    <w:rPr>
      <w:rFonts w:ascii="Times New Roman" w:hAnsi="Times New Roman"/>
      <w:b/>
      <w:szCs w:val="24"/>
    </w:rPr>
  </w:style>
  <w:style w:type="paragraph" w:styleId="Footer">
    <w:name w:val="footer"/>
    <w:basedOn w:val="Normal"/>
    <w:link w:val="FooterChar"/>
    <w:rsid w:val="009D19FD"/>
    <w:pPr>
      <w:framePr w:w="9112" w:wrap="around" w:vAnchor="text" w:hAnchor="page" w:x="1419" w:y="1" w:anchorLock="1"/>
      <w:pBdr>
        <w:top w:val="single" w:sz="4" w:space="1" w:color="auto"/>
      </w:pBdr>
      <w:tabs>
        <w:tab w:val="right" w:pos="9072"/>
      </w:tabs>
      <w:spacing w:before="120"/>
    </w:pPr>
    <w:rPr>
      <w:rFonts w:ascii="Times New Roman" w:hAnsi="Times New Roman"/>
      <w:sz w:val="16"/>
      <w:szCs w:val="22"/>
    </w:rPr>
  </w:style>
  <w:style w:type="character" w:customStyle="1" w:styleId="FooterChar">
    <w:name w:val="Footer Char"/>
    <w:basedOn w:val="DefaultParagraphFont"/>
    <w:link w:val="Footer"/>
    <w:rsid w:val="009D19FD"/>
    <w:rPr>
      <w:rFonts w:ascii="Times New Roman" w:eastAsia="Times New Roman" w:hAnsi="Times New Roman" w:cs="Times New Roman"/>
      <w:sz w:val="16"/>
      <w:lang w:eastAsia="en-US"/>
    </w:rPr>
  </w:style>
  <w:style w:type="paragraph" w:styleId="Title">
    <w:name w:val="Title"/>
    <w:basedOn w:val="HeadingBase"/>
    <w:link w:val="TitleChar"/>
    <w:qFormat/>
    <w:rsid w:val="009D19FD"/>
    <w:pPr>
      <w:spacing w:before="5040"/>
      <w:jc w:val="center"/>
    </w:pPr>
    <w:rPr>
      <w:sz w:val="48"/>
      <w:szCs w:val="72"/>
      <w:lang w:val="en-US"/>
    </w:rPr>
  </w:style>
  <w:style w:type="character" w:customStyle="1" w:styleId="TitleChar">
    <w:name w:val="Title Char"/>
    <w:basedOn w:val="DefaultParagraphFont"/>
    <w:link w:val="Title"/>
    <w:rsid w:val="009D19FD"/>
    <w:rPr>
      <w:rFonts w:ascii="Times New Roman" w:eastAsia="Times New Roman" w:hAnsi="Times New Roman" w:cs="Times New Roman"/>
      <w:b/>
      <w:sz w:val="48"/>
      <w:szCs w:val="72"/>
      <w:lang w:val="en-US" w:eastAsia="en-US"/>
    </w:rPr>
  </w:style>
  <w:style w:type="paragraph" w:customStyle="1" w:styleId="Figures">
    <w:name w:val="Figures"/>
    <w:basedOn w:val="BodyText"/>
    <w:next w:val="Normal"/>
    <w:rsid w:val="009D19FD"/>
    <w:pPr>
      <w:tabs>
        <w:tab w:val="left" w:pos="3600"/>
        <w:tab w:val="left" w:pos="3958"/>
      </w:tabs>
    </w:pPr>
  </w:style>
  <w:style w:type="paragraph" w:styleId="List">
    <w:name w:val="List"/>
    <w:basedOn w:val="BodyText"/>
    <w:next w:val="BodyText"/>
    <w:rsid w:val="009D19FD"/>
    <w:pPr>
      <w:tabs>
        <w:tab w:val="left" w:pos="340"/>
      </w:tabs>
      <w:spacing w:before="60" w:after="60"/>
      <w:ind w:left="340" w:hanging="340"/>
    </w:pPr>
  </w:style>
  <w:style w:type="paragraph" w:customStyle="1" w:styleId="Note">
    <w:name w:val="Note"/>
    <w:basedOn w:val="BodyText"/>
    <w:rsid w:val="009D19FD"/>
    <w:pPr>
      <w:pBdr>
        <w:top w:val="single" w:sz="6" w:space="2" w:color="auto"/>
        <w:left w:val="single" w:sz="6" w:space="4" w:color="auto"/>
        <w:bottom w:val="single" w:sz="6" w:space="2" w:color="auto"/>
        <w:right w:val="single" w:sz="6" w:space="4" w:color="auto"/>
      </w:pBdr>
      <w:tabs>
        <w:tab w:val="left" w:pos="680"/>
      </w:tabs>
    </w:pPr>
  </w:style>
  <w:style w:type="paragraph" w:customStyle="1" w:styleId="SuperTitle">
    <w:name w:val="SuperTitle"/>
    <w:basedOn w:val="Title"/>
    <w:rsid w:val="009D19FD"/>
    <w:pPr>
      <w:framePr w:wrap="auto" w:hAnchor="text" w:y="6049"/>
    </w:pPr>
    <w:rPr>
      <w:color w:val="000000"/>
      <w:sz w:val="40"/>
    </w:rPr>
  </w:style>
  <w:style w:type="paragraph" w:customStyle="1" w:styleId="TOCTitle">
    <w:name w:val="TOCTitle"/>
    <w:basedOn w:val="Heading1"/>
    <w:rsid w:val="009D19FD"/>
    <w:pPr>
      <w:spacing w:after="240"/>
      <w:jc w:val="center"/>
      <w:outlineLvl w:val="9"/>
    </w:pPr>
    <w:rPr>
      <w:caps/>
    </w:rPr>
  </w:style>
  <w:style w:type="paragraph" w:customStyle="1" w:styleId="Version">
    <w:name w:val="Version"/>
    <w:rsid w:val="009D19FD"/>
    <w:pPr>
      <w:spacing w:before="5600" w:after="0" w:line="240" w:lineRule="auto"/>
    </w:pPr>
    <w:rPr>
      <w:rFonts w:ascii="Times New Roman" w:eastAsia="Times New Roman" w:hAnsi="Times New Roman" w:cs="Times New Roman"/>
      <w:b/>
      <w:sz w:val="20"/>
      <w:szCs w:val="72"/>
      <w:lang w:val="en-US" w:eastAsia="en-US"/>
    </w:rPr>
  </w:style>
  <w:style w:type="paragraph" w:styleId="Index1">
    <w:name w:val="index 1"/>
    <w:basedOn w:val="Normal"/>
    <w:next w:val="Normal"/>
    <w:semiHidden/>
    <w:rsid w:val="009D19FD"/>
    <w:pPr>
      <w:keepNext w:val="0"/>
      <w:tabs>
        <w:tab w:val="right" w:pos="4176"/>
      </w:tabs>
      <w:ind w:left="198" w:hanging="198"/>
    </w:pPr>
    <w:rPr>
      <w:rFonts w:ascii="Garamond" w:hAnsi="Garamond"/>
    </w:rPr>
  </w:style>
  <w:style w:type="paragraph" w:styleId="IndexHeading">
    <w:name w:val="index heading"/>
    <w:basedOn w:val="Normal"/>
    <w:next w:val="Index1"/>
    <w:semiHidden/>
    <w:rsid w:val="009D19FD"/>
    <w:pPr>
      <w:spacing w:before="120" w:after="120"/>
    </w:pPr>
    <w:rPr>
      <w:rFonts w:ascii="Arial" w:hAnsi="Arial"/>
      <w:b/>
      <w:color w:val="918585"/>
      <w:sz w:val="24"/>
    </w:rPr>
  </w:style>
  <w:style w:type="paragraph" w:styleId="Header">
    <w:name w:val="header"/>
    <w:basedOn w:val="Normal"/>
    <w:link w:val="HeaderChar"/>
    <w:rsid w:val="009D19FD"/>
    <w:pPr>
      <w:keepNext w:val="0"/>
      <w:keepLines w:val="0"/>
      <w:framePr w:w="9214" w:wrap="around" w:vAnchor="text" w:hAnchor="page" w:x="1419" w:y="1"/>
      <w:pBdr>
        <w:bottom w:val="single" w:sz="4" w:space="1" w:color="auto"/>
      </w:pBdr>
      <w:tabs>
        <w:tab w:val="right" w:pos="9072"/>
      </w:tabs>
    </w:pPr>
    <w:rPr>
      <w:rFonts w:ascii="Times New Roman" w:hAnsi="Times New Roman"/>
      <w:sz w:val="16"/>
      <w:lang w:val="en-GB"/>
    </w:rPr>
  </w:style>
  <w:style w:type="character" w:customStyle="1" w:styleId="HeaderChar">
    <w:name w:val="Header Char"/>
    <w:basedOn w:val="DefaultParagraphFont"/>
    <w:link w:val="Header"/>
    <w:rsid w:val="009D19FD"/>
    <w:rPr>
      <w:rFonts w:ascii="Times New Roman" w:eastAsia="Times New Roman" w:hAnsi="Times New Roman" w:cs="Times New Roman"/>
      <w:sz w:val="16"/>
      <w:szCs w:val="20"/>
      <w:lang w:val="en-GB" w:eastAsia="en-US"/>
    </w:rPr>
  </w:style>
  <w:style w:type="paragraph" w:customStyle="1" w:styleId="Chapter">
    <w:name w:val="Chapter"/>
    <w:basedOn w:val="Normal"/>
    <w:rsid w:val="009D19FD"/>
    <w:pPr>
      <w:spacing w:before="240"/>
    </w:pPr>
    <w:rPr>
      <w:rFonts w:ascii="Times New Roman" w:hAnsi="Times New Roman"/>
      <w:smallCaps/>
      <w:spacing w:val="80"/>
      <w:sz w:val="28"/>
    </w:rPr>
  </w:style>
  <w:style w:type="paragraph" w:customStyle="1" w:styleId="InChapter">
    <w:name w:val="InChapter"/>
    <w:basedOn w:val="Heading3"/>
    <w:rsid w:val="009D19FD"/>
    <w:pPr>
      <w:spacing w:after="240"/>
      <w:outlineLvl w:val="9"/>
    </w:pPr>
    <w:rPr>
      <w:noProof/>
    </w:rPr>
  </w:style>
  <w:style w:type="paragraph" w:styleId="Index2">
    <w:name w:val="index 2"/>
    <w:basedOn w:val="Normal"/>
    <w:next w:val="Normal"/>
    <w:semiHidden/>
    <w:rsid w:val="009D19FD"/>
    <w:pPr>
      <w:tabs>
        <w:tab w:val="right" w:pos="4176"/>
      </w:tabs>
      <w:ind w:left="568" w:hanging="284"/>
    </w:pPr>
    <w:rPr>
      <w:rFonts w:ascii="Garamond" w:hAnsi="Garamond"/>
    </w:rPr>
  </w:style>
  <w:style w:type="paragraph" w:customStyle="1" w:styleId="Byline">
    <w:name w:val="Byline"/>
    <w:rsid w:val="009D19FD"/>
    <w:pPr>
      <w:framePr w:wrap="around" w:vAnchor="page" w:hAnchor="page" w:x="1666" w:y="13933"/>
      <w:spacing w:after="0" w:line="240" w:lineRule="auto"/>
    </w:pPr>
    <w:rPr>
      <w:rFonts w:ascii="Times New Roman" w:eastAsia="Times New Roman" w:hAnsi="Times New Roman" w:cs="Times New Roman"/>
      <w:color w:val="000000"/>
      <w:sz w:val="24"/>
      <w:szCs w:val="28"/>
      <w:lang w:val="en-US" w:eastAsia="en-US"/>
    </w:rPr>
  </w:style>
  <w:style w:type="paragraph" w:customStyle="1" w:styleId="Drawings">
    <w:name w:val="Drawings"/>
    <w:basedOn w:val="Figures"/>
    <w:rsid w:val="009D19FD"/>
    <w:pPr>
      <w:tabs>
        <w:tab w:val="clear" w:pos="3600"/>
        <w:tab w:val="clear" w:pos="3958"/>
      </w:tabs>
      <w:jc w:val="right"/>
    </w:pPr>
  </w:style>
  <w:style w:type="character" w:styleId="Emphasis">
    <w:name w:val="Emphasis"/>
    <w:basedOn w:val="DefaultParagraphFont"/>
    <w:qFormat/>
    <w:rsid w:val="009D19FD"/>
    <w:rPr>
      <w:i/>
    </w:rPr>
  </w:style>
  <w:style w:type="paragraph" w:styleId="Caption">
    <w:name w:val="caption"/>
    <w:basedOn w:val="BodyText"/>
    <w:next w:val="Normal"/>
    <w:qFormat/>
    <w:rsid w:val="009D19FD"/>
    <w:pPr>
      <w:framePr w:w="2268" w:hSpace="181" w:vSpace="181" w:wrap="around" w:vAnchor="text" w:hAnchor="page" w:x="1135" w:y="285" w:anchorLock="1"/>
    </w:pPr>
    <w:rPr>
      <w:i/>
    </w:rPr>
  </w:style>
  <w:style w:type="paragraph" w:customStyle="1" w:styleId="MiniTOCTitle">
    <w:name w:val="MiniTOCTitle"/>
    <w:basedOn w:val="Heading4"/>
    <w:rsid w:val="009D19FD"/>
    <w:pPr>
      <w:spacing w:before="240"/>
      <w:outlineLvl w:val="9"/>
    </w:pPr>
    <w:rPr>
      <w:noProof/>
      <w:sz w:val="24"/>
    </w:rPr>
  </w:style>
  <w:style w:type="paragraph" w:customStyle="1" w:styleId="MiniTOCItem">
    <w:name w:val="MiniTOCItem"/>
    <w:basedOn w:val="ListBullet"/>
    <w:rsid w:val="009D19FD"/>
    <w:pPr>
      <w:numPr>
        <w:numId w:val="0"/>
      </w:numPr>
      <w:tabs>
        <w:tab w:val="right" w:leader="dot" w:pos="6521"/>
      </w:tabs>
      <w:spacing w:before="0" w:after="0"/>
    </w:pPr>
  </w:style>
  <w:style w:type="paragraph" w:customStyle="1" w:styleId="TOFTitle">
    <w:name w:val="TOFTitle"/>
    <w:basedOn w:val="TOCTitle"/>
    <w:rsid w:val="009D19FD"/>
  </w:style>
  <w:style w:type="paragraph" w:styleId="TableofFigures">
    <w:name w:val="table of figures"/>
    <w:basedOn w:val="Normal"/>
    <w:next w:val="Normal"/>
    <w:semiHidden/>
    <w:rsid w:val="009D19FD"/>
    <w:pPr>
      <w:tabs>
        <w:tab w:val="right" w:leader="dot" w:pos="9072"/>
      </w:tabs>
      <w:ind w:left="970" w:hanging="403"/>
    </w:pPr>
    <w:rPr>
      <w:rFonts w:ascii="Times New Roman" w:hAnsi="Times New Roman"/>
      <w:b/>
    </w:rPr>
  </w:style>
  <w:style w:type="paragraph" w:styleId="ListNumber">
    <w:name w:val="List Number"/>
    <w:basedOn w:val="List"/>
    <w:rsid w:val="009D19FD"/>
    <w:pPr>
      <w:numPr>
        <w:numId w:val="11"/>
      </w:numPr>
    </w:pPr>
  </w:style>
  <w:style w:type="character" w:customStyle="1" w:styleId="WingdingSymbols">
    <w:name w:val="Wingding Symbols"/>
    <w:rsid w:val="009D19FD"/>
    <w:rPr>
      <w:rFonts w:ascii="Wingdings" w:hAnsi="Wingdings"/>
    </w:rPr>
  </w:style>
  <w:style w:type="paragraph" w:customStyle="1" w:styleId="TableHeading">
    <w:name w:val="Table Heading"/>
    <w:basedOn w:val="HeadingBase"/>
    <w:rsid w:val="009D19FD"/>
    <w:pPr>
      <w:keepLines/>
      <w:pBdr>
        <w:bottom w:val="single" w:sz="6" w:space="1" w:color="918585"/>
      </w:pBdr>
      <w:spacing w:before="240"/>
    </w:pPr>
  </w:style>
  <w:style w:type="character" w:customStyle="1" w:styleId="HotSpot">
    <w:name w:val="HotSpot"/>
    <w:rsid w:val="009D19FD"/>
    <w:rPr>
      <w:color w:val="0033CC"/>
      <w:u w:val="none"/>
    </w:rPr>
  </w:style>
  <w:style w:type="paragraph" w:customStyle="1" w:styleId="BodyTextRight">
    <w:name w:val="Body Text Right"/>
    <w:basedOn w:val="BodyText"/>
    <w:rsid w:val="009D19FD"/>
    <w:pPr>
      <w:spacing w:before="0" w:after="0"/>
      <w:jc w:val="right"/>
    </w:pPr>
  </w:style>
  <w:style w:type="paragraph" w:styleId="Index3">
    <w:name w:val="index 3"/>
    <w:basedOn w:val="ListNumber2"/>
    <w:next w:val="Normal"/>
    <w:semiHidden/>
    <w:rsid w:val="009D19FD"/>
    <w:pPr>
      <w:numPr>
        <w:numId w:val="0"/>
      </w:numPr>
      <w:tabs>
        <w:tab w:val="right" w:leader="dot" w:pos="4176"/>
      </w:tabs>
    </w:pPr>
  </w:style>
  <w:style w:type="paragraph" w:styleId="ListNumber2">
    <w:name w:val="List Number 2"/>
    <w:basedOn w:val="List2"/>
    <w:rsid w:val="009D19FD"/>
    <w:pPr>
      <w:numPr>
        <w:numId w:val="10"/>
      </w:numPr>
      <w:tabs>
        <w:tab w:val="clear" w:pos="1060"/>
      </w:tabs>
    </w:pPr>
  </w:style>
  <w:style w:type="paragraph" w:customStyle="1" w:styleId="MarginNote">
    <w:name w:val="Margin Note"/>
    <w:basedOn w:val="BodyText"/>
    <w:rsid w:val="009D19FD"/>
    <w:pPr>
      <w:pBdr>
        <w:top w:val="single" w:sz="6" w:space="6" w:color="FFFFFF"/>
        <w:bottom w:val="single" w:sz="6" w:space="6" w:color="FFFFFF"/>
      </w:pBdr>
      <w:shd w:val="pct10" w:color="auto" w:fill="auto"/>
      <w:tabs>
        <w:tab w:val="left" w:pos="567"/>
      </w:tabs>
      <w:spacing w:before="60" w:after="60"/>
    </w:pPr>
    <w:rPr>
      <w:rFonts w:ascii="Arial" w:hAnsi="Arial"/>
      <w:i/>
    </w:rPr>
  </w:style>
  <w:style w:type="paragraph" w:styleId="Subtitle">
    <w:name w:val="Subtitle"/>
    <w:basedOn w:val="Normal"/>
    <w:link w:val="SubtitleChar"/>
    <w:qFormat/>
    <w:rsid w:val="009D19FD"/>
    <w:pPr>
      <w:framePr w:wrap="around" w:vAnchor="page" w:hAnchor="page" w:x="1671" w:y="14401"/>
      <w:tabs>
        <w:tab w:val="left" w:pos="7230"/>
      </w:tabs>
      <w:jc w:val="center"/>
    </w:pPr>
    <w:rPr>
      <w:rFonts w:ascii="Times New Roman" w:hAnsi="Times New Roman"/>
      <w:b/>
      <w:sz w:val="20"/>
    </w:rPr>
  </w:style>
  <w:style w:type="character" w:customStyle="1" w:styleId="SubtitleChar">
    <w:name w:val="Subtitle Char"/>
    <w:basedOn w:val="DefaultParagraphFont"/>
    <w:link w:val="Subtitle"/>
    <w:rsid w:val="009D19FD"/>
    <w:rPr>
      <w:rFonts w:ascii="Times New Roman" w:eastAsia="Times New Roman" w:hAnsi="Times New Roman" w:cs="Times New Roman"/>
      <w:b/>
      <w:sz w:val="20"/>
      <w:szCs w:val="20"/>
      <w:lang w:eastAsia="en-US"/>
    </w:rPr>
  </w:style>
  <w:style w:type="paragraph" w:customStyle="1" w:styleId="GlossaryHeading">
    <w:name w:val="Glossary Heading"/>
    <w:basedOn w:val="HeadingBase"/>
    <w:rsid w:val="009D19FD"/>
    <w:rPr>
      <w:sz w:val="32"/>
    </w:rPr>
  </w:style>
  <w:style w:type="paragraph" w:customStyle="1" w:styleId="HeadingProcedure">
    <w:name w:val="Heading Procedure"/>
    <w:basedOn w:val="HeadingBase"/>
    <w:next w:val="Normal"/>
    <w:rsid w:val="009D19FD"/>
    <w:pPr>
      <w:tabs>
        <w:tab w:val="left" w:pos="0"/>
      </w:tabs>
      <w:spacing w:before="120" w:after="60"/>
    </w:pPr>
    <w:rPr>
      <w:i/>
      <w:color w:val="918585"/>
      <w:sz w:val="22"/>
    </w:rPr>
  </w:style>
  <w:style w:type="paragraph" w:customStyle="1" w:styleId="TableBodyText">
    <w:name w:val="Table Body Text"/>
    <w:basedOn w:val="BodyText"/>
    <w:rsid w:val="009D19FD"/>
    <w:pPr>
      <w:spacing w:before="60" w:after="60"/>
    </w:pPr>
  </w:style>
  <w:style w:type="paragraph" w:styleId="ListContinue">
    <w:name w:val="List Continue"/>
    <w:basedOn w:val="List"/>
    <w:rsid w:val="009D19FD"/>
    <w:pPr>
      <w:ind w:firstLine="0"/>
    </w:pPr>
  </w:style>
  <w:style w:type="paragraph" w:customStyle="1" w:styleId="ListNote">
    <w:name w:val="List Note"/>
    <w:basedOn w:val="List"/>
    <w:rsid w:val="009D19FD"/>
    <w:pPr>
      <w:pBdr>
        <w:top w:val="single" w:sz="6" w:space="2" w:color="918585"/>
        <w:bottom w:val="single" w:sz="6" w:space="2" w:color="918585"/>
      </w:pBdr>
      <w:tabs>
        <w:tab w:val="left" w:pos="1021"/>
      </w:tabs>
      <w:ind w:firstLine="0"/>
    </w:pPr>
  </w:style>
  <w:style w:type="paragraph" w:customStyle="1" w:styleId="Warning">
    <w:name w:val="Warning"/>
    <w:basedOn w:val="BodyText"/>
    <w:rsid w:val="009D19FD"/>
    <w:pPr>
      <w:shd w:val="clear" w:color="auto" w:fill="D9D9D9"/>
      <w:tabs>
        <w:tab w:val="left" w:pos="992"/>
      </w:tabs>
      <w:ind w:left="119" w:right="119"/>
    </w:pPr>
    <w:rPr>
      <w:sz w:val="20"/>
    </w:rPr>
  </w:style>
  <w:style w:type="paragraph" w:customStyle="1" w:styleId="MarginIcons">
    <w:name w:val="Margin Icons"/>
    <w:basedOn w:val="BodyText"/>
    <w:rsid w:val="009D19FD"/>
    <w:pPr>
      <w:framePr w:w="1134" w:wrap="around" w:vAnchor="text" w:hAnchor="page" w:x="1419" w:y="455" w:anchorLock="1"/>
      <w:spacing w:before="60" w:after="60"/>
      <w:jc w:val="right"/>
    </w:pPr>
    <w:rPr>
      <w:rFonts w:ascii="Trebuchet MS" w:hAnsi="Trebuchet MS"/>
      <w:b/>
    </w:rPr>
  </w:style>
  <w:style w:type="character" w:customStyle="1" w:styleId="Monospace">
    <w:name w:val="Monospace"/>
    <w:basedOn w:val="DefaultParagraphFont"/>
    <w:rsid w:val="009D19FD"/>
    <w:rPr>
      <w:rFonts w:ascii="Courier New" w:hAnsi="Courier New"/>
    </w:rPr>
  </w:style>
  <w:style w:type="paragraph" w:customStyle="1" w:styleId="NoteBullet">
    <w:name w:val="Note Bullet"/>
    <w:basedOn w:val="Note"/>
    <w:rsid w:val="009D19FD"/>
    <w:pPr>
      <w:tabs>
        <w:tab w:val="clear" w:pos="680"/>
      </w:tabs>
      <w:spacing w:before="60" w:after="60"/>
    </w:pPr>
  </w:style>
  <w:style w:type="paragraph" w:customStyle="1" w:styleId="SubHeading2">
    <w:name w:val="SubHeading2"/>
    <w:basedOn w:val="HeadingBase"/>
    <w:rsid w:val="009D19FD"/>
    <w:pPr>
      <w:spacing w:before="240" w:after="60"/>
    </w:pPr>
    <w:rPr>
      <w:sz w:val="20"/>
    </w:rPr>
  </w:style>
  <w:style w:type="paragraph" w:customStyle="1" w:styleId="SubHeading1">
    <w:name w:val="SubHeading1"/>
    <w:basedOn w:val="HeadingBase"/>
    <w:rsid w:val="009D19FD"/>
    <w:pPr>
      <w:spacing w:before="240" w:after="60"/>
    </w:pPr>
    <w:rPr>
      <w:color w:val="918585"/>
      <w:sz w:val="22"/>
    </w:rPr>
  </w:style>
  <w:style w:type="paragraph" w:customStyle="1" w:styleId="SideHeading">
    <w:name w:val="Side Heading"/>
    <w:basedOn w:val="HeadingBase"/>
    <w:rsid w:val="009D19FD"/>
    <w:pPr>
      <w:framePr w:w="2268" w:h="567" w:hRule="atLeast" w:hSpace="181" w:vSpace="181" w:wrap="around" w:vAnchor="text" w:hAnchor="page" w:x="1419" w:y="370" w:anchorLock="1"/>
    </w:pPr>
    <w:rPr>
      <w:sz w:val="22"/>
    </w:rPr>
  </w:style>
  <w:style w:type="paragraph" w:customStyle="1" w:styleId="TableListBullet">
    <w:name w:val="Table List Bullet"/>
    <w:basedOn w:val="ListBullet"/>
    <w:rsid w:val="009D19FD"/>
    <w:pPr>
      <w:numPr>
        <w:numId w:val="12"/>
      </w:numPr>
    </w:pPr>
  </w:style>
  <w:style w:type="paragraph" w:styleId="PlainText">
    <w:name w:val="Plain Text"/>
    <w:basedOn w:val="Normal"/>
    <w:link w:val="PlainTextChar"/>
    <w:rsid w:val="009D19FD"/>
    <w:rPr>
      <w:sz w:val="20"/>
    </w:rPr>
  </w:style>
  <w:style w:type="character" w:customStyle="1" w:styleId="PlainTextChar">
    <w:name w:val="Plain Text Char"/>
    <w:basedOn w:val="DefaultParagraphFont"/>
    <w:link w:val="PlainText"/>
    <w:rsid w:val="009D19FD"/>
    <w:rPr>
      <w:rFonts w:ascii="Courier New" w:eastAsia="Times New Roman" w:hAnsi="Courier New" w:cs="Times New Roman"/>
      <w:sz w:val="20"/>
      <w:szCs w:val="20"/>
      <w:lang w:eastAsia="en-US"/>
    </w:rPr>
  </w:style>
  <w:style w:type="character" w:customStyle="1" w:styleId="MenuOption">
    <w:name w:val="Menu Option"/>
    <w:basedOn w:val="DefaultParagraphFont"/>
    <w:rsid w:val="009D19FD"/>
    <w:rPr>
      <w:b/>
      <w:smallCaps/>
    </w:rPr>
  </w:style>
  <w:style w:type="paragraph" w:customStyle="1" w:styleId="TableListNumber">
    <w:name w:val="Table List Number"/>
    <w:basedOn w:val="ListNumber"/>
    <w:rsid w:val="009D19FD"/>
    <w:pPr>
      <w:numPr>
        <w:numId w:val="0"/>
      </w:numPr>
    </w:pPr>
  </w:style>
  <w:style w:type="paragraph" w:styleId="TOC4">
    <w:name w:val="toc 4"/>
    <w:basedOn w:val="TOCBase"/>
    <w:next w:val="Normal"/>
    <w:semiHidden/>
    <w:rsid w:val="009D19FD"/>
    <w:pPr>
      <w:tabs>
        <w:tab w:val="right" w:leader="dot" w:pos="9071"/>
      </w:tabs>
      <w:ind w:left="1701"/>
    </w:pPr>
  </w:style>
  <w:style w:type="paragraph" w:customStyle="1" w:styleId="ListAlpha">
    <w:name w:val="List Alpha"/>
    <w:basedOn w:val="List"/>
    <w:rsid w:val="009D19FD"/>
    <w:pPr>
      <w:numPr>
        <w:numId w:val="9"/>
      </w:numPr>
    </w:pPr>
  </w:style>
  <w:style w:type="paragraph" w:customStyle="1" w:styleId="ListAlpha2">
    <w:name w:val="List Alpha 2"/>
    <w:basedOn w:val="List2"/>
    <w:rsid w:val="009D19FD"/>
    <w:pPr>
      <w:numPr>
        <w:numId w:val="8"/>
      </w:numPr>
    </w:pPr>
  </w:style>
  <w:style w:type="paragraph" w:styleId="List2">
    <w:name w:val="List 2"/>
    <w:basedOn w:val="BodyText"/>
    <w:rsid w:val="009D19FD"/>
    <w:pPr>
      <w:tabs>
        <w:tab w:val="left" w:pos="680"/>
      </w:tabs>
      <w:spacing w:before="60" w:after="60"/>
      <w:ind w:left="680" w:hanging="340"/>
    </w:pPr>
  </w:style>
  <w:style w:type="paragraph" w:styleId="List3">
    <w:name w:val="List 3"/>
    <w:basedOn w:val="BodyText"/>
    <w:rsid w:val="009D19FD"/>
    <w:pPr>
      <w:tabs>
        <w:tab w:val="left" w:pos="1021"/>
      </w:tabs>
      <w:spacing w:before="60" w:after="60"/>
      <w:ind w:left="1020" w:hanging="340"/>
    </w:pPr>
  </w:style>
  <w:style w:type="paragraph" w:styleId="List4">
    <w:name w:val="List 4"/>
    <w:basedOn w:val="BodyText"/>
    <w:rsid w:val="009D19FD"/>
    <w:pPr>
      <w:tabs>
        <w:tab w:val="left" w:pos="1361"/>
      </w:tabs>
      <w:spacing w:before="60" w:after="60"/>
      <w:ind w:left="1361" w:hanging="340"/>
    </w:pPr>
  </w:style>
  <w:style w:type="paragraph" w:styleId="List5">
    <w:name w:val="List 5"/>
    <w:basedOn w:val="BodyText"/>
    <w:rsid w:val="009D19FD"/>
    <w:pPr>
      <w:tabs>
        <w:tab w:val="left" w:pos="1701"/>
      </w:tabs>
      <w:spacing w:before="60" w:after="60"/>
      <w:ind w:left="1701" w:hanging="340"/>
    </w:pPr>
  </w:style>
  <w:style w:type="paragraph" w:styleId="ListBullet3">
    <w:name w:val="List Bullet 3"/>
    <w:basedOn w:val="List3"/>
    <w:rsid w:val="009D19FD"/>
    <w:pPr>
      <w:numPr>
        <w:numId w:val="15"/>
      </w:numPr>
      <w:tabs>
        <w:tab w:val="clear" w:pos="1021"/>
      </w:tabs>
      <w:ind w:left="1037" w:hanging="357"/>
    </w:pPr>
  </w:style>
  <w:style w:type="paragraph" w:styleId="ListBullet4">
    <w:name w:val="List Bullet 4"/>
    <w:basedOn w:val="List4"/>
    <w:rsid w:val="009D19FD"/>
    <w:pPr>
      <w:numPr>
        <w:numId w:val="3"/>
      </w:numPr>
    </w:pPr>
  </w:style>
  <w:style w:type="paragraph" w:styleId="ListBullet5">
    <w:name w:val="List Bullet 5"/>
    <w:basedOn w:val="List5"/>
    <w:rsid w:val="009D19FD"/>
    <w:pPr>
      <w:numPr>
        <w:numId w:val="4"/>
      </w:numPr>
    </w:pPr>
  </w:style>
  <w:style w:type="paragraph" w:styleId="ListContinue2">
    <w:name w:val="List Continue 2"/>
    <w:basedOn w:val="List2"/>
    <w:rsid w:val="009D19FD"/>
    <w:pPr>
      <w:ind w:firstLine="0"/>
    </w:pPr>
  </w:style>
  <w:style w:type="paragraph" w:styleId="ListContinue3">
    <w:name w:val="List Continue 3"/>
    <w:basedOn w:val="List3"/>
    <w:rsid w:val="009D19FD"/>
    <w:pPr>
      <w:ind w:left="1021" w:firstLine="0"/>
    </w:pPr>
  </w:style>
  <w:style w:type="paragraph" w:styleId="ListContinue4">
    <w:name w:val="List Continue 4"/>
    <w:basedOn w:val="List4"/>
    <w:rsid w:val="009D19FD"/>
    <w:pPr>
      <w:ind w:firstLine="0"/>
    </w:pPr>
  </w:style>
  <w:style w:type="paragraph" w:styleId="ListContinue5">
    <w:name w:val="List Continue 5"/>
    <w:basedOn w:val="List5"/>
    <w:rsid w:val="009D19FD"/>
    <w:pPr>
      <w:ind w:firstLine="0"/>
    </w:pPr>
  </w:style>
  <w:style w:type="paragraph" w:styleId="ListNumber3">
    <w:name w:val="List Number 3"/>
    <w:basedOn w:val="List3"/>
    <w:rsid w:val="009D19FD"/>
    <w:pPr>
      <w:numPr>
        <w:numId w:val="5"/>
      </w:numPr>
    </w:pPr>
  </w:style>
  <w:style w:type="paragraph" w:styleId="ListNumber4">
    <w:name w:val="List Number 4"/>
    <w:basedOn w:val="List4"/>
    <w:rsid w:val="009D19FD"/>
    <w:pPr>
      <w:numPr>
        <w:numId w:val="6"/>
      </w:numPr>
    </w:pPr>
  </w:style>
  <w:style w:type="paragraph" w:styleId="ListNumber5">
    <w:name w:val="List Number 5"/>
    <w:basedOn w:val="List5"/>
    <w:rsid w:val="009D19FD"/>
    <w:pPr>
      <w:numPr>
        <w:numId w:val="7"/>
      </w:numPr>
    </w:pPr>
  </w:style>
  <w:style w:type="paragraph" w:styleId="BlockText">
    <w:name w:val="Block Text"/>
    <w:basedOn w:val="Normal"/>
    <w:rsid w:val="009D19FD"/>
    <w:pPr>
      <w:spacing w:after="120"/>
      <w:ind w:left="1440" w:right="1440"/>
    </w:pPr>
  </w:style>
  <w:style w:type="character" w:customStyle="1" w:styleId="Subscript">
    <w:name w:val="Subscript"/>
    <w:basedOn w:val="DefaultParagraphFont"/>
    <w:rsid w:val="009D19FD"/>
    <w:rPr>
      <w:sz w:val="16"/>
      <w:vertAlign w:val="subscript"/>
    </w:rPr>
  </w:style>
  <w:style w:type="character" w:customStyle="1" w:styleId="Superscript">
    <w:name w:val="Superscript"/>
    <w:basedOn w:val="DefaultParagraphFont"/>
    <w:rsid w:val="009D19FD"/>
    <w:rPr>
      <w:sz w:val="16"/>
      <w:vertAlign w:val="superscript"/>
    </w:rPr>
  </w:style>
  <w:style w:type="character" w:customStyle="1" w:styleId="Symbols">
    <w:name w:val="Symbols"/>
    <w:basedOn w:val="DefaultParagraphFont"/>
    <w:rsid w:val="009D19FD"/>
    <w:rPr>
      <w:rFonts w:ascii="Symbol" w:hAnsi="Symbol"/>
    </w:rPr>
  </w:style>
  <w:style w:type="character" w:customStyle="1" w:styleId="MenuOptions">
    <w:name w:val="Menu Options"/>
    <w:basedOn w:val="DefaultParagraphFont"/>
    <w:rsid w:val="009D19FD"/>
    <w:rPr>
      <w:rFonts w:ascii="Arial Narrow" w:hAnsi="Arial Narrow"/>
      <w:smallCaps/>
    </w:rPr>
  </w:style>
  <w:style w:type="character" w:customStyle="1" w:styleId="Buttons">
    <w:name w:val="Buttons"/>
    <w:basedOn w:val="DefaultParagraphFont"/>
    <w:rsid w:val="009D19FD"/>
    <w:rPr>
      <w:b/>
    </w:rPr>
  </w:style>
  <w:style w:type="character" w:customStyle="1" w:styleId="Underlined">
    <w:name w:val="Underlined"/>
    <w:basedOn w:val="DefaultParagraphFont"/>
    <w:rsid w:val="009D19FD"/>
    <w:rPr>
      <w:u w:val="single"/>
    </w:rPr>
  </w:style>
  <w:style w:type="paragraph" w:customStyle="1" w:styleId="TableBodyTextRight">
    <w:name w:val="Table Body Text Right"/>
    <w:basedOn w:val="TableBodyText"/>
    <w:rsid w:val="009D19FD"/>
    <w:pPr>
      <w:widowControl w:val="0"/>
      <w:autoSpaceDE w:val="0"/>
      <w:autoSpaceDN w:val="0"/>
      <w:adjustRightInd w:val="0"/>
      <w:jc w:val="right"/>
    </w:pPr>
    <w:rPr>
      <w:rFonts w:cs="Arial"/>
      <w:szCs w:val="18"/>
    </w:rPr>
  </w:style>
  <w:style w:type="paragraph" w:customStyle="1" w:styleId="CopyrightText">
    <w:name w:val="Copyright Text"/>
    <w:basedOn w:val="BodyText"/>
    <w:rsid w:val="009D19FD"/>
    <w:rPr>
      <w:sz w:val="18"/>
    </w:rPr>
  </w:style>
  <w:style w:type="paragraph" w:customStyle="1" w:styleId="BodySmallRight">
    <w:name w:val="Body Small Right"/>
    <w:basedOn w:val="BodyTextRight"/>
    <w:rsid w:val="009D19FD"/>
    <w:rPr>
      <w:sz w:val="18"/>
      <w:szCs w:val="18"/>
    </w:rPr>
  </w:style>
  <w:style w:type="paragraph" w:customStyle="1" w:styleId="MarginEdition">
    <w:name w:val="Margin Edition"/>
    <w:basedOn w:val="MarginNote"/>
    <w:rsid w:val="009D19FD"/>
    <w:pPr>
      <w:spacing w:before="0" w:after="0"/>
    </w:pPr>
    <w:rPr>
      <w:rFonts w:ascii="Times New Roman" w:hAnsi="Times New Roman"/>
      <w:color w:val="999999"/>
    </w:rPr>
  </w:style>
  <w:style w:type="paragraph" w:customStyle="1" w:styleId="Spacer">
    <w:name w:val="Spacer"/>
    <w:basedOn w:val="Normal"/>
    <w:rsid w:val="009D19FD"/>
    <w:rPr>
      <w:sz w:val="2"/>
      <w:szCs w:val="2"/>
    </w:rPr>
  </w:style>
  <w:style w:type="character" w:customStyle="1" w:styleId="Small">
    <w:name w:val="Small"/>
    <w:basedOn w:val="DefaultParagraphFont"/>
    <w:rsid w:val="009D19FD"/>
    <w:rPr>
      <w:sz w:val="16"/>
    </w:rPr>
  </w:style>
  <w:style w:type="paragraph" w:customStyle="1" w:styleId="WideTable">
    <w:name w:val="Wide Table"/>
    <w:basedOn w:val="Normal"/>
    <w:rsid w:val="009D19FD"/>
    <w:pPr>
      <w:ind w:left="-1418"/>
    </w:pPr>
    <w:rPr>
      <w:sz w:val="2"/>
      <w:szCs w:val="2"/>
    </w:rPr>
  </w:style>
  <w:style w:type="character" w:styleId="PageNumber">
    <w:name w:val="page number"/>
    <w:basedOn w:val="DefaultParagraphFont"/>
    <w:rsid w:val="009D19FD"/>
  </w:style>
  <w:style w:type="paragraph" w:styleId="Quote">
    <w:name w:val="Quote"/>
    <w:basedOn w:val="Heading1"/>
    <w:link w:val="QuoteChar"/>
    <w:qFormat/>
    <w:rsid w:val="009D19FD"/>
    <w:rPr>
      <w:b w:val="0"/>
      <w:sz w:val="72"/>
      <w:szCs w:val="72"/>
      <w:lang w:val="en-NZ"/>
    </w:rPr>
  </w:style>
  <w:style w:type="character" w:customStyle="1" w:styleId="QuoteChar">
    <w:name w:val="Quote Char"/>
    <w:basedOn w:val="DefaultParagraphFont"/>
    <w:link w:val="Quote"/>
    <w:rsid w:val="009D19FD"/>
    <w:rPr>
      <w:rFonts w:ascii="Times New Roman" w:eastAsia="Times New Roman" w:hAnsi="Times New Roman" w:cs="Times New Roman"/>
      <w:sz w:val="72"/>
      <w:szCs w:val="72"/>
      <w:lang w:val="en-NZ" w:eastAsia="en-US"/>
    </w:rPr>
  </w:style>
  <w:style w:type="paragraph" w:customStyle="1" w:styleId="ForcePageBreak">
    <w:name w:val="ForcePageBreak"/>
    <w:basedOn w:val="AllowPageBreak"/>
    <w:rsid w:val="009D19FD"/>
    <w:pPr>
      <w:pageBreakBefore/>
    </w:pPr>
  </w:style>
  <w:style w:type="paragraph" w:customStyle="1" w:styleId="Border">
    <w:name w:val="Border"/>
    <w:basedOn w:val="Normal"/>
    <w:qFormat/>
    <w:rsid w:val="009D19FD"/>
    <w:pPr>
      <w:pBdr>
        <w:top w:val="single" w:sz="18" w:space="1" w:color="auto"/>
      </w:pBdr>
    </w:pPr>
    <w:rPr>
      <w:rFonts w:ascii="Times New Roman" w:hAnsi="Times New Roman"/>
      <w:color w:val="FFFFFF"/>
      <w:sz w:val="2"/>
    </w:rPr>
  </w:style>
  <w:style w:type="character" w:styleId="IntenseEmphasis">
    <w:name w:val="Intense Emphasis"/>
    <w:basedOn w:val="DefaultParagraphFont"/>
    <w:uiPriority w:val="21"/>
    <w:qFormat/>
    <w:rsid w:val="009D19FD"/>
    <w:rPr>
      <w:b/>
      <w:bCs/>
      <w:i/>
      <w:iCs/>
      <w:color w:val="auto"/>
    </w:rPr>
  </w:style>
  <w:style w:type="paragraph" w:styleId="IntenseQuote">
    <w:name w:val="Intense Quote"/>
    <w:basedOn w:val="Normal"/>
    <w:next w:val="Normal"/>
    <w:link w:val="IntenseQuoteChar"/>
    <w:uiPriority w:val="30"/>
    <w:qFormat/>
    <w:rsid w:val="009D19FD"/>
    <w:pPr>
      <w:pBdr>
        <w:bottom w:val="single" w:sz="4" w:space="4" w:color="4F81BD"/>
      </w:pBdr>
      <w:spacing w:before="200" w:after="280"/>
      <w:ind w:left="936" w:right="936"/>
    </w:pPr>
    <w:rPr>
      <w:b/>
      <w:bCs/>
      <w:i/>
      <w:iCs/>
    </w:rPr>
  </w:style>
  <w:style w:type="character" w:customStyle="1" w:styleId="IntenseQuoteChar">
    <w:name w:val="Intense Quote Char"/>
    <w:basedOn w:val="DefaultParagraphFont"/>
    <w:link w:val="IntenseQuote"/>
    <w:uiPriority w:val="30"/>
    <w:rsid w:val="009D19FD"/>
    <w:rPr>
      <w:rFonts w:ascii="Courier New" w:eastAsia="Times New Roman" w:hAnsi="Courier New" w:cs="Times New Roman"/>
      <w:b/>
      <w:bCs/>
      <w:i/>
      <w:iCs/>
      <w:szCs w:val="20"/>
      <w:lang w:eastAsia="en-US"/>
    </w:rPr>
  </w:style>
  <w:style w:type="character" w:styleId="SubtleReference">
    <w:name w:val="Subtle Reference"/>
    <w:basedOn w:val="DefaultParagraphFont"/>
    <w:uiPriority w:val="31"/>
    <w:qFormat/>
    <w:rsid w:val="009D19FD"/>
    <w:rPr>
      <w:smallCaps/>
      <w:color w:val="auto"/>
      <w:u w:val="single"/>
    </w:rPr>
  </w:style>
  <w:style w:type="character" w:styleId="IntenseReference">
    <w:name w:val="Intense Reference"/>
    <w:basedOn w:val="DefaultParagraphFont"/>
    <w:uiPriority w:val="32"/>
    <w:qFormat/>
    <w:rsid w:val="009D19FD"/>
    <w:rPr>
      <w:b/>
      <w:bCs/>
      <w:smallCaps/>
      <w:color w:val="auto"/>
      <w:spacing w:val="5"/>
      <w:u w:val="single"/>
    </w:rPr>
  </w:style>
  <w:style w:type="paragraph" w:customStyle="1" w:styleId="2ColumnHeading">
    <w:name w:val="2Column Heading"/>
    <w:basedOn w:val="BodyText"/>
    <w:qFormat/>
    <w:rsid w:val="009D19FD"/>
    <w:pPr>
      <w:spacing w:after="60"/>
      <w:ind w:left="-2268"/>
    </w:pPr>
    <w:rPr>
      <w:b/>
    </w:rPr>
  </w:style>
  <w:style w:type="paragraph" w:customStyle="1" w:styleId="Heading1TOC">
    <w:name w:val="Heading1 TOC"/>
    <w:basedOn w:val="Normal"/>
    <w:qFormat/>
    <w:rsid w:val="009D19FD"/>
    <w:pPr>
      <w:spacing w:before="240" w:after="120"/>
    </w:pPr>
    <w:rPr>
      <w:rFonts w:ascii="Times New Roman" w:hAnsi="Times New Roman"/>
      <w:b/>
      <w:sz w:val="32"/>
    </w:rPr>
  </w:style>
  <w:style w:type="paragraph" w:customStyle="1" w:styleId="Heading2TOC">
    <w:name w:val="Heading2 TOC"/>
    <w:basedOn w:val="Normal"/>
    <w:qFormat/>
    <w:rsid w:val="009D19FD"/>
    <w:pPr>
      <w:spacing w:before="240" w:after="60"/>
    </w:pPr>
    <w:rPr>
      <w:rFonts w:ascii="Times New Roman" w:hAnsi="Times New Roman"/>
      <w:b/>
      <w:sz w:val="28"/>
    </w:rPr>
  </w:style>
  <w:style w:type="character" w:customStyle="1" w:styleId="Underline">
    <w:name w:val="Underline"/>
    <w:basedOn w:val="DefaultParagraphFont"/>
    <w:qFormat/>
    <w:rsid w:val="009D19FD"/>
    <w:rPr>
      <w:u w:val="single"/>
    </w:rPr>
  </w:style>
  <w:style w:type="paragraph" w:styleId="BalloonText">
    <w:name w:val="Balloon Text"/>
    <w:basedOn w:val="Normal"/>
    <w:link w:val="BalloonTextChar"/>
    <w:rsid w:val="009D19FD"/>
    <w:rPr>
      <w:rFonts w:ascii="Tahoma" w:hAnsi="Tahoma" w:cs="Tahoma"/>
      <w:sz w:val="16"/>
      <w:szCs w:val="16"/>
    </w:rPr>
  </w:style>
  <w:style w:type="character" w:customStyle="1" w:styleId="BalloonTextChar">
    <w:name w:val="Balloon Text Char"/>
    <w:basedOn w:val="DefaultParagraphFont"/>
    <w:link w:val="BalloonText"/>
    <w:rsid w:val="009D19FD"/>
    <w:rPr>
      <w:rFonts w:ascii="Tahoma" w:eastAsia="Times New Roman" w:hAnsi="Tahoma" w:cs="Tahoma"/>
      <w:sz w:val="16"/>
      <w:szCs w:val="16"/>
      <w:lang w:eastAsia="en-US"/>
    </w:rPr>
  </w:style>
  <w:style w:type="paragraph" w:styleId="BodyTextFirstIndent">
    <w:name w:val="Body Text First Indent"/>
    <w:basedOn w:val="BodyText"/>
    <w:link w:val="BodyTextFirstIndentChar"/>
    <w:rsid w:val="009D19FD"/>
    <w:pPr>
      <w:spacing w:before="0" w:after="0"/>
      <w:ind w:firstLine="360"/>
      <w:contextualSpacing w:val="0"/>
    </w:pPr>
    <w:rPr>
      <w:rFonts w:ascii="Courier New" w:hAnsi="Courier New"/>
      <w:szCs w:val="20"/>
    </w:rPr>
  </w:style>
  <w:style w:type="character" w:customStyle="1" w:styleId="BodyTextFirstIndentChar">
    <w:name w:val="Body Text First Indent Char"/>
    <w:basedOn w:val="BodyTextChar"/>
    <w:link w:val="BodyTextFirstIndent"/>
    <w:rsid w:val="009D19FD"/>
    <w:rPr>
      <w:rFonts w:ascii="Courier New" w:eastAsia="Times New Roman" w:hAnsi="Courier New" w:cs="Times New Roman"/>
      <w:sz w:val="24"/>
      <w:szCs w:val="20"/>
      <w:lang w:eastAsia="en-US"/>
    </w:rPr>
  </w:style>
  <w:style w:type="character" w:customStyle="1" w:styleId="SpecialBold2">
    <w:name w:val="Special Bold 2"/>
    <w:basedOn w:val="SpecialBold"/>
    <w:uiPriority w:val="1"/>
    <w:qFormat/>
    <w:rsid w:val="009D19FD"/>
    <w:rPr>
      <w:b/>
      <w:color w:val="660033"/>
      <w:spacing w:val="0"/>
    </w:rPr>
  </w:style>
  <w:style w:type="paragraph" w:customStyle="1" w:styleId="Nameditemlist">
    <w:name w:val="Named item list"/>
    <w:basedOn w:val="BodyText"/>
    <w:qFormat/>
    <w:rsid w:val="009D19FD"/>
    <w:pPr>
      <w:keepNext w:val="0"/>
      <w:tabs>
        <w:tab w:val="left" w:pos="2835"/>
      </w:tabs>
      <w:ind w:left="2835" w:hanging="2835"/>
    </w:pPr>
  </w:style>
</w:styles>
</file>

<file path=word/webSettings.xml><?xml version="1.0" encoding="utf-8"?>
<w:webSettings xmlns:r="http://schemas.openxmlformats.org/officeDocument/2006/relationships" xmlns:w="http://schemas.openxmlformats.org/wordprocessingml/2006/main">
  <w:optimizeForBrowser/>
  <w:allowPNG/>
</w:webSettings>
</file>

<file path=word/_rels/document.xml.rels>&#65279;<?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header" Target="header4.xml" /><Relationship Id="rId11" Type="http://schemas.openxmlformats.org/officeDocument/2006/relationships/footer" Target="footer4.xml" /><Relationship Id="rId12" Type="http://schemas.openxmlformats.org/officeDocument/2006/relationships/theme" Target="theme/theme1.xml" /><Relationship Id="rId13" Type="http://schemas.openxmlformats.org/officeDocument/2006/relationships/numbering" Target="numbering.xml" /><Relationship Id="rId14" Type="http://schemas.openxmlformats.org/officeDocument/2006/relationships/styles" Target="styles.xml" /><Relationship Id="rId2" Type="http://schemas.openxmlformats.org/officeDocument/2006/relationships/webSettings" Target="webSettings.xml" /><Relationship Id="rId3" Type="http://schemas.openxmlformats.org/officeDocument/2006/relationships/fontTable" Target="fontTable.xml" /><Relationship Id="rId4" Type="http://schemas.openxmlformats.org/officeDocument/2006/relationships/header" Target="header1.xml" /><Relationship Id="rId5" Type="http://schemas.openxmlformats.org/officeDocument/2006/relationships/header" Target="header2.xml" /><Relationship Id="rId6" Type="http://schemas.openxmlformats.org/officeDocument/2006/relationships/footer" Target="footer1.xml" /><Relationship Id="rId7" Type="http://schemas.openxmlformats.org/officeDocument/2006/relationships/footer" Target="footer2.xml" /><Relationship Id="rId8" Type="http://schemas.openxmlformats.org/officeDocument/2006/relationships/header" Target="header3.xml" /><Relationship Id="rId9" Type="http://schemas.openxmlformats.org/officeDocument/2006/relationships/footer" Target="footer3.xml" /></Relationships>
</file>

<file path=word/_rels/header2.xml.rels>&#65279;<?xml version="1.0" encoding="utf-8" standalone="yes"?><Relationships xmlns="http://schemas.openxmlformats.org/package/2006/relationships"><Relationship Id="rId1" Type="http://schemas.openxmlformats.org/officeDocument/2006/relationships/image" Target="media/image1.jpeg"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0</TotalTime>
  <Pages>9</Pages>
  <Words>1433</Words>
  <Characters>9388</Characters>
  <Application>Microsoft Office Word</Application>
  <DocSecurity>0</DocSecurity>
  <Lines>321</Lines>
  <Paragraphs>194</Paragraphs>
  <ScaleCrop>false</ScaleCrop>
  <Company>Author-it Software Corporation Ltd.</Company>
  <LinksUpToDate>false</LinksUpToDate>
  <CharactersWithSpaces>10747</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MARM5007A Survey vessel operational systems</dc:title>
  <dc:subject>Approved</dc:subject>
  <dc:creator>Transport &amp; Logistics Industry Skills Council</dc:creator>
  <cp:keywords>Release 1</cp:keywords>
  <dc:description>Review Date: 12 April 2008</dc:description>
  <cp:lastModifiedBy>TPCMS</cp:lastModifiedBy>
  <cp:revision>3</cp:revision>
  <dcterms:created xsi:type="dcterms:W3CDTF">2013-06-06T04:50:00Z</dcterms:created>
  <dcterms:modified xsi:type="dcterms:W3CDTF">2013-06-06T04:50:00Z</dcterms:modified>
</cp:coreProperties>
</file>