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49BA" w:rsidP="007E49B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MARM3003A Identify factors that affect a commercial vessels's fitness for purpose</w:t>
      </w:r>
      <w:r>
        <w:fldChar w:fldCharType="end"/>
      </w:r>
    </w:p>
    <w:p w:rsidR="007E49BA" w:rsidP="007E49BA">
      <w:pPr>
        <w:pStyle w:val="Version"/>
        <w:sectPr w:rsidSect="005814F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 1</w:t>
      </w:r>
      <w:r>
        <w:fldChar w:fldCharType="end"/>
      </w:r>
    </w:p>
    <w:p w:rsidR="00000000" w:rsidRPr="005814FA" w:rsidP="005814FA">
      <w:pPr>
        <w:pStyle w:val="SuperHeading"/>
      </w:pPr>
      <w:r w:rsidRPr="005814FA">
        <w:t>MARM3003A Identify factors that affect a commercial vessels's fitness for purpose</w:t>
      </w:r>
    </w:p>
    <w:p w:rsidR="00000000" w:rsidRPr="005814FA" w:rsidP="005814FA">
      <w:pPr>
        <w:pStyle w:val="Heading1"/>
      </w:pPr>
      <w:bookmarkStart w:id="1" w:name="O_538561"/>
      <w:bookmarkEnd w:id="1"/>
      <w:r w:rsidRPr="005814FA">
        <w:t>Modification History</w:t>
      </w:r>
    </w:p>
    <w:p w:rsidR="00000000" w:rsidRPr="005814FA" w:rsidP="005814FA">
      <w:pPr>
        <w:pStyle w:val="BodyText"/>
      </w:pPr>
      <w:r w:rsidRPr="005814FA">
        <w:t>Release 1</w:t>
      </w:r>
    </w:p>
    <w:p w:rsidR="00000000" w:rsidRPr="005814FA" w:rsidP="005814FA">
      <w:pPr>
        <w:pStyle w:val="BodyText"/>
      </w:pPr>
      <w:r w:rsidRPr="005814FA">
        <w:t>This is the first release of this unit.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2" w:name="O_538573"/>
      <w:bookmarkEnd w:id="2"/>
      <w:r w:rsidRPr="005814FA">
        <w:t>Unit Descriptor</w:t>
      </w:r>
    </w:p>
    <w:p w:rsidR="00000000" w:rsidRPr="005814FA" w:rsidP="005814FA">
      <w:pPr>
        <w:pStyle w:val="BodyText"/>
      </w:pPr>
      <w:r w:rsidRPr="005814FA">
        <w:t>This unit involves the skills and knowledge required to identify the construction and design characteristics that contribute to the watertight integrity and fitness for purpose of a commercial vessel.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3" w:name="O_538572"/>
      <w:bookmarkEnd w:id="3"/>
      <w:r w:rsidRPr="005814FA">
        <w:t>Application of the Unit</w:t>
      </w:r>
    </w:p>
    <w:p w:rsidR="00000000" w:rsidRPr="005814FA" w:rsidP="005814FA">
      <w:pPr>
        <w:pStyle w:val="BodyText"/>
      </w:pPr>
      <w:r w:rsidRPr="005814FA">
        <w:t>This unit appl</w:t>
      </w:r>
      <w:r w:rsidRPr="005814FA">
        <w:t>ies to people who assist marine surveyors or who undertake administration duties in the maritime industry and/or marine surveying sector.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4" w:name="O_538571"/>
      <w:bookmarkEnd w:id="4"/>
      <w:r w:rsidRPr="005814FA">
        <w:t>Licensing/Regulatory Information</w:t>
      </w:r>
    </w:p>
    <w:p w:rsidR="00000000" w:rsidRPr="005814FA" w:rsidP="005814FA">
      <w:pPr>
        <w:pStyle w:val="BodyText"/>
      </w:pPr>
      <w:r w:rsidRPr="005814FA">
        <w:t>Not applicable.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5" w:name="O_538570"/>
      <w:bookmarkEnd w:id="5"/>
      <w:r w:rsidRPr="005814FA">
        <w:t>Pre-Requisites</w:t>
      </w:r>
    </w:p>
    <w:p w:rsidR="00000000" w:rsidRPr="005814FA" w:rsidP="005814FA">
      <w:pPr>
        <w:pStyle w:val="BodyText"/>
      </w:pPr>
      <w:r w:rsidRPr="005814FA">
        <w:t>Not applicable.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6" w:name="O_538569"/>
      <w:bookmarkEnd w:id="6"/>
      <w:r w:rsidRPr="005814FA">
        <w:t>Employability Skills Information</w:t>
      </w:r>
    </w:p>
    <w:p w:rsidR="00000000" w:rsidRPr="005814FA" w:rsidP="005814FA">
      <w:pPr>
        <w:pStyle w:val="BodyText"/>
      </w:pPr>
      <w:r w:rsidRPr="005814FA">
        <w:t>This unit contains employability skills.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7" w:name="O_538568"/>
      <w:bookmarkEnd w:id="7"/>
      <w:r w:rsidRPr="005814FA">
        <w:t>Elements and Performance Criteria Pre-Content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76"/>
        <w:gridCol w:w="6864"/>
      </w:tblGrid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76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Elements describe the essential outcomes of a unit of competency.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Performance criteria describe the requir</w:t>
            </w:r>
            <w:r w:rsidRPr="005814FA">
              <w:t>ed performance needed to demonstrate achievement of the element. Assessment of performance is to be consistent with the evidence guide.</w:t>
            </w:r>
          </w:p>
        </w:tc>
      </w:tr>
    </w:tbl>
    <w:p w:rsidR="00000000" w:rsidRPr="005814FA" w:rsidP="005814FA">
      <w:pPr>
        <w:pStyle w:val="BodyText"/>
      </w:pP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8" w:name="O_538567"/>
      <w:bookmarkEnd w:id="8"/>
      <w:r w:rsidRPr="005814FA">
        <w:t>Elements and Performance Criteria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93"/>
        <w:gridCol w:w="1899"/>
        <w:gridCol w:w="584"/>
        <w:gridCol w:w="6864"/>
      </w:tblGrid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rPr>
                <w:rStyle w:val="SpecialBold"/>
              </w:rPr>
              <w:t>1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Plan for vessel survey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1.1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 xml:space="preserve">Range of </w:t>
            </w:r>
            <w:r w:rsidRPr="005814FA">
              <w:rPr>
                <w:rStyle w:val="BoldandItalics"/>
              </w:rPr>
              <w:t xml:space="preserve">commercial vessels </w:t>
            </w:r>
            <w:r w:rsidRPr="005814FA">
              <w:t>that may be surveyed or inspected are identified and survey regime for each is accurately documented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1.2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Hull shapes of typical commercial vessels are identified and verified for accuracy with surveyor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1.3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Type of survey to be carried out is accurately identified and basic survey plan is developed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rPr>
                <w:rStyle w:val="SpecialBold"/>
              </w:rPr>
              <w:t>2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Identify and explain structural components and materials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2.1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 xml:space="preserve">Types, properties and application of </w:t>
            </w:r>
            <w:r w:rsidRPr="005814FA">
              <w:rPr>
                <w:rStyle w:val="BoldandItalics"/>
              </w:rPr>
              <w:t>common materials</w:t>
            </w:r>
            <w:r w:rsidRPr="005814FA">
              <w:t xml:space="preserve"> used in construction of typical commercial ve</w:t>
            </w:r>
            <w:r w:rsidRPr="005814FA">
              <w:t>ssels are identified and noted in survey plan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2.2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 xml:space="preserve">Basic structural </w:t>
            </w:r>
            <w:r w:rsidRPr="005814FA">
              <w:rPr>
                <w:rStyle w:val="BoldandItalics"/>
              </w:rPr>
              <w:t xml:space="preserve">components </w:t>
            </w:r>
            <w:r w:rsidRPr="005814FA">
              <w:t>used on typical commercial vessels are correctly identified and noted in survey plan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2.3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Inspection requirements for materials and components are documented and verified with surveyor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rPr>
                <w:rStyle w:val="SpecialBold"/>
              </w:rPr>
              <w:t>3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Identify issues relating to vessel water and weather tight integrity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3.1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BoldandItalics"/>
              </w:rPr>
              <w:t>Range and types of deterioration</w:t>
            </w:r>
            <w:r w:rsidRPr="005814FA">
              <w:t xml:space="preserve"> that affect fitness for purpose of a vessel are iden</w:t>
            </w:r>
            <w:r w:rsidRPr="005814FA">
              <w:t>tified and confirmed with surveyor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3.2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BoldandItalics"/>
              </w:rPr>
              <w:t>Preservation and corrosion control methods</w:t>
            </w:r>
            <w:r w:rsidRPr="005814FA">
              <w:t xml:space="preserve"> to maintain fitness for purpose are outlined and confirmed with surveyor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3.3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Deterioration of vessel hull or structure is accurately identified either in water or on slipway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3.4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Typical requirements concerning watertight and weather tight structural integrity of vessels are identified and confirmed with surveyor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rPr>
                <w:rStyle w:val="SpecialBold"/>
              </w:rPr>
              <w:t>4</w:t>
            </w:r>
          </w:p>
        </w:tc>
        <w:tc>
          <w:tcPr>
            <w:tcW w:w="1899" w:type="dxa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Determine ves</w:t>
            </w:r>
            <w:r w:rsidRPr="005814FA">
              <w:rPr>
                <w:rStyle w:val="SpecialBold"/>
              </w:rPr>
              <w:t>sel reporting requirements</w:t>
            </w: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4.1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Need for vessel to be fit for its intended purpose is outlined and where questionable, is reported to</w:t>
            </w:r>
            <w:r w:rsidRPr="005814FA">
              <w:rPr>
                <w:rStyle w:val="BoldandItalics"/>
              </w:rPr>
              <w:t xml:space="preserve"> relevant personnel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4.2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 xml:space="preserve">Condition of vessel and related action is communicated clearly and concisely with others </w:t>
            </w:r>
          </w:p>
        </w:tc>
      </w:tr>
      <w:tr w:rsidTr="007E49BA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93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1899" w:type="dxa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8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4.3</w:t>
            </w:r>
          </w:p>
        </w:tc>
        <w:tc>
          <w:tcPr>
            <w:tcW w:w="68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Mandatory and regulatory reporting requirements in relation to general work practices are followed</w:t>
            </w:r>
          </w:p>
        </w:tc>
      </w:tr>
    </w:tbl>
    <w:p w:rsidR="00000000" w:rsidRPr="005814FA" w:rsidP="005814FA">
      <w:pPr>
        <w:pStyle w:val="BodyText"/>
      </w:pP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9" w:name="O_538566"/>
      <w:bookmarkEnd w:id="9"/>
      <w:r w:rsidRPr="005814FA">
        <w:t>Required Skills and Knowledge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This section describes the skills and knowledge required for this unit.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Required Skills: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Communicate effectively verbally and in writing when describing and reporting condition and fitness for purpose of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Follow required:</w:t>
            </w:r>
          </w:p>
          <w:p w:rsidR="00000000" w:rsidRPr="005814FA" w:rsidP="005814FA">
            <w:pPr>
              <w:pStyle w:val="ListBullet2"/>
            </w:pPr>
            <w:r w:rsidRPr="005814FA">
              <w:t>work health and safety (WHS)/occupational health and safety (OHS) procedures and precautions when moni</w:t>
            </w:r>
            <w:r w:rsidRPr="005814FA">
              <w:t>toring condition and fitness for purpose of commercial vessels</w:t>
            </w:r>
          </w:p>
          <w:p w:rsidR="00000000" w:rsidP="005814FA">
            <w:pPr>
              <w:pStyle w:val="ListBullet2"/>
              <w:rPr>
                <w:lang w:val="en-NZ"/>
              </w:rPr>
            </w:pPr>
            <w:r w:rsidRPr="005814FA">
              <w:t>work schedules according to organisational requirements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 xml:space="preserve">Read, interpret and apply instructions, stability book, vessel plans and specifications </w:t>
            </w:r>
            <w:r w:rsidRPr="005814FA">
              <w:t>relevant to inspecting condition and fitness for purpose of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Recognise routine indicators of deterioration when inspecting condition and fitness for purpose of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Use technical terms related to vessel construction, com</w:t>
            </w:r>
            <w:r w:rsidRPr="005814FA">
              <w:t>ponents and material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Work under supervision of a marine surveyor</w:t>
            </w:r>
          </w:p>
        </w:tc>
      </w:tr>
    </w:tbl>
    <w:p w:rsidR="00000000" w:rsidRPr="005814FA" w:rsidP="005814FA">
      <w:pPr>
        <w:pStyle w:val="BodyText"/>
      </w:pP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9196"/>
      </w:tblGrid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Required Knowledge: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 xml:space="preserve">Applicable commonwealth, state/territory legislation, regulations, standards, codes </w:t>
            </w:r>
            <w:r w:rsidRPr="005814FA">
              <w:t>of practice and established safe practices relevant to full range of processes for conducting a survey for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Causes and indicators of vessel deterioration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Construction, layout and subdivision requirements of a range of different commer</w:t>
            </w:r>
            <w:r w:rsidRPr="005814FA">
              <w:t>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Corrosion and deterioration control measures including surface preparation and coatings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Methods for determining fitness for purpose of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Principal stresses that act on structure of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Properties and application of materials used in constructing commercial vessels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WHS/OHS legislation, regulations, codes of practice, standards, policies and procedures</w:t>
            </w:r>
          </w:p>
        </w:tc>
      </w:tr>
    </w:tbl>
    <w:p w:rsidR="00000000" w:rsidRPr="005814FA" w:rsidP="005814FA">
      <w:pPr>
        <w:pStyle w:val="BodyText"/>
      </w:pP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10" w:name="O_538565"/>
      <w:bookmarkEnd w:id="10"/>
      <w:r w:rsidRPr="005814FA">
        <w:t>Evidence Guide</w:t>
      </w:r>
    </w:p>
    <w:tbl>
      <w:tblPr>
        <w:tblW w:w="949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40"/>
        <w:gridCol w:w="6159"/>
      </w:tblGrid>
      <w:tr w:rsidTr="005814F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The evidence guide provides advice on assessment and</w:t>
            </w:r>
            <w:r w:rsidRPr="005814FA">
              <w:t xml:space="preserve"> must be read in conjunction with the performance criteria, the required skills and knowledge, the range statement and the Assessment Guidelines for the Training Package.</w:t>
            </w:r>
          </w:p>
        </w:tc>
      </w:tr>
      <w:tr w:rsidTr="005814F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Critical aspect</w:t>
            </w:r>
            <w:r w:rsidRPr="005814FA">
              <w:rPr>
                <w:rStyle w:val="SpecialBold"/>
              </w:rPr>
              <w:t>s for assessment and evidence required to demonstrate competency in this unit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The evidence required to demonstrate competence in this unit must be relevant to and satisfy all of the requirements of the Elements, Performance Criteria, Required Skills, Requi</w:t>
            </w:r>
            <w:r w:rsidRPr="005814FA">
              <w:t>red Knowledge and include:</w:t>
            </w:r>
          </w:p>
          <w:p w:rsidR="00000000" w:rsidRPr="005814FA" w:rsidP="005814FA">
            <w:pPr>
              <w:pStyle w:val="ListBullet"/>
            </w:pPr>
            <w:r w:rsidRPr="005814FA">
              <w:t>developing effective planning documents</w:t>
            </w:r>
          </w:p>
          <w:p w:rsidR="00000000" w:rsidRPr="005814FA" w:rsidP="005814FA">
            <w:pPr>
              <w:pStyle w:val="ListBullet"/>
            </w:pPr>
            <w:r w:rsidRPr="005814FA">
              <w:t>providing the required amount of detail in reports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providing accurate and reliable information.</w:t>
            </w:r>
          </w:p>
        </w:tc>
      </w:tr>
      <w:tr w:rsidTr="005814F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Performance is demonstrated consistently o</w:t>
            </w:r>
            <w:r w:rsidRPr="005814FA">
              <w:t>ver time and in a suitable range of contexts.</w:t>
            </w:r>
          </w:p>
          <w:p w:rsidR="00000000" w:rsidRPr="005814FA" w:rsidP="005814FA">
            <w:pPr>
              <w:pStyle w:val="BodyText"/>
            </w:pPr>
            <w:r w:rsidRPr="005814FA">
              <w:t>Resources for assessment include access to:</w:t>
            </w:r>
          </w:p>
          <w:p w:rsidR="00000000" w:rsidRPr="005814FA" w:rsidP="005814FA">
            <w:pPr>
              <w:pStyle w:val="ListBullet"/>
            </w:pPr>
            <w:r w:rsidRPr="005814FA">
              <w:t>industry-approved marine operations site where identifying factors that affect fitness for purpose of a commercial vessel can be conducted</w:t>
            </w:r>
          </w:p>
          <w:p w:rsidR="00000000" w:rsidRPr="005814FA" w:rsidP="005814FA">
            <w:pPr>
              <w:pStyle w:val="ListBullet"/>
            </w:pPr>
            <w:r w:rsidRPr="005814FA">
              <w:t>tools, equipment and personal protective equipment currently used in industry</w:t>
            </w:r>
          </w:p>
          <w:p w:rsidR="00000000" w:rsidRPr="005814FA" w:rsidP="005814FA">
            <w:pPr>
              <w:pStyle w:val="ListBullet"/>
            </w:pPr>
            <w:r w:rsidRPr="005814FA">
              <w:t>relevant regulatory and equipment documentation that impacts on work activities</w:t>
            </w:r>
          </w:p>
          <w:p w:rsidR="00000000" w:rsidRPr="005814FA" w:rsidP="005814FA">
            <w:pPr>
              <w:pStyle w:val="ListBullet"/>
            </w:pPr>
            <w:r w:rsidRPr="005814FA">
              <w:t>range of relevant exercises, case studies and/or other simulated practical and knowledge assessmen</w:t>
            </w:r>
            <w:r w:rsidRPr="005814FA">
              <w:t>ts</w:t>
            </w:r>
          </w:p>
          <w:p w:rsidR="00000000" w:rsidRPr="005814FA" w:rsidP="005814FA">
            <w:pPr>
              <w:pStyle w:val="ListBullet"/>
            </w:pPr>
            <w:r w:rsidRPr="005814FA">
              <w:t>appropriate range of relevant operational situations in the workplace.</w:t>
            </w:r>
          </w:p>
          <w:p w:rsidR="00000000" w:rsidRPr="005814FA" w:rsidP="005814FA">
            <w:pPr>
              <w:pStyle w:val="BodyText"/>
            </w:pPr>
            <w:r w:rsidRPr="005814FA">
              <w:t>In both real and simulated environments, access is required to:</w:t>
            </w:r>
          </w:p>
          <w:p w:rsidR="00000000" w:rsidRPr="005814FA" w:rsidP="005814FA">
            <w:pPr>
              <w:pStyle w:val="ListBullet"/>
            </w:pPr>
            <w:r w:rsidRPr="005814FA">
              <w:t>relevant and appropriate materials and equipment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applicable documentation including workplace procedures, regulations</w:t>
            </w:r>
            <w:r w:rsidRPr="005814FA">
              <w:t>, codes of practice and operation manuals.</w:t>
            </w:r>
          </w:p>
        </w:tc>
      </w:tr>
      <w:tr w:rsidTr="005814F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Method of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Practical assessment must occur in an:</w:t>
            </w:r>
          </w:p>
          <w:p w:rsidR="00000000" w:rsidRPr="005814FA" w:rsidP="005814FA">
            <w:pPr>
              <w:pStyle w:val="ListBullet"/>
            </w:pPr>
            <w:r w:rsidRPr="005814FA">
              <w:t>appropriately simulated workplace environment and/or</w:t>
            </w:r>
          </w:p>
          <w:p w:rsidR="00000000" w:rsidRPr="005814FA" w:rsidP="005814FA">
            <w:pPr>
              <w:pStyle w:val="ListBullet"/>
            </w:pPr>
            <w:r w:rsidRPr="005814FA">
              <w:t>appropriate range of situations in the workplace.</w:t>
            </w:r>
          </w:p>
          <w:p w:rsidR="00000000" w:rsidRPr="005814FA" w:rsidP="005814FA">
            <w:pPr>
              <w:pStyle w:val="BodyText"/>
            </w:pPr>
            <w:r w:rsidRPr="005814FA">
              <w:t xml:space="preserve">A range of assessment methods should be used to </w:t>
            </w:r>
            <w:r w:rsidRPr="005814FA">
              <w:t>assess practical skills and knowledge. The following examples are appropriate to this unit:</w:t>
            </w:r>
          </w:p>
          <w:p w:rsidR="00000000" w:rsidRPr="005814FA" w:rsidP="005814FA">
            <w:pPr>
              <w:pStyle w:val="ListBullet"/>
            </w:pPr>
            <w:r w:rsidRPr="005814FA">
              <w:t>direct observation of the candidate identifying factors that affect fitness for purpose of a commercial vessel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direct observation of the candidate applying relevan</w:t>
            </w:r>
            <w:r w:rsidRPr="005814FA">
              <w:t>t WHS/OHS requirements and work practices.</w:t>
            </w:r>
          </w:p>
        </w:tc>
      </w:tr>
      <w:tr w:rsidTr="005814FA">
        <w:tblPrEx>
          <w:tblW w:w="949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rPr>
                <w:rStyle w:val="SpecialBold"/>
              </w:rPr>
              <w:t>Guidance information for assessment</w:t>
            </w:r>
          </w:p>
        </w:tc>
        <w:tc>
          <w:tcPr>
            <w:tcW w:w="615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BodyText"/>
            </w:pPr>
            <w:r w:rsidRPr="005814FA">
              <w:t>Holistic assessment with other units relevant to the industry sector, workplace and job role is recommended.</w:t>
            </w:r>
          </w:p>
          <w:p w:rsidR="00000000" w:rsidRPr="005814FA" w:rsidP="005814FA">
            <w:pPr>
              <w:pStyle w:val="BodyText"/>
            </w:pPr>
            <w:r w:rsidRPr="005814FA">
              <w:t>In all cases where practical assessment is used it should be combined with targeted questioning to assess Required Knowledge.</w:t>
            </w:r>
          </w:p>
          <w:p w:rsidR="00000000" w:rsidRPr="005814FA" w:rsidP="005814FA">
            <w:pPr>
              <w:pStyle w:val="BodyText"/>
            </w:pPr>
            <w:r w:rsidRPr="005814FA">
              <w:t xml:space="preserve">Assessment processes and techniques must be appropriate to the language and literacy requirements of the work being performed and </w:t>
            </w:r>
            <w:r w:rsidRPr="005814FA">
              <w:t>the capacity of the candidate.</w:t>
            </w:r>
          </w:p>
        </w:tc>
      </w:tr>
    </w:tbl>
    <w:p w:rsidR="00000000" w:rsidRPr="005814FA" w:rsidP="005814FA">
      <w:pPr>
        <w:pStyle w:val="BodyText"/>
      </w:pP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11" w:name="O_538564"/>
      <w:bookmarkEnd w:id="11"/>
      <w:r w:rsidRPr="005814FA">
        <w:t>Range Statement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86"/>
        <w:gridCol w:w="6610"/>
      </w:tblGrid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The range statement relates to the unit of competency as a whole. It allows for different work environments and situations that may affect performance. Bold italicised wording, if used in th</w:t>
            </w:r>
            <w:r w:rsidRPr="005814FA">
              <w:t>e performance criteria, is detailed below.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Commercial vessels must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Vessels defined as commercial in Marine Safety (Domestic Commercial Vessel) National Law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Common materials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Aluminium</w:t>
            </w:r>
          </w:p>
          <w:p w:rsidR="00000000" w:rsidRPr="005814FA" w:rsidP="005814FA">
            <w:pPr>
              <w:pStyle w:val="ListBullet"/>
            </w:pPr>
            <w:r w:rsidRPr="005814FA">
              <w:t>Ferro cement</w:t>
            </w:r>
          </w:p>
          <w:p w:rsidR="00000000" w:rsidRPr="005814FA" w:rsidP="005814FA">
            <w:pPr>
              <w:pStyle w:val="ListBullet"/>
            </w:pPr>
            <w:r w:rsidRPr="005814FA">
              <w:t>Fibre composites</w:t>
            </w:r>
          </w:p>
          <w:p w:rsidR="00000000" w:rsidRPr="005814FA" w:rsidP="005814FA">
            <w:pPr>
              <w:pStyle w:val="ListBullet"/>
            </w:pPr>
            <w:r w:rsidRPr="005814FA">
              <w:t>Fibre reinforced plastic</w:t>
            </w:r>
          </w:p>
          <w:p w:rsidR="00000000" w:rsidRPr="005814FA" w:rsidP="005814FA">
            <w:pPr>
              <w:pStyle w:val="ListBullet"/>
            </w:pPr>
            <w:r w:rsidRPr="005814FA">
              <w:t>Plywood</w:t>
            </w:r>
          </w:p>
          <w:p w:rsidR="00000000" w:rsidRPr="005814FA" w:rsidP="005814FA">
            <w:pPr>
              <w:pStyle w:val="ListBullet"/>
            </w:pPr>
            <w:r w:rsidRPr="005814FA">
              <w:t>Steel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Timber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Components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Bulk heads</w:t>
            </w:r>
          </w:p>
          <w:p w:rsidR="00000000" w:rsidRPr="005814FA" w:rsidP="005814FA">
            <w:pPr>
              <w:pStyle w:val="ListBullet"/>
            </w:pPr>
            <w:r w:rsidRPr="005814FA">
              <w:t>Collision bulkheads</w:t>
            </w:r>
          </w:p>
          <w:p w:rsidR="00000000" w:rsidRPr="005814FA" w:rsidP="005814FA">
            <w:pPr>
              <w:pStyle w:val="ListBullet"/>
            </w:pPr>
            <w:r w:rsidRPr="005814FA">
              <w:t>Deck</w:t>
            </w:r>
          </w:p>
          <w:p w:rsidR="00000000" w:rsidRPr="005814FA" w:rsidP="005814FA">
            <w:pPr>
              <w:pStyle w:val="ListBullet"/>
            </w:pPr>
            <w:r w:rsidRPr="005814FA">
              <w:t>Deck beams</w:t>
            </w:r>
          </w:p>
          <w:p w:rsidR="00000000" w:rsidRPr="005814FA" w:rsidP="005814FA">
            <w:pPr>
              <w:pStyle w:val="ListBullet"/>
            </w:pPr>
            <w:r w:rsidRPr="005814FA">
              <w:t>Deck plating</w:t>
            </w:r>
          </w:p>
          <w:p w:rsidR="00000000" w:rsidRPr="005814FA" w:rsidP="005814FA">
            <w:pPr>
              <w:pStyle w:val="ListBullet"/>
            </w:pPr>
            <w:r w:rsidRPr="005814FA">
              <w:t>Hatches and hatchways</w:t>
            </w:r>
          </w:p>
          <w:p w:rsidR="00000000" w:rsidRPr="005814FA" w:rsidP="005814FA">
            <w:pPr>
              <w:pStyle w:val="ListBullet"/>
            </w:pPr>
            <w:r w:rsidRPr="005814FA">
              <w:t>Hull</w:t>
            </w:r>
          </w:p>
          <w:p w:rsidR="00000000" w:rsidRPr="005814FA" w:rsidP="005814FA">
            <w:pPr>
              <w:pStyle w:val="ListBullet"/>
            </w:pPr>
            <w:r w:rsidRPr="005814FA">
              <w:t>Keel</w:t>
            </w:r>
          </w:p>
          <w:p w:rsidR="00000000" w:rsidRPr="005814FA" w:rsidP="005814FA">
            <w:pPr>
              <w:pStyle w:val="ListBullet"/>
            </w:pPr>
            <w:r w:rsidRPr="005814FA">
              <w:t>Portholes</w:t>
            </w:r>
          </w:p>
          <w:p w:rsidR="00000000" w:rsidRPr="005814FA" w:rsidP="005814FA">
            <w:pPr>
              <w:pStyle w:val="ListBullet"/>
            </w:pPr>
            <w:r w:rsidRPr="005814FA">
              <w:t>Propellers</w:t>
            </w:r>
          </w:p>
          <w:p w:rsidR="00000000" w:rsidRPr="005814FA" w:rsidP="005814FA">
            <w:pPr>
              <w:pStyle w:val="ListBullet"/>
            </w:pPr>
            <w:r w:rsidRPr="005814FA">
              <w:t>Rudders</w:t>
            </w:r>
          </w:p>
          <w:p w:rsidR="00000000" w:rsidRPr="005814FA" w:rsidP="005814FA">
            <w:pPr>
              <w:pStyle w:val="ListBullet"/>
            </w:pPr>
            <w:r w:rsidRPr="005814FA">
              <w:t>Stem and stern</w:t>
            </w:r>
          </w:p>
          <w:p w:rsidR="00000000" w:rsidRPr="005814FA" w:rsidP="005814FA">
            <w:pPr>
              <w:pStyle w:val="ListBullet"/>
            </w:pPr>
            <w:r w:rsidRPr="005814FA">
              <w:t>Stringers</w:t>
            </w:r>
          </w:p>
          <w:p w:rsidR="00000000" w:rsidRPr="005814FA" w:rsidP="005814FA">
            <w:pPr>
              <w:pStyle w:val="ListBullet"/>
            </w:pPr>
            <w:r w:rsidRPr="005814FA">
              <w:t>Strakes and chines</w:t>
            </w:r>
          </w:p>
          <w:p w:rsidR="00000000" w:rsidRPr="005814FA" w:rsidP="005814FA">
            <w:pPr>
              <w:pStyle w:val="ListBullet"/>
            </w:pPr>
            <w:r w:rsidRPr="005814FA">
              <w:t xml:space="preserve">Thrusters 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Ventilators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Range and types of deterioration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Dissimilar metals</w:t>
            </w:r>
          </w:p>
          <w:p w:rsidR="00000000" w:rsidRPr="005814FA" w:rsidP="005814FA">
            <w:pPr>
              <w:pStyle w:val="ListBullet"/>
            </w:pPr>
            <w:r w:rsidRPr="005814FA">
              <w:t>Fungal attack</w:t>
            </w:r>
          </w:p>
          <w:p w:rsidR="00000000" w:rsidRPr="005814FA" w:rsidP="005814FA">
            <w:pPr>
              <w:pStyle w:val="ListBullet"/>
            </w:pPr>
            <w:r w:rsidRPr="005814FA">
              <w:t>Insect attack</w:t>
            </w:r>
          </w:p>
          <w:p w:rsidR="00000000" w:rsidRPr="005814FA" w:rsidP="005814FA">
            <w:pPr>
              <w:pStyle w:val="ListBullet"/>
            </w:pPr>
            <w:r w:rsidRPr="005814FA">
              <w:t>Metal fatigue and corrosion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Osmosis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 xml:space="preserve">Preservation and corrosion control methods may </w:t>
            </w:r>
            <w:r w:rsidRPr="005814FA">
              <w:t>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 xml:space="preserve">Fendering and insulation </w:t>
            </w:r>
          </w:p>
          <w:p w:rsidR="00000000" w:rsidRPr="005814FA" w:rsidP="005814FA">
            <w:pPr>
              <w:pStyle w:val="ListBullet"/>
            </w:pPr>
            <w:r w:rsidRPr="005814FA">
              <w:t>Design</w:t>
            </w:r>
          </w:p>
          <w:p w:rsidR="00000000" w:rsidRPr="005814FA" w:rsidP="005814FA">
            <w:pPr>
              <w:pStyle w:val="ListBullet"/>
            </w:pPr>
            <w:r w:rsidRPr="005814FA">
              <w:t>Preservation of timber:</w:t>
            </w:r>
          </w:p>
          <w:p w:rsidR="00000000" w:rsidRPr="005814FA" w:rsidP="005814FA">
            <w:pPr>
              <w:pStyle w:val="ListBullet2"/>
            </w:pPr>
            <w:r w:rsidRPr="005814FA">
              <w:t>painting</w:t>
            </w:r>
          </w:p>
          <w:p w:rsidR="00000000" w:rsidRPr="005814FA" w:rsidP="005814FA">
            <w:pPr>
              <w:pStyle w:val="ListBullet2"/>
            </w:pPr>
            <w:r w:rsidRPr="005814FA">
              <w:t xml:space="preserve">oiling </w:t>
            </w:r>
          </w:p>
          <w:p w:rsidR="00000000" w:rsidRPr="005814FA" w:rsidP="005814FA">
            <w:pPr>
              <w:pStyle w:val="ListBullet2"/>
            </w:pPr>
            <w:r w:rsidRPr="005814FA">
              <w:t>varnishing</w:t>
            </w:r>
          </w:p>
          <w:p w:rsidR="00000000" w:rsidRPr="005814FA" w:rsidP="005814FA">
            <w:pPr>
              <w:pStyle w:val="ListBullet"/>
            </w:pPr>
            <w:r w:rsidRPr="005814FA">
              <w:t>Preservation of metals:</w:t>
            </w:r>
          </w:p>
          <w:p w:rsidR="00000000" w:rsidRPr="005814FA" w:rsidP="005814FA">
            <w:pPr>
              <w:pStyle w:val="ListBullet2"/>
            </w:pPr>
            <w:r w:rsidRPr="005814FA">
              <w:t>sacrificial anodes</w:t>
            </w:r>
          </w:p>
          <w:p w:rsidR="00000000" w:rsidRPr="005814FA" w:rsidP="005814FA">
            <w:pPr>
              <w:pStyle w:val="ListBullet2"/>
            </w:pPr>
            <w:r w:rsidRPr="005814FA">
              <w:t>anti-corrosive paints</w:t>
            </w:r>
          </w:p>
          <w:p w:rsidR="00000000" w:rsidRPr="005814FA" w:rsidP="005814FA">
            <w:pPr>
              <w:pStyle w:val="ListBullet"/>
            </w:pPr>
            <w:r w:rsidRPr="005814FA">
              <w:t>Earthing and bonding</w:t>
            </w:r>
          </w:p>
          <w:p w:rsidR="00000000" w:rsidP="005814FA">
            <w:pPr>
              <w:pStyle w:val="ListBullet"/>
              <w:rPr>
                <w:lang w:val="en-NZ"/>
              </w:rPr>
            </w:pPr>
            <w:r w:rsidRPr="005814FA">
              <w:t>Impressed current systems</w:t>
            </w:r>
          </w:p>
        </w:tc>
      </w:tr>
      <w:tr w:rsidTr="007E49BA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814FA">
            <w:pPr>
              <w:pStyle w:val="BodyText"/>
              <w:rPr>
                <w:lang w:val="en-NZ"/>
              </w:rPr>
            </w:pPr>
            <w:r w:rsidRPr="005814FA">
              <w:t>Relevant personnel may include: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814FA" w:rsidP="005814FA">
            <w:pPr>
              <w:pStyle w:val="ListBullet"/>
            </w:pPr>
            <w:r w:rsidRPr="005814FA">
              <w:t>Delegates of the national regulator</w:t>
            </w:r>
          </w:p>
          <w:p w:rsidR="00000000" w:rsidRPr="005814FA" w:rsidP="005814FA">
            <w:pPr>
              <w:pStyle w:val="ListBullet"/>
            </w:pPr>
            <w:r w:rsidRPr="005814FA">
              <w:t>Owners and operators of commercial vessels</w:t>
            </w:r>
          </w:p>
        </w:tc>
      </w:tr>
    </w:tbl>
    <w:p w:rsidR="00000000" w:rsidRPr="005814FA" w:rsidP="005814FA">
      <w:pPr>
        <w:pStyle w:val="BodyText"/>
      </w:pP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12" w:name="O_538563"/>
      <w:bookmarkEnd w:id="12"/>
      <w:r w:rsidRPr="005814FA">
        <w:t>Unit Sector(s)</w:t>
      </w:r>
    </w:p>
    <w:p w:rsidR="00000000" w:rsidRPr="005814FA" w:rsidP="005814FA">
      <w:pPr>
        <w:pStyle w:val="BodyText"/>
      </w:pPr>
      <w:r w:rsidRPr="005814FA">
        <w:t>Not applicable.</w:t>
      </w:r>
    </w:p>
    <w:p w:rsidR="00000000" w:rsidRPr="005814FA" w:rsidP="005814FA">
      <w:pPr>
        <w:pStyle w:val="AllowPageBreak"/>
      </w:pPr>
    </w:p>
    <w:p w:rsidR="00000000" w:rsidRPr="005814FA" w:rsidP="005814FA">
      <w:pPr>
        <w:pStyle w:val="Heading1"/>
      </w:pPr>
      <w:bookmarkStart w:id="13" w:name="O_538562"/>
      <w:bookmarkEnd w:id="13"/>
      <w:r w:rsidRPr="005814FA">
        <w:t>Competency Field</w:t>
      </w:r>
    </w:p>
    <w:p w:rsidR="00000000" w:rsidRPr="005814FA" w:rsidP="005814FA">
      <w:pPr>
        <w:pStyle w:val="BodyText"/>
      </w:pPr>
      <w:r w:rsidRPr="005814FA">
        <w:t>Marine Surveying</w:t>
      </w:r>
    </w:p>
    <w:p w:rsidR="00000000" w:rsidRPr="005814FA" w:rsidP="005814FA"/>
    <w:sectPr w:rsidSect="005814FA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F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FA" w:rsidRPr="007E49BA" w:rsidP="007E49B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F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BA" w:rsidP="005814F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8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8</w:t>
    </w:r>
    <w:r>
      <w:rPr>
        <w:noProof/>
      </w:rPr>
      <w:fldChar w:fldCharType="end"/>
    </w:r>
  </w:p>
  <w:p w:rsidR="007E49BA" w:rsidP="005814F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Transport &amp; Logistics Industry Skills Council</w:t>
    </w:r>
    <w:r>
      <w:fldChar w:fldCharType="end"/>
    </w:r>
  </w:p>
  <w:p w:rsidR="007E49BA" w:rsidP="005814F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F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FA" w:rsidRPr="007E49BA" w:rsidP="007E49BA">
    <w:pPr>
      <w:pStyle w:val="BodyText"/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3665" cy="10926445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4031" cy="10926468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814F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49BA" w:rsidRPr="002D2AF8" w:rsidP="005814F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MARM3003A Identify factors that affect a commercial vessels's fitness for purpose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6 June 2013</w:t>
    </w:r>
    <w:r>
      <w:fldChar w:fldCharType="end"/>
    </w:r>
  </w:p>
  <w:p w:rsidR="007E49BA" w:rsidP="005814F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8CD085F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DDC774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F6CAB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814F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814F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814F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814F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814F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814F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814F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814F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814F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814F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814F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814FA"/>
  </w:style>
  <w:style w:type="character" w:customStyle="1" w:styleId="Heading1Char">
    <w:name w:val="Heading 1 Char"/>
    <w:basedOn w:val="DefaultParagraphFont"/>
    <w:link w:val="Heading1"/>
    <w:rsid w:val="005814F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814FA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814F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814FA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814FA"/>
    <w:rPr>
      <w:b/>
      <w:spacing w:val="0"/>
    </w:rPr>
  </w:style>
  <w:style w:type="paragraph" w:styleId="ListBullet2">
    <w:name w:val="List Bullet 2"/>
    <w:basedOn w:val="List2"/>
    <w:rsid w:val="005814FA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814F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814F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814FA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814F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814F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814F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81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814F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81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814F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814F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814F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814F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814F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814F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814F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814F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814F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814F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814F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814F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814F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814F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814F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814F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814F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814F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814F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814F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814F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814F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814F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814F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814F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814F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814FA"/>
    <w:rPr>
      <w:i/>
    </w:rPr>
  </w:style>
  <w:style w:type="paragraph" w:styleId="Caption">
    <w:name w:val="caption"/>
    <w:basedOn w:val="BodyText"/>
    <w:next w:val="Normal"/>
    <w:qFormat/>
    <w:rsid w:val="005814F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814F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814F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814FA"/>
  </w:style>
  <w:style w:type="paragraph" w:styleId="TableofFigures">
    <w:name w:val="table of figures"/>
    <w:basedOn w:val="Normal"/>
    <w:next w:val="Normal"/>
    <w:semiHidden/>
    <w:rsid w:val="005814F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814FA"/>
    <w:pPr>
      <w:numPr>
        <w:numId w:val="11"/>
      </w:numPr>
    </w:pPr>
  </w:style>
  <w:style w:type="character" w:customStyle="1" w:styleId="WingdingSymbols">
    <w:name w:val="Wingding Symbols"/>
    <w:rsid w:val="005814FA"/>
    <w:rPr>
      <w:rFonts w:ascii="Wingdings" w:hAnsi="Wingdings"/>
    </w:rPr>
  </w:style>
  <w:style w:type="paragraph" w:customStyle="1" w:styleId="TableHeading">
    <w:name w:val="Table Heading"/>
    <w:basedOn w:val="HeadingBase"/>
    <w:rsid w:val="005814F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814FA"/>
    <w:rPr>
      <w:color w:val="0033CC"/>
      <w:u w:val="none"/>
    </w:rPr>
  </w:style>
  <w:style w:type="paragraph" w:customStyle="1" w:styleId="BodyTextRight">
    <w:name w:val="Body Text Right"/>
    <w:basedOn w:val="BodyText"/>
    <w:rsid w:val="005814F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814F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814F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814F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814F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814F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814FA"/>
    <w:rPr>
      <w:sz w:val="32"/>
    </w:rPr>
  </w:style>
  <w:style w:type="paragraph" w:customStyle="1" w:styleId="HeadingProcedure">
    <w:name w:val="Heading Procedure"/>
    <w:basedOn w:val="HeadingBase"/>
    <w:next w:val="Normal"/>
    <w:rsid w:val="005814F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814FA"/>
    <w:pPr>
      <w:spacing w:before="60" w:after="60"/>
    </w:pPr>
  </w:style>
  <w:style w:type="paragraph" w:styleId="ListContinue">
    <w:name w:val="List Continue"/>
    <w:basedOn w:val="List"/>
    <w:rsid w:val="005814FA"/>
    <w:pPr>
      <w:ind w:firstLine="0"/>
    </w:pPr>
  </w:style>
  <w:style w:type="paragraph" w:customStyle="1" w:styleId="ListNote">
    <w:name w:val="List Note"/>
    <w:basedOn w:val="List"/>
    <w:rsid w:val="005814F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814F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814F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814FA"/>
    <w:rPr>
      <w:rFonts w:ascii="Courier New" w:hAnsi="Courier New"/>
    </w:rPr>
  </w:style>
  <w:style w:type="paragraph" w:customStyle="1" w:styleId="NoteBullet">
    <w:name w:val="Note Bullet"/>
    <w:basedOn w:val="Note"/>
    <w:rsid w:val="005814F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814F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814F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814F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814FA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814F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814F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814FA"/>
    <w:rPr>
      <w:b/>
      <w:smallCaps/>
    </w:rPr>
  </w:style>
  <w:style w:type="paragraph" w:customStyle="1" w:styleId="TableListNumber">
    <w:name w:val="Table List Number"/>
    <w:basedOn w:val="ListNumber"/>
    <w:rsid w:val="005814F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814F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814FA"/>
    <w:pPr>
      <w:numPr>
        <w:numId w:val="9"/>
      </w:numPr>
    </w:pPr>
  </w:style>
  <w:style w:type="paragraph" w:customStyle="1" w:styleId="ListAlpha2">
    <w:name w:val="List Alpha 2"/>
    <w:basedOn w:val="List2"/>
    <w:rsid w:val="005814FA"/>
    <w:pPr>
      <w:numPr>
        <w:numId w:val="8"/>
      </w:numPr>
    </w:pPr>
  </w:style>
  <w:style w:type="paragraph" w:styleId="List2">
    <w:name w:val="List 2"/>
    <w:basedOn w:val="BodyText"/>
    <w:rsid w:val="005814F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814F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814F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814F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814FA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814FA"/>
    <w:pPr>
      <w:numPr>
        <w:numId w:val="3"/>
      </w:numPr>
    </w:pPr>
  </w:style>
  <w:style w:type="paragraph" w:styleId="ListBullet5">
    <w:name w:val="List Bullet 5"/>
    <w:basedOn w:val="List5"/>
    <w:rsid w:val="005814FA"/>
    <w:pPr>
      <w:numPr>
        <w:numId w:val="4"/>
      </w:numPr>
    </w:pPr>
  </w:style>
  <w:style w:type="paragraph" w:styleId="ListContinue2">
    <w:name w:val="List Continue 2"/>
    <w:basedOn w:val="List2"/>
    <w:rsid w:val="005814FA"/>
    <w:pPr>
      <w:ind w:firstLine="0"/>
    </w:pPr>
  </w:style>
  <w:style w:type="paragraph" w:styleId="ListContinue3">
    <w:name w:val="List Continue 3"/>
    <w:basedOn w:val="List3"/>
    <w:rsid w:val="005814FA"/>
    <w:pPr>
      <w:ind w:left="1021" w:firstLine="0"/>
    </w:pPr>
  </w:style>
  <w:style w:type="paragraph" w:styleId="ListContinue4">
    <w:name w:val="List Continue 4"/>
    <w:basedOn w:val="List4"/>
    <w:rsid w:val="005814FA"/>
    <w:pPr>
      <w:ind w:firstLine="0"/>
    </w:pPr>
  </w:style>
  <w:style w:type="paragraph" w:styleId="ListContinue5">
    <w:name w:val="List Continue 5"/>
    <w:basedOn w:val="List5"/>
    <w:rsid w:val="005814FA"/>
    <w:pPr>
      <w:ind w:firstLine="0"/>
    </w:pPr>
  </w:style>
  <w:style w:type="paragraph" w:styleId="ListNumber3">
    <w:name w:val="List Number 3"/>
    <w:basedOn w:val="List3"/>
    <w:rsid w:val="005814FA"/>
    <w:pPr>
      <w:numPr>
        <w:numId w:val="5"/>
      </w:numPr>
    </w:pPr>
  </w:style>
  <w:style w:type="paragraph" w:styleId="ListNumber4">
    <w:name w:val="List Number 4"/>
    <w:basedOn w:val="List4"/>
    <w:rsid w:val="005814FA"/>
    <w:pPr>
      <w:numPr>
        <w:numId w:val="6"/>
      </w:numPr>
    </w:pPr>
  </w:style>
  <w:style w:type="paragraph" w:styleId="ListNumber5">
    <w:name w:val="List Number 5"/>
    <w:basedOn w:val="List5"/>
    <w:rsid w:val="005814FA"/>
    <w:pPr>
      <w:numPr>
        <w:numId w:val="7"/>
      </w:numPr>
    </w:pPr>
  </w:style>
  <w:style w:type="paragraph" w:styleId="BlockText">
    <w:name w:val="Block Text"/>
    <w:basedOn w:val="Normal"/>
    <w:rsid w:val="005814F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814F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814FA"/>
    <w:rPr>
      <w:sz w:val="16"/>
      <w:vertAlign w:val="superscript"/>
    </w:rPr>
  </w:style>
  <w:style w:type="character" w:customStyle="1" w:styleId="Symbols">
    <w:name w:val="Symbols"/>
    <w:basedOn w:val="DefaultParagraphFont"/>
    <w:rsid w:val="005814FA"/>
    <w:rPr>
      <w:rFonts w:ascii="Symbol" w:hAnsi="Symbol"/>
    </w:rPr>
  </w:style>
  <w:style w:type="character" w:customStyle="1" w:styleId="MenuOptions">
    <w:name w:val="Menu Options"/>
    <w:basedOn w:val="DefaultParagraphFont"/>
    <w:rsid w:val="005814F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814FA"/>
    <w:rPr>
      <w:b/>
    </w:rPr>
  </w:style>
  <w:style w:type="character" w:customStyle="1" w:styleId="Underlined">
    <w:name w:val="Underlined"/>
    <w:basedOn w:val="DefaultParagraphFont"/>
    <w:rsid w:val="005814FA"/>
    <w:rPr>
      <w:u w:val="single"/>
    </w:rPr>
  </w:style>
  <w:style w:type="paragraph" w:customStyle="1" w:styleId="TableBodyTextRight">
    <w:name w:val="Table Body Text Right"/>
    <w:basedOn w:val="TableBodyText"/>
    <w:rsid w:val="005814F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814FA"/>
    <w:rPr>
      <w:sz w:val="18"/>
    </w:rPr>
  </w:style>
  <w:style w:type="paragraph" w:customStyle="1" w:styleId="BodySmallRight">
    <w:name w:val="Body Small Right"/>
    <w:basedOn w:val="BodyTextRight"/>
    <w:rsid w:val="005814FA"/>
    <w:rPr>
      <w:sz w:val="18"/>
      <w:szCs w:val="18"/>
    </w:rPr>
  </w:style>
  <w:style w:type="paragraph" w:customStyle="1" w:styleId="MarginEdition">
    <w:name w:val="Margin Edition"/>
    <w:basedOn w:val="MarginNote"/>
    <w:rsid w:val="005814F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814FA"/>
    <w:rPr>
      <w:sz w:val="2"/>
      <w:szCs w:val="2"/>
    </w:rPr>
  </w:style>
  <w:style w:type="character" w:customStyle="1" w:styleId="Small">
    <w:name w:val="Small"/>
    <w:basedOn w:val="DefaultParagraphFont"/>
    <w:rsid w:val="005814FA"/>
    <w:rPr>
      <w:sz w:val="16"/>
    </w:rPr>
  </w:style>
  <w:style w:type="paragraph" w:customStyle="1" w:styleId="WideTable">
    <w:name w:val="Wide Table"/>
    <w:basedOn w:val="Normal"/>
    <w:rsid w:val="005814F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814FA"/>
  </w:style>
  <w:style w:type="paragraph" w:styleId="Quote">
    <w:name w:val="Quote"/>
    <w:basedOn w:val="Heading1"/>
    <w:link w:val="QuoteChar"/>
    <w:qFormat/>
    <w:rsid w:val="005814F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814F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814FA"/>
    <w:pPr>
      <w:pageBreakBefore/>
    </w:pPr>
  </w:style>
  <w:style w:type="paragraph" w:customStyle="1" w:styleId="Border">
    <w:name w:val="Border"/>
    <w:basedOn w:val="Normal"/>
    <w:qFormat/>
    <w:rsid w:val="005814F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814F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14F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14F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814F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814F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814F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814F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814F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814FA"/>
    <w:rPr>
      <w:u w:val="single"/>
    </w:rPr>
  </w:style>
  <w:style w:type="paragraph" w:styleId="BalloonText">
    <w:name w:val="Balloon Text"/>
    <w:basedOn w:val="Normal"/>
    <w:link w:val="BalloonTextChar"/>
    <w:rsid w:val="005814F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814F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814FA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814F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814F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814FA"/>
    <w:pPr>
      <w:keepNext w:val="0"/>
      <w:tabs>
        <w:tab w:val="left" w:pos="2835"/>
      </w:tabs>
      <w:ind w:left="2835" w:hanging="2835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1130</Words>
  <Characters>7144</Characters>
  <Application>Microsoft Office Word</Application>
  <DocSecurity>0</DocSecurity>
  <Lines>271</Lines>
  <Paragraphs>157</Paragraphs>
  <ScaleCrop>false</ScaleCrop>
  <Company>Author-it Software Corporation Ltd.</Company>
  <LinksUpToDate>false</LinksUpToDate>
  <CharactersWithSpaces>8193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MARM3003A Identify factors that affect a commercial vessels's fitness for purpose</dc:title>
  <dc:subject>Approved</dc:subject>
  <dc:creator>Transport &amp; Logistics Industry Skills Council</dc:creator>
  <cp:keywords>Release 1</cp:keywords>
  <dc:description>Review Date: 12 April 2008</dc:description>
  <cp:lastModifiedBy>HSD_TPCMSd.prod</cp:lastModifiedBy>
  <cp:revision>3</cp:revision>
  <dcterms:created xsi:type="dcterms:W3CDTF">2013-06-06T04:55:00Z</dcterms:created>
  <dcterms:modified xsi:type="dcterms:W3CDTF">2013-06-06T04:55:00Z</dcterms:modified>
</cp:coreProperties>
</file>