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8F2" w:rsidP="001018F2">
      <w:pPr>
        <w:pStyle w:val="Title"/>
      </w:pPr>
      <w:r>
        <w:fldChar w:fldCharType="begin"/>
      </w:r>
      <w:r>
        <w:instrText xml:space="preserve"> TITLE   \* MERGEFORMAT </w:instrText>
      </w:r>
      <w:r>
        <w:fldChar w:fldCharType="separate"/>
      </w:r>
      <w:r>
        <w:t>MARL6016A Demonstrate intermediate knowledge of marine steam turbines and main boilers</w:t>
      </w:r>
      <w:r>
        <w:fldChar w:fldCharType="end"/>
      </w:r>
    </w:p>
    <w:p w:rsidR="001018F2" w:rsidP="001018F2">
      <w:pPr>
        <w:pStyle w:val="Version"/>
        <w:sectPr w:rsidSect="004E5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EEF" w:rsidP="004E5EEF">
      <w:pPr>
        <w:pStyle w:val="SuperHeading"/>
      </w:pPr>
      <w:r w:rsidRPr="004E5EEF">
        <w:t>MARL6016A Demonstrate intermediate knowledge of marine steam turbines and main boilers</w:t>
      </w:r>
    </w:p>
    <w:p w:rsidR="00000000" w:rsidRPr="004E5EEF" w:rsidP="004E5EEF">
      <w:pPr>
        <w:pStyle w:val="Heading1"/>
      </w:pPr>
      <w:bookmarkStart w:id="1" w:name="O_538376"/>
      <w:bookmarkEnd w:id="1"/>
      <w:r w:rsidRPr="004E5EEF">
        <w:t>Modification History</w:t>
      </w:r>
    </w:p>
    <w:p w:rsidR="00000000" w:rsidRPr="004E5EEF" w:rsidP="004E5EEF">
      <w:pPr>
        <w:pStyle w:val="BodyText"/>
      </w:pPr>
      <w:r w:rsidRPr="004E5EEF">
        <w:t>Release 1</w:t>
      </w:r>
    </w:p>
    <w:p w:rsidR="00000000" w:rsidRPr="004E5EEF" w:rsidP="004E5EEF">
      <w:pPr>
        <w:pStyle w:val="BodyText"/>
      </w:pPr>
      <w:r w:rsidRPr="004E5EEF">
        <w:t>This is the first release of this unit.</w:t>
      </w:r>
    </w:p>
    <w:p w:rsidR="00000000" w:rsidRPr="004E5EEF" w:rsidP="004E5EEF">
      <w:pPr>
        <w:pStyle w:val="BodyText"/>
      </w:pPr>
      <w:r w:rsidRPr="004E5EEF">
        <w:t>This unit replaces and is equivalent to TDMMR5807A Manage the operation, monitoring and evaluation of the performance of steam propulsion plant on vessels over 750 kW propulsion power.</w:t>
      </w:r>
    </w:p>
    <w:p w:rsidR="00000000" w:rsidRPr="004E5EEF" w:rsidP="004E5EEF">
      <w:pPr>
        <w:pStyle w:val="AllowPageBreak"/>
      </w:pPr>
    </w:p>
    <w:p w:rsidR="00000000" w:rsidRPr="004E5EEF" w:rsidP="004E5EEF">
      <w:pPr>
        <w:pStyle w:val="Heading1"/>
      </w:pPr>
      <w:bookmarkStart w:id="2" w:name="O_538388"/>
      <w:bookmarkEnd w:id="2"/>
      <w:r w:rsidRPr="004E5EEF">
        <w:t>Unit Descriptor</w:t>
      </w:r>
    </w:p>
    <w:p w:rsidR="00000000" w:rsidRPr="004E5EEF" w:rsidP="004E5EEF">
      <w:pPr>
        <w:pStyle w:val="BodyText"/>
      </w:pPr>
      <w:r w:rsidRPr="004E5EEF">
        <w:t>This unit involves the skills and know</w:t>
      </w:r>
      <w:r w:rsidRPr="004E5EEF">
        <w:t>ledge required to operate and maintain main steam propulsion plant and associated control systems on a commercial vessel.</w:t>
      </w:r>
    </w:p>
    <w:p w:rsidR="00000000" w:rsidRPr="004E5EEF" w:rsidP="004E5EEF">
      <w:pPr>
        <w:pStyle w:val="AllowPageBreak"/>
      </w:pPr>
    </w:p>
    <w:p w:rsidR="00000000" w:rsidRPr="004E5EEF" w:rsidP="004E5EEF">
      <w:pPr>
        <w:pStyle w:val="Heading1"/>
      </w:pPr>
      <w:bookmarkStart w:id="3" w:name="O_538387"/>
      <w:bookmarkEnd w:id="3"/>
      <w:r w:rsidRPr="004E5EEF">
        <w:t>Application of the Unit</w:t>
      </w:r>
    </w:p>
    <w:p w:rsidR="00000000" w:rsidRPr="004E5EEF" w:rsidP="004E5EEF">
      <w:pPr>
        <w:pStyle w:val="BodyText"/>
      </w:pPr>
      <w:r w:rsidRPr="004E5EEF">
        <w:t>This unit applies to the work of a Marine Engineer Class 2 on commercial vessels greater than</w:t>
      </w:r>
      <w:r w:rsidRPr="004E5EEF">
        <w:t xml:space="preserve"> 3000 kW and forms part of the requirements for the Certificate of Competency Marine Engineer Class 2 issued by the Australian Maritime Safety Authority (AMSA).</w:t>
      </w:r>
    </w:p>
    <w:p w:rsidR="00000000" w:rsidRPr="004E5EEF" w:rsidP="004E5EEF">
      <w:pPr>
        <w:pStyle w:val="AllowPageBreak"/>
      </w:pPr>
    </w:p>
    <w:p w:rsidR="00000000" w:rsidRPr="004E5EEF" w:rsidP="004E5EEF">
      <w:pPr>
        <w:pStyle w:val="Heading1"/>
      </w:pPr>
      <w:bookmarkStart w:id="4" w:name="O_538386"/>
      <w:bookmarkEnd w:id="4"/>
      <w:r w:rsidRPr="004E5EEF">
        <w:t>Licensing/Regulatory Information</w:t>
      </w:r>
    </w:p>
    <w:p w:rsidR="00000000" w:rsidRPr="004E5EEF" w:rsidP="004E5EEF">
      <w:pPr>
        <w:pStyle w:val="BodyText"/>
      </w:pPr>
      <w:r w:rsidRPr="004E5EEF">
        <w:t>Not applicable.</w:t>
      </w:r>
    </w:p>
    <w:p w:rsidR="00000000" w:rsidRPr="004E5EEF" w:rsidP="004E5EEF">
      <w:pPr>
        <w:pStyle w:val="AllowPageBreak"/>
      </w:pPr>
    </w:p>
    <w:p w:rsidR="00000000" w:rsidRPr="004E5EEF" w:rsidP="004E5EEF">
      <w:pPr>
        <w:pStyle w:val="Heading1"/>
      </w:pPr>
      <w:bookmarkStart w:id="5" w:name="O_538385"/>
      <w:bookmarkEnd w:id="5"/>
      <w:r w:rsidRPr="004E5EEF">
        <w:t>Pre-Requisit</w:t>
      </w:r>
      <w:r w:rsidRPr="004E5EEF">
        <w:t>es</w:t>
      </w:r>
    </w:p>
    <w:p w:rsidR="00000000" w:rsidRPr="004E5EEF" w:rsidP="004E5EEF">
      <w:pPr>
        <w:pStyle w:val="BodyText"/>
      </w:pPr>
      <w:r w:rsidRPr="004E5EEF">
        <w:t>Not applicable.</w:t>
      </w:r>
    </w:p>
    <w:p w:rsidR="00000000" w:rsidRPr="004E5EEF" w:rsidP="004E5EEF">
      <w:pPr>
        <w:pStyle w:val="AllowPageBreak"/>
      </w:pPr>
    </w:p>
    <w:p w:rsidR="00000000" w:rsidRPr="004E5EEF" w:rsidP="004E5EEF">
      <w:pPr>
        <w:pStyle w:val="Heading1"/>
      </w:pPr>
      <w:bookmarkStart w:id="6" w:name="O_538384"/>
      <w:bookmarkEnd w:id="6"/>
      <w:r w:rsidRPr="004E5EEF">
        <w:t>Employability Skills Information</w:t>
      </w:r>
    </w:p>
    <w:p w:rsidR="00000000" w:rsidRPr="004E5EEF" w:rsidP="004E5EEF">
      <w:pPr>
        <w:pStyle w:val="BodyText"/>
      </w:pPr>
      <w:r w:rsidRPr="004E5EEF">
        <w:t>This unit contains employability skills.</w:t>
      </w:r>
    </w:p>
    <w:p w:rsidR="00000000" w:rsidRPr="004E5EEF" w:rsidP="004E5EEF">
      <w:pPr>
        <w:pStyle w:val="AllowPageBreak"/>
      </w:pPr>
    </w:p>
    <w:p w:rsidR="00000000" w:rsidRPr="004E5EEF" w:rsidP="004E5EEF">
      <w:pPr>
        <w:pStyle w:val="Heading1"/>
      </w:pPr>
      <w:bookmarkStart w:id="7" w:name="O_538383"/>
      <w:bookmarkEnd w:id="7"/>
      <w:r w:rsidRPr="004E5EEF">
        <w:t>Elements and Performance Criteria Pre-Content</w:t>
      </w:r>
    </w:p>
    <w:tbl>
      <w:tblPr>
        <w:tblW w:w="9640" w:type="dxa"/>
        <w:tblLayout w:type="fixed"/>
        <w:tblCellMar>
          <w:left w:w="62" w:type="dxa"/>
          <w:right w:w="62" w:type="dxa"/>
        </w:tblCellMar>
        <w:tblLook w:val="0000"/>
      </w:tblPr>
      <w:tblGrid>
        <w:gridCol w:w="2776"/>
        <w:gridCol w:w="6864"/>
      </w:tblGrid>
      <w:tr w:rsidTr="001018F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Performance crite</w:t>
            </w:r>
            <w:r w:rsidRPr="004E5EEF">
              <w:t>ria describe the required performance needed to demonstrate achievement of the element. Assessment of performance is to be consistent with the evidence guide.</w:t>
            </w:r>
          </w:p>
        </w:tc>
      </w:tr>
    </w:tbl>
    <w:p w:rsidR="00000000" w:rsidRPr="004E5EEF" w:rsidP="004E5EEF">
      <w:pPr>
        <w:pStyle w:val="BodyText"/>
      </w:pPr>
    </w:p>
    <w:p w:rsidR="00000000" w:rsidRPr="004E5EEF" w:rsidP="004E5EEF">
      <w:pPr>
        <w:pStyle w:val="AllowPageBreak"/>
      </w:pPr>
    </w:p>
    <w:p w:rsidR="00000000" w:rsidRPr="004E5EEF" w:rsidP="004E5EEF">
      <w:pPr>
        <w:pStyle w:val="Heading1"/>
      </w:pPr>
      <w:bookmarkStart w:id="8" w:name="O_538382"/>
      <w:bookmarkEnd w:id="8"/>
      <w:r w:rsidRPr="004E5EEF">
        <w:t>Elements and Performance Criteria</w:t>
      </w:r>
    </w:p>
    <w:tbl>
      <w:tblPr>
        <w:tblW w:w="9640" w:type="dxa"/>
        <w:tblLayout w:type="fixed"/>
        <w:tblCellMar>
          <w:left w:w="62" w:type="dxa"/>
          <w:right w:w="62" w:type="dxa"/>
        </w:tblCellMar>
        <w:tblLook w:val="0000"/>
      </w:tblPr>
      <w:tblGrid>
        <w:gridCol w:w="293"/>
        <w:gridCol w:w="1899"/>
        <w:gridCol w:w="729"/>
        <w:gridCol w:w="6719"/>
      </w:tblGrid>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Evaluate energy balance of steam turbine plant</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1.1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Heat losses in a turbine and turbine system are analysed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1.2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How steam properties change through a turbine are shown on an enthalpy/entropy diagram</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1.3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How air heaters and economisers affect turbine plant efficiency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1.4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Practical methods of verifying energy losses are detailed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Explain construction and operation of feed system</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 xml:space="preserve">Operation and components of the complete feed system are </w:t>
            </w:r>
            <w:r w:rsidRPr="004E5EEF">
              <w:t>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operating principles and maintenance requirements of a regenerative condenser are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Causes of loss of vacuum are identified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and operation of air ejectors, vacuums and extraction pumps are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2.5</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and operation of gland condensers, low-pressure heaters, drain coolers and high-pressure heaters are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2.6</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General arrangement and construction of turbo-feed pumps is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2.7</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Governor control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2.8</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Operating principles and construction details of de-aerators are explained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Explain construction, operation and repair of high-pressure water tube boilers</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Operating principles of high-pressure boilers, including water and gas flow circulation are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Drum, internal fittings and support and expansion arrangements a</w:t>
            </w:r>
            <w:r w:rsidRPr="004E5EEF">
              <w:t>re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Procedures for repairing a membrane wall furnace are clarified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Operating principles and construction methods of integral and external superheaters are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3.5</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and operation of economisers and air heaters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3.6</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Chemistry of combustion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3.7</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Typical burner register arrangements are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3.8</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operation and maintenance of boiler gauge glasses and safety valves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3.9</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Operation of boiler control and soot blowing system is detailed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3.10</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Blow-down procedure for a high pressure boiler is prepared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Explain requirements</w:t>
            </w:r>
            <w:r w:rsidRPr="004E5EEF">
              <w:rPr>
                <w:rStyle w:val="SpecialBold"/>
              </w:rPr>
              <w:t xml:space="preserve"> for feed water treatment for high-pressure water tube boilers</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4.1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How salts are precipitated and how metal is corroded in the boiler and feed system is explained and method of prevention is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4.2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How oxygen is eliminated in high-pressure boilers is shown</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4.3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How pH is measured and controlled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4.4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 xml:space="preserve">Normal and maximum operating limits for boiler feed water treatment are identified and procedure to follow if these limits are exceeded </w:t>
            </w:r>
            <w:r w:rsidRPr="004E5EEF">
              <w:t>is clarified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4.5</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Purpose and procedure for different types of tests of boiler water chemistry are explained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Explain construction and operation of high-pressure turbines</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Flow of steam through nozzles</w:t>
            </w:r>
            <w:r w:rsidRPr="004E5EEF">
              <w:t xml:space="preserve"> is analysed, and pressure and velocity compounding are illustrated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of blades, bearings, glands, rotors and casings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Warming-through procedure prior to start up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Routine checks during operation are detailed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5.5</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Emergency operation of plant with one turbine inoperative is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5.6</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Turbine shutdown procedure is clarified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5.7</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Routine checks carried out at a turbine plant survey are detailed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5.8</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Precautions necessary when turbine and gearing casings are open are explained and any repairs or adjustments that may be required are identified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5.9</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Performance of steam plant by routine observations of pressure temperature speed and vibration of turbin</w:t>
            </w:r>
            <w:r w:rsidRPr="004E5EEF">
              <w:t>e, gearing and associated systems is analysed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Explain turbine gearing arrangements</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Single and double reduction gearing systems are outlined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Use of double helical involute gear teeth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6.3</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Advantages and disadvantages of single and double locked tandem gearboxes are detailed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6.4</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Purpose of fitting a nodal drive in gearing system is clarified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6.5</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and reason for installing flexible couplings in gearing system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6.6</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Layout of a turbo-electric drive is detailed</w:t>
            </w:r>
          </w:p>
        </w:tc>
      </w:tr>
      <w:tr w:rsidTr="001018F2">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Analyse flow of air and gas through a simple cycle marine gas turbine</w:t>
            </w: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7.1</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Construction of compressor, combustion system and single and two shaft turbines is explained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7.2</w:t>
            </w:r>
          </w:p>
        </w:tc>
        <w:tc>
          <w:tcPr>
            <w:tcW w:w="6719"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Necessary controls required for control and protection of plant are confirmed</w:t>
            </w:r>
          </w:p>
        </w:tc>
      </w:tr>
      <w:tr w:rsidTr="001018F2">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7.3</w:t>
            </w:r>
          </w:p>
        </w:tc>
        <w:tc>
          <w:tcPr>
            <w:tcW w:w="671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rPr>
                <w:rStyle w:val="BoldandItalics"/>
              </w:rPr>
              <w:t xml:space="preserve">Accessories </w:t>
            </w:r>
            <w:r w:rsidRPr="004E5EEF">
              <w:t>necessary for safe operation of simple cycle marine gas turbines are listed</w:t>
            </w:r>
          </w:p>
        </w:tc>
      </w:tr>
    </w:tbl>
    <w:p w:rsidR="00000000" w:rsidRPr="004E5EEF" w:rsidP="004E5EEF">
      <w:pPr>
        <w:pStyle w:val="BodyText"/>
      </w:pPr>
    </w:p>
    <w:p w:rsidR="00000000" w:rsidRPr="004E5EEF" w:rsidP="004E5EEF">
      <w:pPr>
        <w:pStyle w:val="AllowPageBreak"/>
      </w:pPr>
    </w:p>
    <w:p w:rsidR="00000000" w:rsidRPr="004E5EEF" w:rsidP="004E5EEF">
      <w:pPr>
        <w:pStyle w:val="Heading1"/>
      </w:pPr>
      <w:bookmarkStart w:id="9" w:name="O_538381"/>
      <w:bookmarkEnd w:id="9"/>
      <w:r w:rsidRPr="004E5EEF">
        <w:t>Required Skills and Knowledge</w:t>
      </w:r>
    </w:p>
    <w:tbl>
      <w:tblPr>
        <w:tblW w:w="0" w:type="auto"/>
        <w:tblCellMar>
          <w:left w:w="62" w:type="dxa"/>
          <w:right w:w="62" w:type="dxa"/>
        </w:tblCellMar>
        <w:tblLook w:val="0000"/>
      </w:tblPr>
      <w:tblGrid>
        <w:gridCol w:w="9196"/>
      </w:tblGrid>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This section describes the skills and knowledge required for this unit.</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Required Skills: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Access diagnostic information related to marine steam turbines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Assess own work outcomes and maintain knowledge of current codes, standards, regulations and indust</w:t>
            </w:r>
            <w:r w:rsidRPr="004E5EEF">
              <w:t>ry practices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 xml:space="preserve">Explain basic operation of marine steam turbines </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Identify and apply relevant solutions to problems that can occur during operation of steam propulsion plant and associated systems on a steam vessel</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Identify and interpret diagnostic info</w:t>
            </w:r>
            <w:r w:rsidRPr="004E5EEF">
              <w:t>rmation, and perform mathematical calculations related to operating, maintaining and repairing marine steam turbines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Identify methods, procedures and materials needed for operating, maintaining and repairing marine steam turbines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Impart knowledge and ideas through verbal, written and visual means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5EEF" w:rsidP="004E5EEF">
            <w:pPr>
              <w:pStyle w:val="ListBullet"/>
            </w:pPr>
            <w:r w:rsidRPr="004E5EEF">
              <w:t xml:space="preserve">Read and interpret manuals, technical specifications, safety data sheets/material safety data sheets and manufacturer guides related to operating, maintaining and repairing marine steam </w:t>
            </w:r>
            <w:r w:rsidRPr="004E5EEF">
              <w:t>turbines</w:t>
            </w:r>
          </w:p>
        </w:tc>
      </w:tr>
    </w:tbl>
    <w:p w:rsidR="00000000" w:rsidRPr="004E5EEF" w:rsidP="004E5EEF">
      <w:pPr>
        <w:pStyle w:val="BodyText"/>
      </w:pPr>
    </w:p>
    <w:tbl>
      <w:tblPr>
        <w:tblW w:w="0" w:type="auto"/>
        <w:tblCellMar>
          <w:left w:w="62" w:type="dxa"/>
          <w:right w:w="62" w:type="dxa"/>
        </w:tblCellMar>
        <w:tblLook w:val="0000"/>
      </w:tblPr>
      <w:tblGrid>
        <w:gridCol w:w="9196"/>
      </w:tblGrid>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Required Knowledge:</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5EEF" w:rsidP="004E5EEF">
            <w:pPr>
              <w:pStyle w:val="ListBullet"/>
            </w:pPr>
            <w:r w:rsidRPr="004E5EEF">
              <w:t xml:space="preserve">Basic principles of operation of main steam propulsion and auxiliary systems on a steam vessel, including: </w:t>
            </w:r>
          </w:p>
          <w:p w:rsidR="00000000" w:rsidRPr="004E5EEF" w:rsidP="004E5EEF">
            <w:pPr>
              <w:pStyle w:val="ListBullet2"/>
            </w:pPr>
            <w:r w:rsidRPr="004E5EEF">
              <w:t xml:space="preserve">methods of turbine control, including safety devices </w:t>
            </w:r>
          </w:p>
          <w:p w:rsidR="00000000" w:rsidRPr="004E5EEF" w:rsidP="004E5EEF">
            <w:pPr>
              <w:pStyle w:val="ListBullet2"/>
            </w:pPr>
            <w:r w:rsidRPr="004E5EEF">
              <w:t xml:space="preserve">symptoms, causes, effects and actions to be taken of defects of auxiliary steam turbines </w:t>
            </w:r>
          </w:p>
          <w:p w:rsidR="00000000" w:rsidRPr="004E5EEF" w:rsidP="004E5EEF">
            <w:pPr>
              <w:pStyle w:val="ListBullet2"/>
            </w:pPr>
            <w:r w:rsidRPr="004E5EEF">
              <w:t>construction and operation of main and auxiliary steam turbines</w:t>
            </w:r>
          </w:p>
          <w:p w:rsidR="00000000" w:rsidP="004E5EEF">
            <w:pPr>
              <w:pStyle w:val="ListBullet2"/>
              <w:rPr>
                <w:lang w:val="en-NZ"/>
              </w:rPr>
            </w:pPr>
            <w:r w:rsidRPr="004E5EEF">
              <w:t>procedures for emergency operation of a steam turbine</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Construction and operation of feed system</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Co</w:t>
            </w:r>
            <w:r w:rsidRPr="004E5EEF">
              <w:t>nstruction and operation of high-pressure turbines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Construction, operation and repair of high-pressure water tube boilers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Energy balance for a steam turbine plant</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 xml:space="preserve">Established engineering practice and procedures for operation of shipboard steam </w:t>
            </w:r>
            <w:r w:rsidRPr="004E5EEF">
              <w:t>propulsion plant and associated systems in warm-through, manoeuvring, start up, normal running, emergency and shut down situations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Fundamental principles of steam propulsion systems and boilers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Hazards and problems that can occur during operation of st</w:t>
            </w:r>
            <w:r w:rsidRPr="004E5EEF">
              <w:t>eam propulsion plant and associated systems, and appropriate preventative and remedial action</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Methods of lubricating principal components of a marine steam propulsion turbine and its associated gearing, and evaluating common faults, including common lubr</w:t>
            </w:r>
            <w:r w:rsidRPr="004E5EEF">
              <w:t>ication faults, symptoms, causes, and actions to be taken with such faults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Operational characteristics and performance specifications for different types of steam propulsion plant and associated systems on a steam vessel of unlimited propulsion power</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P</w:t>
            </w:r>
            <w:r w:rsidRPr="004E5EEF">
              <w:t>rocedures for reading and interpreting readings and indications of performance of steam propulsion plant and associated systems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Requirements for feed water treatment for high-pressure water tube boilers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Simple cycle marine gas turbine</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Turbine gearing arrangements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Types, properties, tests, applications and treatment of fuels, lubricants and solvents/chemicals used on board a steam vessel, including working principles, construction, maintenance and safe operation of centrifuges, filters</w:t>
            </w:r>
            <w:r w:rsidRPr="004E5EEF">
              <w:t>, and other treatment devices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Typical operating precautions for steam propulsion plant and associated systems to ensure operational performance is complies with bridge orders, technical specifications, survey requirements, and established safety and anti</w:t>
            </w:r>
            <w:r w:rsidRPr="004E5EEF">
              <w:t>-pollution rules and regulations</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ListBullet"/>
              <w:rPr>
                <w:lang w:val="en-NZ"/>
              </w:rPr>
            </w:pPr>
            <w:r w:rsidRPr="004E5EEF">
              <w:t>Units of measurement</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5EEF" w:rsidP="004E5EEF">
            <w:pPr>
              <w:pStyle w:val="ListBullet"/>
            </w:pPr>
            <w:r w:rsidRPr="004E5EEF">
              <w:t>Work health and safety (WHS)/occupational health and safety (OHS) legislation and policies</w:t>
            </w:r>
          </w:p>
        </w:tc>
      </w:tr>
    </w:tbl>
    <w:p w:rsidR="00000000" w:rsidRPr="004E5EEF" w:rsidP="004E5EEF">
      <w:pPr>
        <w:pStyle w:val="BodyText"/>
      </w:pPr>
    </w:p>
    <w:p w:rsidR="00000000" w:rsidRPr="004E5EEF" w:rsidP="004E5EEF">
      <w:pPr>
        <w:pStyle w:val="AllowPageBreak"/>
      </w:pPr>
    </w:p>
    <w:p w:rsidR="00000000" w:rsidRPr="004E5EEF" w:rsidP="004E5EEF">
      <w:pPr>
        <w:pStyle w:val="Heading1"/>
      </w:pPr>
      <w:bookmarkStart w:id="10" w:name="O_538380"/>
      <w:bookmarkEnd w:id="10"/>
      <w:r w:rsidRPr="004E5EEF">
        <w:t>Evidence Guide</w:t>
      </w:r>
    </w:p>
    <w:tbl>
      <w:tblPr>
        <w:tblW w:w="9499" w:type="dxa"/>
        <w:tblLayout w:type="fixed"/>
        <w:tblCellMar>
          <w:left w:w="62" w:type="dxa"/>
          <w:right w:w="62" w:type="dxa"/>
        </w:tblCellMar>
        <w:tblLook w:val="0000"/>
      </w:tblPr>
      <w:tblGrid>
        <w:gridCol w:w="3340"/>
        <w:gridCol w:w="6159"/>
      </w:tblGrid>
      <w:tr w:rsidTr="004E5EE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The evidence guide provides advice on assessment and must be read in conjunction with the performance criteria, the required skills and knowledge, the range statement and the Assessment Guidelines for the Training Package.</w:t>
            </w:r>
          </w:p>
        </w:tc>
      </w:tr>
      <w:tr w:rsidTr="004E5EEF">
        <w:tblPrEx>
          <w:tblW w:w="9499" w:type="dxa"/>
          <w:tblLayout w:type="fixed"/>
          <w:tblCellMar>
            <w:left w:w="62" w:type="dxa"/>
            <w:right w:w="62" w:type="dxa"/>
          </w:tblCellMar>
          <w:tblLook w:val="0000"/>
        </w:tblPrEx>
        <w:trPr>
          <w:trHeight w:val="348"/>
        </w:trPr>
        <w:tc>
          <w:tcPr>
            <w:tcW w:w="3340"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Critical aspects for assessment</w:t>
            </w:r>
            <w:r w:rsidRPr="004E5EEF">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The evidence required to demonstrate competence in this unit must be relevant to and satisfy all of the requirements of the Elements, Performance Criteria, Required Skills, Required Knowledge an</w:t>
            </w:r>
            <w:r w:rsidRPr="004E5EEF">
              <w:t>d include:</w:t>
            </w:r>
          </w:p>
          <w:p w:rsidR="00000000" w:rsidRPr="004E5EEF" w:rsidP="004E5EEF">
            <w:pPr>
              <w:pStyle w:val="ListBullet"/>
            </w:pPr>
            <w:r w:rsidRPr="004E5EEF">
              <w:t>providing accurate and reliable information</w:t>
            </w:r>
          </w:p>
          <w:p w:rsidR="00000000" w:rsidP="004E5EEF">
            <w:pPr>
              <w:pStyle w:val="ListBullet"/>
              <w:rPr>
                <w:lang w:val="en-NZ"/>
              </w:rPr>
            </w:pPr>
            <w:r w:rsidRPr="004E5EEF">
              <w:t>providing appropriate level of detail in responses.</w:t>
            </w:r>
          </w:p>
        </w:tc>
      </w:tr>
      <w:tr w:rsidTr="004E5EE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Performance is demonstrated consistently over time and in a suitable range of contexts.</w:t>
            </w:r>
          </w:p>
          <w:p w:rsidR="00000000" w:rsidRPr="004E5EEF" w:rsidP="004E5EEF">
            <w:pPr>
              <w:pStyle w:val="BodyText"/>
            </w:pPr>
            <w:r w:rsidRPr="004E5EEF">
              <w:t>Resources for assessment include access to:</w:t>
            </w:r>
          </w:p>
          <w:p w:rsidR="00000000" w:rsidRPr="004E5EEF" w:rsidP="004E5EEF">
            <w:pPr>
              <w:pStyle w:val="ListBullet"/>
            </w:pPr>
            <w:r w:rsidRPr="004E5EEF">
              <w:t>industry-approved marine operations site where intermediate knowledge of marine steam turbines and main boilers can be demonstrated</w:t>
            </w:r>
          </w:p>
          <w:p w:rsidR="00000000" w:rsidRPr="004E5EEF" w:rsidP="004E5EEF">
            <w:pPr>
              <w:pStyle w:val="ListBullet"/>
            </w:pPr>
            <w:r w:rsidRPr="004E5EEF">
              <w:t>diagrams, specifications and other information related to marine steam turbines</w:t>
            </w:r>
          </w:p>
          <w:p w:rsidR="00000000" w:rsidRPr="004E5EEF" w:rsidP="004E5EEF">
            <w:pPr>
              <w:pStyle w:val="ListBullet"/>
            </w:pPr>
            <w:r w:rsidRPr="004E5EEF">
              <w:t>technical reference library with current publications on basic marine steam turbines</w:t>
            </w:r>
          </w:p>
          <w:p w:rsidR="00000000" w:rsidRPr="004E5EEF" w:rsidP="004E5EEF">
            <w:pPr>
              <w:pStyle w:val="ListBullet"/>
            </w:pPr>
            <w:r w:rsidRPr="004E5EEF">
              <w:t>tools, equipment and personal protective equipment currently used in industry</w:t>
            </w:r>
          </w:p>
          <w:p w:rsidR="00000000" w:rsidRPr="004E5EEF" w:rsidP="004E5EEF">
            <w:pPr>
              <w:pStyle w:val="ListBullet"/>
            </w:pPr>
            <w:r w:rsidRPr="004E5EEF">
              <w:t>relevant regulatory and equipment documentation that impacts on work activities</w:t>
            </w:r>
          </w:p>
          <w:p w:rsidR="00000000" w:rsidRPr="004E5EEF" w:rsidP="004E5EEF">
            <w:pPr>
              <w:pStyle w:val="ListBullet"/>
            </w:pPr>
            <w:r w:rsidRPr="004E5EEF">
              <w:t>range of rel</w:t>
            </w:r>
            <w:r w:rsidRPr="004E5EEF">
              <w:t>evant exercises, case studies and/or other simulated practical and knowledge assessments</w:t>
            </w:r>
          </w:p>
          <w:p w:rsidR="00000000" w:rsidRPr="004E5EEF" w:rsidP="004E5EEF">
            <w:pPr>
              <w:pStyle w:val="ListBullet"/>
            </w:pPr>
            <w:r w:rsidRPr="004E5EEF">
              <w:t>appropriate range of relevant operational situations in the workplace.</w:t>
            </w:r>
          </w:p>
          <w:p w:rsidR="00000000" w:rsidRPr="004E5EEF" w:rsidP="004E5EEF">
            <w:pPr>
              <w:pStyle w:val="BodyText"/>
            </w:pPr>
            <w:r w:rsidRPr="004E5EEF">
              <w:t>In both real and simulated environments, access is required to:</w:t>
            </w:r>
          </w:p>
          <w:p w:rsidR="00000000" w:rsidRPr="004E5EEF" w:rsidP="004E5EEF">
            <w:pPr>
              <w:pStyle w:val="ListBullet"/>
            </w:pPr>
            <w:r w:rsidRPr="004E5EEF">
              <w:t>relevant and appropriate materi</w:t>
            </w:r>
            <w:r w:rsidRPr="004E5EEF">
              <w:t>als and equipment</w:t>
            </w:r>
          </w:p>
          <w:p w:rsidR="00000000" w:rsidP="004E5EEF">
            <w:pPr>
              <w:pStyle w:val="ListBullet"/>
              <w:rPr>
                <w:lang w:val="en-NZ"/>
              </w:rPr>
            </w:pPr>
            <w:r w:rsidRPr="004E5EEF">
              <w:t>applicable documentation including workplace procedures, regulations, codes of practice and operation manuals.</w:t>
            </w:r>
          </w:p>
        </w:tc>
      </w:tr>
      <w:tr w:rsidTr="004E5EE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Practical assessment must occur in an:</w:t>
            </w:r>
          </w:p>
          <w:p w:rsidR="00000000" w:rsidRPr="004E5EEF" w:rsidP="004E5EEF">
            <w:pPr>
              <w:pStyle w:val="ListBullet"/>
            </w:pPr>
            <w:r w:rsidRPr="004E5EEF">
              <w:t>appropriately simulated workplace environment and/or</w:t>
            </w:r>
          </w:p>
          <w:p w:rsidR="00000000" w:rsidRPr="004E5EEF" w:rsidP="004E5EEF">
            <w:pPr>
              <w:pStyle w:val="ListBullet"/>
            </w:pPr>
            <w:r w:rsidRPr="004E5EEF">
              <w:t>appropriate range of situations in the workplace.</w:t>
            </w:r>
          </w:p>
          <w:p w:rsidR="00000000" w:rsidRPr="004E5EEF" w:rsidP="004E5EEF">
            <w:pPr>
              <w:pStyle w:val="BodyText"/>
            </w:pPr>
            <w:r w:rsidRPr="004E5EEF">
              <w:t>A range of assessment methods should be used to assess practical skills and knowledge. The following examples are appropriate to this unit:</w:t>
            </w:r>
          </w:p>
          <w:p w:rsidR="00000000" w:rsidRPr="004E5EEF" w:rsidP="004E5EEF">
            <w:pPr>
              <w:pStyle w:val="ListBullet"/>
            </w:pPr>
            <w:r w:rsidRPr="004E5EEF">
              <w:t>direct observation of the candidate demonstrating intermediate kn</w:t>
            </w:r>
            <w:r w:rsidRPr="004E5EEF">
              <w:t>owledge of marine steam turbines and main boilers</w:t>
            </w:r>
          </w:p>
          <w:p w:rsidR="00000000" w:rsidP="004E5EEF">
            <w:pPr>
              <w:pStyle w:val="ListBullet"/>
              <w:rPr>
                <w:lang w:val="en-NZ"/>
              </w:rPr>
            </w:pPr>
            <w:r w:rsidRPr="004E5EEF">
              <w:t>direct observation of the candidate applying relevant WHS/OHS requirements and work practices.</w:t>
            </w:r>
          </w:p>
        </w:tc>
      </w:tr>
      <w:tr w:rsidTr="004E5EE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E5EEF" w:rsidP="004E5EEF">
            <w:pPr>
              <w:pStyle w:val="BodyText"/>
            </w:pPr>
            <w:r w:rsidRPr="004E5EEF">
              <w:t>Holistic assessment with other units relevant to the industry sector, work</w:t>
            </w:r>
            <w:r w:rsidRPr="004E5EEF">
              <w:t>place and job role is recommended.</w:t>
            </w:r>
          </w:p>
          <w:p w:rsidR="00000000" w:rsidRPr="004E5EEF" w:rsidP="004E5EEF">
            <w:pPr>
              <w:pStyle w:val="BodyText"/>
            </w:pPr>
            <w:r w:rsidRPr="004E5EEF">
              <w:t>In all cases where practical assessment is used it should be combined with targeted questioning to assess Required Knowledge.</w:t>
            </w:r>
          </w:p>
          <w:p w:rsidR="00000000" w:rsidRPr="004E5EEF" w:rsidP="004E5EEF">
            <w:pPr>
              <w:pStyle w:val="BodyText"/>
            </w:pPr>
            <w:r w:rsidRPr="004E5EEF">
              <w:t>Assessment processes and techniques must be appropriate to the language and literacy requiremen</w:t>
            </w:r>
            <w:r w:rsidRPr="004E5EEF">
              <w:t>ts of the work being performed and the capacity of the candidate.</w:t>
            </w:r>
          </w:p>
        </w:tc>
      </w:tr>
    </w:tbl>
    <w:p w:rsidR="00000000" w:rsidRPr="004E5EEF" w:rsidP="004E5EEF">
      <w:pPr>
        <w:pStyle w:val="BodyText"/>
      </w:pPr>
    </w:p>
    <w:p w:rsidR="00000000" w:rsidRPr="004E5EEF" w:rsidP="004E5EEF">
      <w:pPr>
        <w:pStyle w:val="AllowPageBreak"/>
      </w:pPr>
    </w:p>
    <w:p w:rsidR="00000000" w:rsidRPr="004E5EEF" w:rsidP="004E5EEF">
      <w:pPr>
        <w:pStyle w:val="Heading1"/>
      </w:pPr>
      <w:bookmarkStart w:id="11" w:name="O_538379"/>
      <w:bookmarkEnd w:id="11"/>
      <w:r w:rsidRPr="004E5EEF">
        <w:t>Range Statement</w:t>
      </w:r>
    </w:p>
    <w:tbl>
      <w:tblPr>
        <w:tblW w:w="0" w:type="auto"/>
        <w:tblCellMar>
          <w:left w:w="62" w:type="dxa"/>
          <w:right w:w="62" w:type="dxa"/>
        </w:tblCellMar>
        <w:tblLook w:val="0000"/>
      </w:tblPr>
      <w:tblGrid>
        <w:gridCol w:w="2586"/>
        <w:gridCol w:w="6610"/>
      </w:tblGrid>
      <w:tr w:rsidTr="001018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 xml:space="preserve">The range statement relates to the unit of competency as a whole. It allows for different work environments and situations that may affect </w:t>
            </w:r>
            <w:r w:rsidRPr="004E5EEF">
              <w:t>performance. Bold italicised wording, if used in the performance criteria, is detailed below.</w:t>
            </w:r>
          </w:p>
        </w:tc>
      </w:tr>
      <w:tr w:rsidTr="001018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5EEF">
            <w:pPr>
              <w:pStyle w:val="BodyText"/>
              <w:rPr>
                <w:lang w:val="en-NZ"/>
              </w:rPr>
            </w:pPr>
            <w:r w:rsidRPr="004E5EEF">
              <w:t>Accessories may include:</w:t>
            </w:r>
          </w:p>
        </w:tc>
        <w:tc>
          <w:tcPr>
            <w:tcW w:w="0" w:type="auto"/>
            <w:tcBorders>
              <w:top w:val="nil"/>
              <w:left w:val="nil"/>
              <w:bottom w:val="nil"/>
              <w:right w:val="nil"/>
            </w:tcBorders>
            <w:tcMar>
              <w:top w:w="0" w:type="dxa"/>
              <w:left w:w="62" w:type="dxa"/>
              <w:bottom w:w="0" w:type="dxa"/>
              <w:right w:w="62" w:type="dxa"/>
            </w:tcMar>
          </w:tcPr>
          <w:p w:rsidR="00000000" w:rsidRPr="004E5EEF" w:rsidP="004E5EEF">
            <w:pPr>
              <w:pStyle w:val="ListBullet"/>
            </w:pPr>
            <w:r w:rsidRPr="004E5EEF">
              <w:t>Accessory gear</w:t>
            </w:r>
          </w:p>
          <w:p w:rsidR="00000000" w:rsidRPr="004E5EEF" w:rsidP="004E5EEF">
            <w:pPr>
              <w:pStyle w:val="ListBullet"/>
            </w:pPr>
            <w:r w:rsidRPr="004E5EEF">
              <w:t>Lube oil:</w:t>
            </w:r>
          </w:p>
          <w:p w:rsidR="00000000" w:rsidRPr="004E5EEF" w:rsidP="004E5EEF">
            <w:pPr>
              <w:pStyle w:val="ListBullet2"/>
            </w:pPr>
            <w:r w:rsidRPr="004E5EEF">
              <w:t>coolers</w:t>
            </w:r>
          </w:p>
          <w:p w:rsidR="00000000" w:rsidRPr="004E5EEF" w:rsidP="004E5EEF">
            <w:pPr>
              <w:pStyle w:val="ListBullet2"/>
            </w:pPr>
            <w:r w:rsidRPr="004E5EEF">
              <w:t>pumps</w:t>
            </w:r>
          </w:p>
          <w:p w:rsidR="00000000" w:rsidRPr="004E5EEF" w:rsidP="004E5EEF">
            <w:pPr>
              <w:pStyle w:val="ListBullet2"/>
            </w:pPr>
            <w:r w:rsidRPr="004E5EEF">
              <w:t>filters</w:t>
            </w:r>
          </w:p>
          <w:p w:rsidR="00000000" w:rsidRPr="004E5EEF" w:rsidP="004E5EEF">
            <w:pPr>
              <w:pStyle w:val="ListBullet"/>
            </w:pPr>
            <w:r w:rsidRPr="004E5EEF">
              <w:t>Starting devices</w:t>
            </w:r>
          </w:p>
        </w:tc>
      </w:tr>
    </w:tbl>
    <w:p w:rsidR="00000000" w:rsidRPr="004E5EEF" w:rsidP="004E5EEF">
      <w:pPr>
        <w:pStyle w:val="BodyText"/>
      </w:pPr>
    </w:p>
    <w:p w:rsidR="00000000" w:rsidRPr="004E5EEF" w:rsidP="004E5EEF">
      <w:pPr>
        <w:pStyle w:val="AllowPageBreak"/>
      </w:pPr>
    </w:p>
    <w:p w:rsidR="00000000" w:rsidRPr="004E5EEF" w:rsidP="004E5EEF">
      <w:pPr>
        <w:pStyle w:val="Heading1"/>
      </w:pPr>
      <w:bookmarkStart w:id="12" w:name="O_538378"/>
      <w:bookmarkEnd w:id="12"/>
      <w:r w:rsidRPr="004E5EEF">
        <w:t>Unit Sector(s)</w:t>
      </w:r>
    </w:p>
    <w:p w:rsidR="00000000" w:rsidRPr="004E5EEF" w:rsidP="004E5EEF">
      <w:pPr>
        <w:pStyle w:val="BodyText"/>
      </w:pPr>
      <w:r w:rsidRPr="004E5EEF">
        <w:t>Not applicable.</w:t>
      </w:r>
    </w:p>
    <w:p w:rsidR="00000000" w:rsidRPr="004E5EEF" w:rsidP="004E5EEF">
      <w:pPr>
        <w:pStyle w:val="AllowPageBreak"/>
      </w:pPr>
    </w:p>
    <w:p w:rsidR="00000000" w:rsidRPr="004E5EEF" w:rsidP="004E5EEF">
      <w:pPr>
        <w:pStyle w:val="Heading1"/>
      </w:pPr>
      <w:bookmarkStart w:id="13" w:name="O_538377"/>
      <w:bookmarkEnd w:id="13"/>
      <w:r w:rsidRPr="004E5EEF">
        <w:t>Competency Field</w:t>
      </w:r>
    </w:p>
    <w:p w:rsidR="00000000" w:rsidRPr="004E5EEF" w:rsidP="004E5EEF">
      <w:pPr>
        <w:pStyle w:val="BodyText"/>
      </w:pPr>
      <w:r w:rsidRPr="004E5EEF">
        <w:t>Marine Engineering</w:t>
      </w:r>
    </w:p>
    <w:p w:rsidR="00000000" w:rsidRPr="004E5EEF" w:rsidP="004E5EEF"/>
    <w:sectPr w:rsidSect="004E5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rsidRPr="001018F2" w:rsidP="00101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F2" w:rsidP="004E5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18F2" w:rsidP="004E5E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18F2" w:rsidP="004E5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rsidRPr="001018F2" w:rsidP="001018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F2" w:rsidRPr="002D2AF8" w:rsidP="004E5EEF">
    <w:pPr>
      <w:pStyle w:val="Header"/>
      <w:framePr w:wrap="around"/>
    </w:pPr>
    <w:r>
      <w:fldChar w:fldCharType="begin"/>
    </w:r>
    <w:r>
      <w:instrText xml:space="preserve"> TITLE   \* MERGEFORMAT </w:instrText>
    </w:r>
    <w:r>
      <w:fldChar w:fldCharType="separate"/>
    </w:r>
    <w:r>
      <w:t>MARL6016A Demonstrate intermediate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018F2" w:rsidP="004E5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47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C9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EF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EEF"/>
    <w:pPr>
      <w:spacing w:before="360" w:after="60"/>
      <w:outlineLvl w:val="0"/>
    </w:pPr>
    <w:rPr>
      <w:sz w:val="32"/>
    </w:rPr>
  </w:style>
  <w:style w:type="paragraph" w:styleId="Heading2">
    <w:name w:val="heading 2"/>
    <w:basedOn w:val="HeadingBase"/>
    <w:next w:val="BodyText"/>
    <w:link w:val="Heading2Char"/>
    <w:qFormat/>
    <w:rsid w:val="004E5EEF"/>
    <w:pPr>
      <w:keepLines/>
      <w:spacing w:before="240" w:after="120"/>
      <w:outlineLvl w:val="1"/>
    </w:pPr>
    <w:rPr>
      <w:sz w:val="28"/>
      <w:szCs w:val="40"/>
    </w:rPr>
  </w:style>
  <w:style w:type="paragraph" w:styleId="Heading3">
    <w:name w:val="heading 3"/>
    <w:basedOn w:val="HeadingBase"/>
    <w:next w:val="BodyText"/>
    <w:link w:val="Heading3Char"/>
    <w:qFormat/>
    <w:rsid w:val="004E5EEF"/>
    <w:pPr>
      <w:spacing w:before="180" w:after="120"/>
      <w:outlineLvl w:val="2"/>
    </w:pPr>
    <w:rPr>
      <w:spacing w:val="-10"/>
      <w:kern w:val="32"/>
    </w:rPr>
  </w:style>
  <w:style w:type="paragraph" w:styleId="Heading4">
    <w:name w:val="heading 4"/>
    <w:basedOn w:val="HeadingBase"/>
    <w:next w:val="BodyText"/>
    <w:link w:val="Heading4Char"/>
    <w:qFormat/>
    <w:rsid w:val="004E5EEF"/>
    <w:pPr>
      <w:spacing w:before="160" w:after="120"/>
      <w:outlineLvl w:val="3"/>
    </w:pPr>
    <w:rPr>
      <w:sz w:val="22"/>
    </w:rPr>
  </w:style>
  <w:style w:type="paragraph" w:styleId="Heading5">
    <w:name w:val="heading 5"/>
    <w:basedOn w:val="HeadingBase"/>
    <w:next w:val="Normal"/>
    <w:link w:val="Heading5Char"/>
    <w:qFormat/>
    <w:rsid w:val="004E5EEF"/>
    <w:pPr>
      <w:spacing w:before="80"/>
      <w:outlineLvl w:val="4"/>
    </w:pPr>
    <w:rPr>
      <w:color w:val="918585"/>
      <w:sz w:val="20"/>
    </w:rPr>
  </w:style>
  <w:style w:type="paragraph" w:styleId="Heading6">
    <w:name w:val="heading 6"/>
    <w:basedOn w:val="HeadingBase"/>
    <w:next w:val="Normal"/>
    <w:link w:val="Heading6Char"/>
    <w:qFormat/>
    <w:rsid w:val="004E5EEF"/>
    <w:pPr>
      <w:spacing w:before="60"/>
      <w:outlineLvl w:val="5"/>
    </w:pPr>
    <w:rPr>
      <w:color w:val="918585"/>
      <w:sz w:val="20"/>
    </w:rPr>
  </w:style>
  <w:style w:type="paragraph" w:styleId="Heading7">
    <w:name w:val="heading 7"/>
    <w:basedOn w:val="Normal"/>
    <w:next w:val="Normal"/>
    <w:link w:val="Heading7Char"/>
    <w:qFormat/>
    <w:rsid w:val="004E5EEF"/>
    <w:pPr>
      <w:ind w:left="720"/>
      <w:outlineLvl w:val="6"/>
    </w:pPr>
    <w:rPr>
      <w:i/>
    </w:rPr>
  </w:style>
  <w:style w:type="paragraph" w:styleId="Heading8">
    <w:name w:val="heading 8"/>
    <w:basedOn w:val="Normal"/>
    <w:next w:val="Normal"/>
    <w:link w:val="Heading8Char"/>
    <w:qFormat/>
    <w:rsid w:val="004E5EEF"/>
    <w:pPr>
      <w:ind w:left="720"/>
      <w:outlineLvl w:val="7"/>
    </w:pPr>
    <w:rPr>
      <w:i/>
    </w:rPr>
  </w:style>
  <w:style w:type="paragraph" w:styleId="Heading9">
    <w:name w:val="heading 9"/>
    <w:basedOn w:val="Normal"/>
    <w:next w:val="Normal"/>
    <w:link w:val="Heading9Char"/>
    <w:qFormat/>
    <w:rsid w:val="004E5EEF"/>
    <w:pPr>
      <w:ind w:left="720"/>
      <w:outlineLvl w:val="8"/>
    </w:pPr>
    <w:rPr>
      <w:i/>
    </w:rPr>
  </w:style>
  <w:style w:type="character" w:default="1" w:styleId="DefaultParagraphFont">
    <w:name w:val="Default Paragraph Font"/>
    <w:uiPriority w:val="1"/>
    <w:unhideWhenUsed/>
    <w:rsid w:val="004E5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EEF"/>
  </w:style>
  <w:style w:type="character" w:customStyle="1" w:styleId="Heading1Char">
    <w:name w:val="Heading 1 Char"/>
    <w:basedOn w:val="DefaultParagraphFont"/>
    <w:link w:val="Heading1"/>
    <w:rsid w:val="004E5EEF"/>
    <w:rPr>
      <w:rFonts w:ascii="Times New Roman" w:eastAsia="Times New Roman" w:hAnsi="Times New Roman" w:cs="Times New Roman"/>
      <w:b/>
      <w:sz w:val="32"/>
      <w:szCs w:val="20"/>
      <w:lang w:eastAsia="en-US"/>
    </w:rPr>
  </w:style>
  <w:style w:type="paragraph" w:styleId="BodyText">
    <w:name w:val="Body Text"/>
    <w:basedOn w:val="Normal"/>
    <w:link w:val="BodyTextChar"/>
    <w:rsid w:val="004E5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EEF"/>
    <w:rPr>
      <w:rFonts w:ascii="Times New Roman" w:eastAsia="Times New Roman" w:hAnsi="Times New Roman" w:cs="Times New Roman"/>
      <w:sz w:val="24"/>
      <w:lang w:eastAsia="en-US"/>
    </w:rPr>
  </w:style>
  <w:style w:type="paragraph" w:styleId="ListBullet">
    <w:name w:val="List Bullet"/>
    <w:basedOn w:val="List"/>
    <w:rsid w:val="004E5EEF"/>
    <w:pPr>
      <w:numPr>
        <w:numId w:val="13"/>
      </w:numPr>
      <w:tabs>
        <w:tab w:val="clear" w:pos="340"/>
      </w:tabs>
      <w:spacing w:before="40" w:after="40"/>
    </w:pPr>
  </w:style>
  <w:style w:type="character" w:customStyle="1" w:styleId="SpecialBold">
    <w:name w:val="Special Bold"/>
    <w:basedOn w:val="DefaultParagraphFont"/>
    <w:rsid w:val="004E5EEF"/>
    <w:rPr>
      <w:b/>
      <w:spacing w:val="0"/>
    </w:rPr>
  </w:style>
  <w:style w:type="paragraph" w:styleId="ListBullet2">
    <w:name w:val="List Bullet 2"/>
    <w:basedOn w:val="List2"/>
    <w:rsid w:val="004E5EEF"/>
    <w:pPr>
      <w:numPr>
        <w:numId w:val="14"/>
      </w:numPr>
      <w:tabs>
        <w:tab w:val="clear" w:pos="680"/>
      </w:tabs>
    </w:pPr>
  </w:style>
  <w:style w:type="paragraph" w:customStyle="1" w:styleId="SuperHeading">
    <w:name w:val="SuperHeading"/>
    <w:basedOn w:val="Normal"/>
    <w:rsid w:val="004E5EEF"/>
    <w:pPr>
      <w:spacing w:before="240" w:after="120"/>
      <w:outlineLvl w:val="0"/>
    </w:pPr>
    <w:rPr>
      <w:rFonts w:ascii="Times New Roman" w:hAnsi="Times New Roman"/>
      <w:b/>
      <w:sz w:val="32"/>
    </w:rPr>
  </w:style>
  <w:style w:type="paragraph" w:customStyle="1" w:styleId="AllowPageBreak">
    <w:name w:val="AllowPageBreak"/>
    <w:rsid w:val="004E5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5EEF"/>
    <w:rPr>
      <w:b/>
      <w:i/>
      <w:u w:val="none"/>
    </w:rPr>
  </w:style>
  <w:style w:type="character" w:customStyle="1" w:styleId="Heading2Char">
    <w:name w:val="Heading 2 Char"/>
    <w:basedOn w:val="DefaultParagraphFont"/>
    <w:link w:val="Heading2"/>
    <w:rsid w:val="004E5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EEF"/>
    <w:rPr>
      <w:rFonts w:ascii="Courier New" w:eastAsia="Times New Roman" w:hAnsi="Courier New" w:cs="Times New Roman"/>
      <w:i/>
      <w:szCs w:val="20"/>
      <w:lang w:eastAsia="en-US"/>
    </w:rPr>
  </w:style>
  <w:style w:type="paragraph" w:customStyle="1" w:styleId="HeadingBase">
    <w:name w:val="Heading Base"/>
    <w:rsid w:val="004E5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EEF"/>
    <w:pPr>
      <w:tabs>
        <w:tab w:val="right" w:leader="dot" w:pos="9072"/>
      </w:tabs>
      <w:ind w:left="567"/>
    </w:pPr>
    <w:rPr>
      <w:szCs w:val="22"/>
    </w:rPr>
  </w:style>
  <w:style w:type="paragraph" w:customStyle="1" w:styleId="TOCBase">
    <w:name w:val="TOC Base"/>
    <w:rsid w:val="004E5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EEF"/>
    <w:pPr>
      <w:tabs>
        <w:tab w:val="right" w:leader="dot" w:pos="9072"/>
      </w:tabs>
      <w:spacing w:before="40" w:after="40"/>
      <w:ind w:left="284"/>
    </w:pPr>
    <w:rPr>
      <w:rFonts w:ascii="Times New Roman" w:hAnsi="Times New Roman"/>
    </w:rPr>
  </w:style>
  <w:style w:type="paragraph" w:styleId="TOC1">
    <w:name w:val="toc 1"/>
    <w:basedOn w:val="TOCBase"/>
    <w:next w:val="Normal"/>
    <w:rsid w:val="004E5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EEF"/>
    <w:rPr>
      <w:rFonts w:ascii="Times New Roman" w:eastAsia="Times New Roman" w:hAnsi="Times New Roman" w:cs="Times New Roman"/>
      <w:sz w:val="16"/>
      <w:lang w:eastAsia="en-US"/>
    </w:rPr>
  </w:style>
  <w:style w:type="paragraph" w:styleId="Title">
    <w:name w:val="Title"/>
    <w:basedOn w:val="HeadingBase"/>
    <w:link w:val="TitleChar"/>
    <w:qFormat/>
    <w:rsid w:val="004E5EEF"/>
    <w:pPr>
      <w:spacing w:before="5040"/>
      <w:jc w:val="center"/>
    </w:pPr>
    <w:rPr>
      <w:sz w:val="48"/>
      <w:szCs w:val="72"/>
      <w:lang w:val="en-US"/>
    </w:rPr>
  </w:style>
  <w:style w:type="character" w:customStyle="1" w:styleId="TitleChar">
    <w:name w:val="Title Char"/>
    <w:basedOn w:val="DefaultParagraphFont"/>
    <w:link w:val="Title"/>
    <w:rsid w:val="004E5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EEF"/>
    <w:pPr>
      <w:tabs>
        <w:tab w:val="left" w:pos="3600"/>
        <w:tab w:val="left" w:pos="3958"/>
      </w:tabs>
    </w:pPr>
  </w:style>
  <w:style w:type="paragraph" w:styleId="List">
    <w:name w:val="List"/>
    <w:basedOn w:val="BodyText"/>
    <w:next w:val="BodyText"/>
    <w:rsid w:val="004E5EEF"/>
    <w:pPr>
      <w:tabs>
        <w:tab w:val="left" w:pos="340"/>
      </w:tabs>
      <w:spacing w:before="60" w:after="60"/>
      <w:ind w:left="340" w:hanging="340"/>
    </w:pPr>
  </w:style>
  <w:style w:type="paragraph" w:customStyle="1" w:styleId="Note">
    <w:name w:val="Note"/>
    <w:basedOn w:val="BodyText"/>
    <w:rsid w:val="004E5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EEF"/>
    <w:pPr>
      <w:framePr w:wrap="auto" w:hAnchor="text" w:y="6049"/>
    </w:pPr>
    <w:rPr>
      <w:color w:val="000000"/>
      <w:sz w:val="40"/>
    </w:rPr>
  </w:style>
  <w:style w:type="paragraph" w:customStyle="1" w:styleId="TOCTitle">
    <w:name w:val="TOCTitle"/>
    <w:basedOn w:val="Heading1"/>
    <w:rsid w:val="004E5EEF"/>
    <w:pPr>
      <w:spacing w:after="240"/>
      <w:jc w:val="center"/>
      <w:outlineLvl w:val="9"/>
    </w:pPr>
    <w:rPr>
      <w:caps/>
    </w:rPr>
  </w:style>
  <w:style w:type="paragraph" w:customStyle="1" w:styleId="Version">
    <w:name w:val="Version"/>
    <w:rsid w:val="004E5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EEF"/>
    <w:pPr>
      <w:keepNext w:val="0"/>
      <w:tabs>
        <w:tab w:val="right" w:pos="4176"/>
      </w:tabs>
      <w:ind w:left="198" w:hanging="198"/>
    </w:pPr>
    <w:rPr>
      <w:rFonts w:ascii="Garamond" w:hAnsi="Garamond"/>
    </w:rPr>
  </w:style>
  <w:style w:type="paragraph" w:styleId="IndexHeading">
    <w:name w:val="index heading"/>
    <w:basedOn w:val="Normal"/>
    <w:next w:val="Index1"/>
    <w:semiHidden/>
    <w:rsid w:val="004E5EEF"/>
    <w:pPr>
      <w:spacing w:before="120" w:after="120"/>
    </w:pPr>
    <w:rPr>
      <w:rFonts w:ascii="Arial" w:hAnsi="Arial"/>
      <w:b/>
      <w:color w:val="918585"/>
      <w:sz w:val="24"/>
    </w:rPr>
  </w:style>
  <w:style w:type="paragraph" w:styleId="Header">
    <w:name w:val="header"/>
    <w:basedOn w:val="Normal"/>
    <w:link w:val="HeaderChar"/>
    <w:rsid w:val="004E5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EEF"/>
    <w:rPr>
      <w:rFonts w:ascii="Times New Roman" w:eastAsia="Times New Roman" w:hAnsi="Times New Roman" w:cs="Times New Roman"/>
      <w:sz w:val="16"/>
      <w:szCs w:val="20"/>
      <w:lang w:val="en-GB" w:eastAsia="en-US"/>
    </w:rPr>
  </w:style>
  <w:style w:type="paragraph" w:customStyle="1" w:styleId="Chapter">
    <w:name w:val="Chapter"/>
    <w:basedOn w:val="Normal"/>
    <w:rsid w:val="004E5EEF"/>
    <w:pPr>
      <w:spacing w:before="240"/>
    </w:pPr>
    <w:rPr>
      <w:rFonts w:ascii="Times New Roman" w:hAnsi="Times New Roman"/>
      <w:smallCaps/>
      <w:spacing w:val="80"/>
      <w:sz w:val="28"/>
    </w:rPr>
  </w:style>
  <w:style w:type="paragraph" w:customStyle="1" w:styleId="InChapter">
    <w:name w:val="InChapter"/>
    <w:basedOn w:val="Heading3"/>
    <w:rsid w:val="004E5EEF"/>
    <w:pPr>
      <w:spacing w:after="240"/>
      <w:outlineLvl w:val="9"/>
    </w:pPr>
    <w:rPr>
      <w:noProof/>
    </w:rPr>
  </w:style>
  <w:style w:type="paragraph" w:styleId="Index2">
    <w:name w:val="index 2"/>
    <w:basedOn w:val="Normal"/>
    <w:next w:val="Normal"/>
    <w:semiHidden/>
    <w:rsid w:val="004E5EEF"/>
    <w:pPr>
      <w:tabs>
        <w:tab w:val="right" w:pos="4176"/>
      </w:tabs>
      <w:ind w:left="568" w:hanging="284"/>
    </w:pPr>
    <w:rPr>
      <w:rFonts w:ascii="Garamond" w:hAnsi="Garamond"/>
    </w:rPr>
  </w:style>
  <w:style w:type="paragraph" w:customStyle="1" w:styleId="Byline">
    <w:name w:val="Byline"/>
    <w:rsid w:val="004E5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EEF"/>
    <w:pPr>
      <w:tabs>
        <w:tab w:val="clear" w:pos="3600"/>
        <w:tab w:val="clear" w:pos="3958"/>
      </w:tabs>
      <w:jc w:val="right"/>
    </w:pPr>
  </w:style>
  <w:style w:type="character" w:styleId="Emphasis">
    <w:name w:val="Emphasis"/>
    <w:basedOn w:val="DefaultParagraphFont"/>
    <w:qFormat/>
    <w:rsid w:val="004E5EEF"/>
    <w:rPr>
      <w:i/>
    </w:rPr>
  </w:style>
  <w:style w:type="paragraph" w:styleId="Caption">
    <w:name w:val="caption"/>
    <w:basedOn w:val="BodyText"/>
    <w:next w:val="Normal"/>
    <w:qFormat/>
    <w:rsid w:val="004E5EEF"/>
    <w:pPr>
      <w:framePr w:w="2268" w:hSpace="181" w:vSpace="181" w:wrap="around" w:vAnchor="text" w:hAnchor="page" w:x="1135" w:y="285" w:anchorLock="1"/>
    </w:pPr>
    <w:rPr>
      <w:i/>
    </w:rPr>
  </w:style>
  <w:style w:type="paragraph" w:customStyle="1" w:styleId="MiniTOCTitle">
    <w:name w:val="MiniTOCTitle"/>
    <w:basedOn w:val="Heading4"/>
    <w:rsid w:val="004E5EEF"/>
    <w:pPr>
      <w:spacing w:before="240"/>
      <w:outlineLvl w:val="9"/>
    </w:pPr>
    <w:rPr>
      <w:noProof/>
      <w:sz w:val="24"/>
    </w:rPr>
  </w:style>
  <w:style w:type="paragraph" w:customStyle="1" w:styleId="MiniTOCItem">
    <w:name w:val="MiniTOCItem"/>
    <w:basedOn w:val="ListBullet"/>
    <w:rsid w:val="004E5EEF"/>
    <w:pPr>
      <w:numPr>
        <w:numId w:val="0"/>
      </w:numPr>
      <w:tabs>
        <w:tab w:val="right" w:leader="dot" w:pos="6521"/>
      </w:tabs>
      <w:spacing w:before="0" w:after="0"/>
    </w:pPr>
  </w:style>
  <w:style w:type="paragraph" w:customStyle="1" w:styleId="TOFTitle">
    <w:name w:val="TOFTitle"/>
    <w:basedOn w:val="TOCTitle"/>
    <w:rsid w:val="004E5EEF"/>
  </w:style>
  <w:style w:type="paragraph" w:styleId="TableofFigures">
    <w:name w:val="table of figures"/>
    <w:basedOn w:val="Normal"/>
    <w:next w:val="Normal"/>
    <w:semiHidden/>
    <w:rsid w:val="004E5EEF"/>
    <w:pPr>
      <w:tabs>
        <w:tab w:val="right" w:leader="dot" w:pos="9072"/>
      </w:tabs>
      <w:ind w:left="970" w:hanging="403"/>
    </w:pPr>
    <w:rPr>
      <w:rFonts w:ascii="Times New Roman" w:hAnsi="Times New Roman"/>
      <w:b/>
    </w:rPr>
  </w:style>
  <w:style w:type="paragraph" w:styleId="ListNumber">
    <w:name w:val="List Number"/>
    <w:basedOn w:val="List"/>
    <w:rsid w:val="004E5EEF"/>
    <w:pPr>
      <w:numPr>
        <w:numId w:val="11"/>
      </w:numPr>
    </w:pPr>
  </w:style>
  <w:style w:type="character" w:customStyle="1" w:styleId="WingdingSymbols">
    <w:name w:val="Wingding Symbols"/>
    <w:rsid w:val="004E5EEF"/>
    <w:rPr>
      <w:rFonts w:ascii="Wingdings" w:hAnsi="Wingdings"/>
    </w:rPr>
  </w:style>
  <w:style w:type="paragraph" w:customStyle="1" w:styleId="TableHeading">
    <w:name w:val="Table Heading"/>
    <w:basedOn w:val="HeadingBase"/>
    <w:rsid w:val="004E5EEF"/>
    <w:pPr>
      <w:keepLines/>
      <w:pBdr>
        <w:bottom w:val="single" w:sz="6" w:space="1" w:color="918585"/>
      </w:pBdr>
      <w:spacing w:before="240"/>
    </w:pPr>
  </w:style>
  <w:style w:type="character" w:customStyle="1" w:styleId="HotSpot">
    <w:name w:val="HotSpot"/>
    <w:rsid w:val="004E5EEF"/>
    <w:rPr>
      <w:color w:val="0033CC"/>
      <w:u w:val="none"/>
    </w:rPr>
  </w:style>
  <w:style w:type="paragraph" w:customStyle="1" w:styleId="BodyTextRight">
    <w:name w:val="Body Text Right"/>
    <w:basedOn w:val="BodyText"/>
    <w:rsid w:val="004E5EEF"/>
    <w:pPr>
      <w:spacing w:before="0" w:after="0"/>
      <w:jc w:val="right"/>
    </w:pPr>
  </w:style>
  <w:style w:type="paragraph" w:styleId="Index3">
    <w:name w:val="index 3"/>
    <w:basedOn w:val="ListNumber2"/>
    <w:next w:val="Normal"/>
    <w:semiHidden/>
    <w:rsid w:val="004E5EEF"/>
    <w:pPr>
      <w:numPr>
        <w:numId w:val="0"/>
      </w:numPr>
      <w:tabs>
        <w:tab w:val="right" w:leader="dot" w:pos="4176"/>
      </w:tabs>
    </w:pPr>
  </w:style>
  <w:style w:type="paragraph" w:styleId="ListNumber2">
    <w:name w:val="List Number 2"/>
    <w:basedOn w:val="List2"/>
    <w:rsid w:val="004E5EEF"/>
    <w:pPr>
      <w:numPr>
        <w:numId w:val="10"/>
      </w:numPr>
      <w:tabs>
        <w:tab w:val="clear" w:pos="1060"/>
      </w:tabs>
    </w:pPr>
  </w:style>
  <w:style w:type="paragraph" w:customStyle="1" w:styleId="MarginNote">
    <w:name w:val="Margin Note"/>
    <w:basedOn w:val="BodyText"/>
    <w:rsid w:val="004E5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EEF"/>
    <w:rPr>
      <w:sz w:val="32"/>
    </w:rPr>
  </w:style>
  <w:style w:type="paragraph" w:customStyle="1" w:styleId="HeadingProcedure">
    <w:name w:val="Heading Procedure"/>
    <w:basedOn w:val="HeadingBase"/>
    <w:next w:val="Normal"/>
    <w:rsid w:val="004E5EEF"/>
    <w:pPr>
      <w:tabs>
        <w:tab w:val="left" w:pos="0"/>
      </w:tabs>
      <w:spacing w:before="120" w:after="60"/>
    </w:pPr>
    <w:rPr>
      <w:i/>
      <w:color w:val="918585"/>
      <w:sz w:val="22"/>
    </w:rPr>
  </w:style>
  <w:style w:type="paragraph" w:customStyle="1" w:styleId="TableBodyText">
    <w:name w:val="Table Body Text"/>
    <w:basedOn w:val="BodyText"/>
    <w:rsid w:val="004E5EEF"/>
    <w:pPr>
      <w:spacing w:before="60" w:after="60"/>
    </w:pPr>
  </w:style>
  <w:style w:type="paragraph" w:styleId="ListContinue">
    <w:name w:val="List Continue"/>
    <w:basedOn w:val="List"/>
    <w:rsid w:val="004E5EEF"/>
    <w:pPr>
      <w:ind w:firstLine="0"/>
    </w:pPr>
  </w:style>
  <w:style w:type="paragraph" w:customStyle="1" w:styleId="ListNote">
    <w:name w:val="List Note"/>
    <w:basedOn w:val="List"/>
    <w:rsid w:val="004E5EEF"/>
    <w:pPr>
      <w:pBdr>
        <w:top w:val="single" w:sz="6" w:space="2" w:color="918585"/>
        <w:bottom w:val="single" w:sz="6" w:space="2" w:color="918585"/>
      </w:pBdr>
      <w:tabs>
        <w:tab w:val="left" w:pos="1021"/>
      </w:tabs>
      <w:ind w:firstLine="0"/>
    </w:pPr>
  </w:style>
  <w:style w:type="paragraph" w:customStyle="1" w:styleId="Warning">
    <w:name w:val="Warning"/>
    <w:basedOn w:val="BodyText"/>
    <w:rsid w:val="004E5EEF"/>
    <w:pPr>
      <w:shd w:val="clear" w:color="auto" w:fill="D9D9D9"/>
      <w:tabs>
        <w:tab w:val="left" w:pos="992"/>
      </w:tabs>
      <w:ind w:left="119" w:right="119"/>
    </w:pPr>
    <w:rPr>
      <w:sz w:val="20"/>
    </w:rPr>
  </w:style>
  <w:style w:type="paragraph" w:customStyle="1" w:styleId="MarginIcons">
    <w:name w:val="Margin Icons"/>
    <w:basedOn w:val="BodyText"/>
    <w:rsid w:val="004E5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EEF"/>
    <w:rPr>
      <w:rFonts w:ascii="Courier New" w:hAnsi="Courier New"/>
    </w:rPr>
  </w:style>
  <w:style w:type="paragraph" w:customStyle="1" w:styleId="NoteBullet">
    <w:name w:val="Note Bullet"/>
    <w:basedOn w:val="Note"/>
    <w:rsid w:val="004E5EEF"/>
    <w:pPr>
      <w:tabs>
        <w:tab w:val="clear" w:pos="680"/>
      </w:tabs>
      <w:spacing w:before="60" w:after="60"/>
    </w:pPr>
  </w:style>
  <w:style w:type="paragraph" w:customStyle="1" w:styleId="SubHeading2">
    <w:name w:val="SubHeading2"/>
    <w:basedOn w:val="HeadingBase"/>
    <w:rsid w:val="004E5EEF"/>
    <w:pPr>
      <w:spacing w:before="240" w:after="60"/>
    </w:pPr>
    <w:rPr>
      <w:sz w:val="20"/>
    </w:rPr>
  </w:style>
  <w:style w:type="paragraph" w:customStyle="1" w:styleId="SubHeading1">
    <w:name w:val="SubHeading1"/>
    <w:basedOn w:val="HeadingBase"/>
    <w:rsid w:val="004E5EEF"/>
    <w:pPr>
      <w:spacing w:before="240" w:after="60"/>
    </w:pPr>
    <w:rPr>
      <w:color w:val="918585"/>
      <w:sz w:val="22"/>
    </w:rPr>
  </w:style>
  <w:style w:type="paragraph" w:customStyle="1" w:styleId="SideHeading">
    <w:name w:val="Side Heading"/>
    <w:basedOn w:val="HeadingBase"/>
    <w:rsid w:val="004E5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EEF"/>
    <w:pPr>
      <w:numPr>
        <w:numId w:val="12"/>
      </w:numPr>
    </w:pPr>
  </w:style>
  <w:style w:type="paragraph" w:styleId="PlainText">
    <w:name w:val="Plain Text"/>
    <w:basedOn w:val="Normal"/>
    <w:link w:val="PlainTextChar"/>
    <w:rsid w:val="004E5EEF"/>
    <w:rPr>
      <w:sz w:val="20"/>
    </w:rPr>
  </w:style>
  <w:style w:type="character" w:customStyle="1" w:styleId="PlainTextChar">
    <w:name w:val="Plain Text Char"/>
    <w:basedOn w:val="DefaultParagraphFont"/>
    <w:link w:val="PlainText"/>
    <w:rsid w:val="004E5EEF"/>
    <w:rPr>
      <w:rFonts w:ascii="Courier New" w:eastAsia="Times New Roman" w:hAnsi="Courier New" w:cs="Times New Roman"/>
      <w:sz w:val="20"/>
      <w:szCs w:val="20"/>
      <w:lang w:eastAsia="en-US"/>
    </w:rPr>
  </w:style>
  <w:style w:type="character" w:customStyle="1" w:styleId="MenuOption">
    <w:name w:val="Menu Option"/>
    <w:basedOn w:val="DefaultParagraphFont"/>
    <w:rsid w:val="004E5EEF"/>
    <w:rPr>
      <w:b/>
      <w:smallCaps/>
    </w:rPr>
  </w:style>
  <w:style w:type="paragraph" w:customStyle="1" w:styleId="TableListNumber">
    <w:name w:val="Table List Number"/>
    <w:basedOn w:val="ListNumber"/>
    <w:rsid w:val="004E5EEF"/>
    <w:pPr>
      <w:numPr>
        <w:numId w:val="0"/>
      </w:numPr>
    </w:pPr>
  </w:style>
  <w:style w:type="paragraph" w:styleId="TOC4">
    <w:name w:val="toc 4"/>
    <w:basedOn w:val="TOCBase"/>
    <w:next w:val="Normal"/>
    <w:semiHidden/>
    <w:rsid w:val="004E5EEF"/>
    <w:pPr>
      <w:tabs>
        <w:tab w:val="right" w:leader="dot" w:pos="9071"/>
      </w:tabs>
      <w:ind w:left="1701"/>
    </w:pPr>
  </w:style>
  <w:style w:type="paragraph" w:customStyle="1" w:styleId="ListAlpha">
    <w:name w:val="List Alpha"/>
    <w:basedOn w:val="List"/>
    <w:rsid w:val="004E5EEF"/>
    <w:pPr>
      <w:numPr>
        <w:numId w:val="9"/>
      </w:numPr>
    </w:pPr>
  </w:style>
  <w:style w:type="paragraph" w:customStyle="1" w:styleId="ListAlpha2">
    <w:name w:val="List Alpha 2"/>
    <w:basedOn w:val="List2"/>
    <w:rsid w:val="004E5EEF"/>
    <w:pPr>
      <w:numPr>
        <w:numId w:val="8"/>
      </w:numPr>
    </w:pPr>
  </w:style>
  <w:style w:type="paragraph" w:styleId="List2">
    <w:name w:val="List 2"/>
    <w:basedOn w:val="BodyText"/>
    <w:rsid w:val="004E5EEF"/>
    <w:pPr>
      <w:tabs>
        <w:tab w:val="left" w:pos="680"/>
      </w:tabs>
      <w:spacing w:before="60" w:after="60"/>
      <w:ind w:left="680" w:hanging="340"/>
    </w:pPr>
  </w:style>
  <w:style w:type="paragraph" w:styleId="List3">
    <w:name w:val="List 3"/>
    <w:basedOn w:val="BodyText"/>
    <w:rsid w:val="004E5EEF"/>
    <w:pPr>
      <w:tabs>
        <w:tab w:val="left" w:pos="1021"/>
      </w:tabs>
      <w:spacing w:before="60" w:after="60"/>
      <w:ind w:left="1020" w:hanging="340"/>
    </w:pPr>
  </w:style>
  <w:style w:type="paragraph" w:styleId="List4">
    <w:name w:val="List 4"/>
    <w:basedOn w:val="BodyText"/>
    <w:rsid w:val="004E5EEF"/>
    <w:pPr>
      <w:tabs>
        <w:tab w:val="left" w:pos="1361"/>
      </w:tabs>
      <w:spacing w:before="60" w:after="60"/>
      <w:ind w:left="1361" w:hanging="340"/>
    </w:pPr>
  </w:style>
  <w:style w:type="paragraph" w:styleId="List5">
    <w:name w:val="List 5"/>
    <w:basedOn w:val="BodyText"/>
    <w:rsid w:val="004E5EEF"/>
    <w:pPr>
      <w:tabs>
        <w:tab w:val="left" w:pos="1701"/>
      </w:tabs>
      <w:spacing w:before="60" w:after="60"/>
      <w:ind w:left="1701" w:hanging="340"/>
    </w:pPr>
  </w:style>
  <w:style w:type="paragraph" w:styleId="ListBullet3">
    <w:name w:val="List Bullet 3"/>
    <w:basedOn w:val="List3"/>
    <w:rsid w:val="004E5EEF"/>
    <w:pPr>
      <w:numPr>
        <w:numId w:val="15"/>
      </w:numPr>
      <w:tabs>
        <w:tab w:val="clear" w:pos="1021"/>
      </w:tabs>
      <w:ind w:left="1037" w:hanging="357"/>
    </w:pPr>
  </w:style>
  <w:style w:type="paragraph" w:styleId="ListBullet4">
    <w:name w:val="List Bullet 4"/>
    <w:basedOn w:val="List4"/>
    <w:rsid w:val="004E5EEF"/>
    <w:pPr>
      <w:numPr>
        <w:numId w:val="3"/>
      </w:numPr>
    </w:pPr>
  </w:style>
  <w:style w:type="paragraph" w:styleId="ListBullet5">
    <w:name w:val="List Bullet 5"/>
    <w:basedOn w:val="List5"/>
    <w:rsid w:val="004E5EEF"/>
    <w:pPr>
      <w:numPr>
        <w:numId w:val="4"/>
      </w:numPr>
    </w:pPr>
  </w:style>
  <w:style w:type="paragraph" w:styleId="ListContinue2">
    <w:name w:val="List Continue 2"/>
    <w:basedOn w:val="List2"/>
    <w:rsid w:val="004E5EEF"/>
    <w:pPr>
      <w:ind w:firstLine="0"/>
    </w:pPr>
  </w:style>
  <w:style w:type="paragraph" w:styleId="ListContinue3">
    <w:name w:val="List Continue 3"/>
    <w:basedOn w:val="List3"/>
    <w:rsid w:val="004E5EEF"/>
    <w:pPr>
      <w:ind w:left="1021" w:firstLine="0"/>
    </w:pPr>
  </w:style>
  <w:style w:type="paragraph" w:styleId="ListContinue4">
    <w:name w:val="List Continue 4"/>
    <w:basedOn w:val="List4"/>
    <w:rsid w:val="004E5EEF"/>
    <w:pPr>
      <w:ind w:firstLine="0"/>
    </w:pPr>
  </w:style>
  <w:style w:type="paragraph" w:styleId="ListContinue5">
    <w:name w:val="List Continue 5"/>
    <w:basedOn w:val="List5"/>
    <w:rsid w:val="004E5EEF"/>
    <w:pPr>
      <w:ind w:firstLine="0"/>
    </w:pPr>
  </w:style>
  <w:style w:type="paragraph" w:styleId="ListNumber3">
    <w:name w:val="List Number 3"/>
    <w:basedOn w:val="List3"/>
    <w:rsid w:val="004E5EEF"/>
    <w:pPr>
      <w:numPr>
        <w:numId w:val="5"/>
      </w:numPr>
    </w:pPr>
  </w:style>
  <w:style w:type="paragraph" w:styleId="ListNumber4">
    <w:name w:val="List Number 4"/>
    <w:basedOn w:val="List4"/>
    <w:rsid w:val="004E5EEF"/>
    <w:pPr>
      <w:numPr>
        <w:numId w:val="6"/>
      </w:numPr>
    </w:pPr>
  </w:style>
  <w:style w:type="paragraph" w:styleId="ListNumber5">
    <w:name w:val="List Number 5"/>
    <w:basedOn w:val="List5"/>
    <w:rsid w:val="004E5EEF"/>
    <w:pPr>
      <w:numPr>
        <w:numId w:val="7"/>
      </w:numPr>
    </w:pPr>
  </w:style>
  <w:style w:type="paragraph" w:styleId="BlockText">
    <w:name w:val="Block Text"/>
    <w:basedOn w:val="Normal"/>
    <w:rsid w:val="004E5EEF"/>
    <w:pPr>
      <w:spacing w:after="120"/>
      <w:ind w:left="1440" w:right="1440"/>
    </w:pPr>
  </w:style>
  <w:style w:type="character" w:customStyle="1" w:styleId="Subscript">
    <w:name w:val="Subscript"/>
    <w:basedOn w:val="DefaultParagraphFont"/>
    <w:rsid w:val="004E5EEF"/>
    <w:rPr>
      <w:sz w:val="16"/>
      <w:vertAlign w:val="subscript"/>
    </w:rPr>
  </w:style>
  <w:style w:type="character" w:customStyle="1" w:styleId="Superscript">
    <w:name w:val="Superscript"/>
    <w:basedOn w:val="DefaultParagraphFont"/>
    <w:rsid w:val="004E5EEF"/>
    <w:rPr>
      <w:sz w:val="16"/>
      <w:vertAlign w:val="superscript"/>
    </w:rPr>
  </w:style>
  <w:style w:type="character" w:customStyle="1" w:styleId="Symbols">
    <w:name w:val="Symbols"/>
    <w:basedOn w:val="DefaultParagraphFont"/>
    <w:rsid w:val="004E5EEF"/>
    <w:rPr>
      <w:rFonts w:ascii="Symbol" w:hAnsi="Symbol"/>
    </w:rPr>
  </w:style>
  <w:style w:type="character" w:customStyle="1" w:styleId="MenuOptions">
    <w:name w:val="Menu Options"/>
    <w:basedOn w:val="DefaultParagraphFont"/>
    <w:rsid w:val="004E5EEF"/>
    <w:rPr>
      <w:rFonts w:ascii="Arial Narrow" w:hAnsi="Arial Narrow"/>
      <w:smallCaps/>
    </w:rPr>
  </w:style>
  <w:style w:type="character" w:customStyle="1" w:styleId="Buttons">
    <w:name w:val="Buttons"/>
    <w:basedOn w:val="DefaultParagraphFont"/>
    <w:rsid w:val="004E5EEF"/>
    <w:rPr>
      <w:b/>
    </w:rPr>
  </w:style>
  <w:style w:type="character" w:customStyle="1" w:styleId="Underlined">
    <w:name w:val="Underlined"/>
    <w:basedOn w:val="DefaultParagraphFont"/>
    <w:rsid w:val="004E5EEF"/>
    <w:rPr>
      <w:u w:val="single"/>
    </w:rPr>
  </w:style>
  <w:style w:type="paragraph" w:customStyle="1" w:styleId="TableBodyTextRight">
    <w:name w:val="Table Body Text Right"/>
    <w:basedOn w:val="TableBodyText"/>
    <w:rsid w:val="004E5EEF"/>
    <w:pPr>
      <w:widowControl w:val="0"/>
      <w:autoSpaceDE w:val="0"/>
      <w:autoSpaceDN w:val="0"/>
      <w:adjustRightInd w:val="0"/>
      <w:jc w:val="right"/>
    </w:pPr>
    <w:rPr>
      <w:rFonts w:cs="Arial"/>
      <w:szCs w:val="18"/>
    </w:rPr>
  </w:style>
  <w:style w:type="paragraph" w:customStyle="1" w:styleId="CopyrightText">
    <w:name w:val="Copyright Text"/>
    <w:basedOn w:val="BodyText"/>
    <w:rsid w:val="004E5EEF"/>
    <w:rPr>
      <w:sz w:val="18"/>
    </w:rPr>
  </w:style>
  <w:style w:type="paragraph" w:customStyle="1" w:styleId="BodySmallRight">
    <w:name w:val="Body Small Right"/>
    <w:basedOn w:val="BodyTextRight"/>
    <w:rsid w:val="004E5EEF"/>
    <w:rPr>
      <w:sz w:val="18"/>
      <w:szCs w:val="18"/>
    </w:rPr>
  </w:style>
  <w:style w:type="paragraph" w:customStyle="1" w:styleId="MarginEdition">
    <w:name w:val="Margin Edition"/>
    <w:basedOn w:val="MarginNote"/>
    <w:rsid w:val="004E5EEF"/>
    <w:pPr>
      <w:spacing w:before="0" w:after="0"/>
    </w:pPr>
    <w:rPr>
      <w:rFonts w:ascii="Times New Roman" w:hAnsi="Times New Roman"/>
      <w:color w:val="999999"/>
    </w:rPr>
  </w:style>
  <w:style w:type="paragraph" w:customStyle="1" w:styleId="Spacer">
    <w:name w:val="Spacer"/>
    <w:basedOn w:val="Normal"/>
    <w:rsid w:val="004E5EEF"/>
    <w:rPr>
      <w:sz w:val="2"/>
      <w:szCs w:val="2"/>
    </w:rPr>
  </w:style>
  <w:style w:type="character" w:customStyle="1" w:styleId="Small">
    <w:name w:val="Small"/>
    <w:basedOn w:val="DefaultParagraphFont"/>
    <w:rsid w:val="004E5EEF"/>
    <w:rPr>
      <w:sz w:val="16"/>
    </w:rPr>
  </w:style>
  <w:style w:type="paragraph" w:customStyle="1" w:styleId="WideTable">
    <w:name w:val="Wide Table"/>
    <w:basedOn w:val="Normal"/>
    <w:rsid w:val="004E5EEF"/>
    <w:pPr>
      <w:ind w:left="-1418"/>
    </w:pPr>
    <w:rPr>
      <w:sz w:val="2"/>
      <w:szCs w:val="2"/>
    </w:rPr>
  </w:style>
  <w:style w:type="character" w:styleId="PageNumber">
    <w:name w:val="page number"/>
    <w:basedOn w:val="DefaultParagraphFont"/>
    <w:rsid w:val="004E5EEF"/>
  </w:style>
  <w:style w:type="paragraph" w:styleId="Quote">
    <w:name w:val="Quote"/>
    <w:basedOn w:val="Heading1"/>
    <w:link w:val="QuoteChar"/>
    <w:qFormat/>
    <w:rsid w:val="004E5EEF"/>
    <w:rPr>
      <w:b w:val="0"/>
      <w:sz w:val="72"/>
      <w:szCs w:val="72"/>
      <w:lang w:val="en-NZ"/>
    </w:rPr>
  </w:style>
  <w:style w:type="character" w:customStyle="1" w:styleId="QuoteChar">
    <w:name w:val="Quote Char"/>
    <w:basedOn w:val="DefaultParagraphFont"/>
    <w:link w:val="Quote"/>
    <w:rsid w:val="004E5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EEF"/>
    <w:pPr>
      <w:pageBreakBefore/>
    </w:pPr>
  </w:style>
  <w:style w:type="paragraph" w:customStyle="1" w:styleId="Border">
    <w:name w:val="Border"/>
    <w:basedOn w:val="Normal"/>
    <w:qFormat/>
    <w:rsid w:val="004E5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EEF"/>
    <w:rPr>
      <w:b/>
      <w:bCs/>
      <w:i/>
      <w:iCs/>
      <w:color w:val="auto"/>
    </w:rPr>
  </w:style>
  <w:style w:type="paragraph" w:styleId="IntenseQuote">
    <w:name w:val="Intense Quote"/>
    <w:basedOn w:val="Normal"/>
    <w:next w:val="Normal"/>
    <w:link w:val="IntenseQuoteChar"/>
    <w:uiPriority w:val="30"/>
    <w:qFormat/>
    <w:rsid w:val="004E5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EEF"/>
    <w:rPr>
      <w:smallCaps/>
      <w:color w:val="auto"/>
      <w:u w:val="single"/>
    </w:rPr>
  </w:style>
  <w:style w:type="character" w:styleId="IntenseReference">
    <w:name w:val="Intense Reference"/>
    <w:basedOn w:val="DefaultParagraphFont"/>
    <w:uiPriority w:val="32"/>
    <w:qFormat/>
    <w:rsid w:val="004E5EEF"/>
    <w:rPr>
      <w:b/>
      <w:bCs/>
      <w:smallCaps/>
      <w:color w:val="auto"/>
      <w:spacing w:val="5"/>
      <w:u w:val="single"/>
    </w:rPr>
  </w:style>
  <w:style w:type="paragraph" w:customStyle="1" w:styleId="2ColumnHeading">
    <w:name w:val="2Column Heading"/>
    <w:basedOn w:val="BodyText"/>
    <w:qFormat/>
    <w:rsid w:val="004E5EEF"/>
    <w:pPr>
      <w:spacing w:after="60"/>
      <w:ind w:left="-2268"/>
    </w:pPr>
    <w:rPr>
      <w:b/>
    </w:rPr>
  </w:style>
  <w:style w:type="paragraph" w:customStyle="1" w:styleId="Heading1TOC">
    <w:name w:val="Heading1 TOC"/>
    <w:basedOn w:val="Normal"/>
    <w:qFormat/>
    <w:rsid w:val="004E5EEF"/>
    <w:pPr>
      <w:spacing w:before="240" w:after="120"/>
    </w:pPr>
    <w:rPr>
      <w:rFonts w:ascii="Times New Roman" w:hAnsi="Times New Roman"/>
      <w:b/>
      <w:sz w:val="32"/>
    </w:rPr>
  </w:style>
  <w:style w:type="paragraph" w:customStyle="1" w:styleId="Heading2TOC">
    <w:name w:val="Heading2 TOC"/>
    <w:basedOn w:val="Normal"/>
    <w:qFormat/>
    <w:rsid w:val="004E5EEF"/>
    <w:pPr>
      <w:spacing w:before="240" w:after="60"/>
    </w:pPr>
    <w:rPr>
      <w:rFonts w:ascii="Times New Roman" w:hAnsi="Times New Roman"/>
      <w:b/>
      <w:sz w:val="28"/>
    </w:rPr>
  </w:style>
  <w:style w:type="character" w:customStyle="1" w:styleId="Underline">
    <w:name w:val="Underline"/>
    <w:basedOn w:val="DefaultParagraphFont"/>
    <w:qFormat/>
    <w:rsid w:val="004E5EEF"/>
    <w:rPr>
      <w:u w:val="single"/>
    </w:rPr>
  </w:style>
  <w:style w:type="paragraph" w:styleId="BalloonText">
    <w:name w:val="Balloon Text"/>
    <w:basedOn w:val="Normal"/>
    <w:link w:val="BalloonTextChar"/>
    <w:rsid w:val="004E5EEF"/>
    <w:rPr>
      <w:rFonts w:ascii="Tahoma" w:hAnsi="Tahoma" w:cs="Tahoma"/>
      <w:sz w:val="16"/>
      <w:szCs w:val="16"/>
    </w:rPr>
  </w:style>
  <w:style w:type="character" w:customStyle="1" w:styleId="BalloonTextChar">
    <w:name w:val="Balloon Text Char"/>
    <w:basedOn w:val="DefaultParagraphFont"/>
    <w:link w:val="BalloonText"/>
    <w:rsid w:val="004E5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EEF"/>
    <w:rPr>
      <w:b/>
      <w:color w:val="660033"/>
      <w:spacing w:val="0"/>
    </w:rPr>
  </w:style>
  <w:style w:type="paragraph" w:customStyle="1" w:styleId="Nameditemlist">
    <w:name w:val="Named item list"/>
    <w:basedOn w:val="BodyText"/>
    <w:qFormat/>
    <w:rsid w:val="004E5E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1661</Words>
  <Characters>10209</Characters>
  <Application>Microsoft Office Word</Application>
  <DocSecurity>0</DocSecurity>
  <Lines>414</Lines>
  <Paragraphs>202</Paragraphs>
  <ScaleCrop>false</ScaleCrop>
  <Company>Author-it Software Corporation Ltd.</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MARL6016A Demonstrate intermediate knowledge of marine steam turbines and main boilers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2013-06-06T05:19:00Z</dcterms:created>
  <dcterms:modified xsi:type="dcterms:W3CDTF">2013-06-06T05:19:00Z</dcterms:modified>
</cp:coreProperties>
</file>