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B42" w:rsidP="00375B42">
      <w:pPr>
        <w:pStyle w:val="Title"/>
      </w:pPr>
      <w:r>
        <w:fldChar w:fldCharType="begin"/>
      </w:r>
      <w:r>
        <w:instrText xml:space="preserve"> TITLE   \* MERGEFORMAT </w:instrText>
      </w:r>
      <w:r>
        <w:fldChar w:fldCharType="separate"/>
      </w:r>
      <w:r>
        <w:t>MARL5001A Apply basic principles of marine electrotechnology</w:t>
      </w:r>
      <w:r>
        <w:fldChar w:fldCharType="end"/>
      </w:r>
    </w:p>
    <w:p w:rsidR="00375B42" w:rsidP="00375B42">
      <w:pPr>
        <w:pStyle w:val="Version"/>
        <w:sectPr w:rsidSect="00A53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363" w:rsidP="00A53363">
      <w:pPr>
        <w:pStyle w:val="SuperHeading"/>
      </w:pPr>
      <w:r w:rsidRPr="00A53363">
        <w:t>MARL5001A Apply basic principles of marine electrotechnology</w:t>
      </w:r>
    </w:p>
    <w:p w:rsidR="00000000" w:rsidRPr="00A53363" w:rsidP="00A53363">
      <w:pPr>
        <w:pStyle w:val="Heading1"/>
      </w:pPr>
      <w:bookmarkStart w:id="1" w:name="O_537833"/>
      <w:bookmarkEnd w:id="1"/>
      <w:r w:rsidRPr="00A53363">
        <w:t>Modification History</w:t>
      </w:r>
    </w:p>
    <w:p w:rsidR="00000000" w:rsidRPr="00A53363" w:rsidP="00A53363">
      <w:pPr>
        <w:pStyle w:val="BodyText"/>
      </w:pPr>
      <w:r w:rsidRPr="00A53363">
        <w:t>Release 1</w:t>
      </w:r>
    </w:p>
    <w:p w:rsidR="00000000" w:rsidRPr="00A53363" w:rsidP="00A53363">
      <w:pPr>
        <w:pStyle w:val="BodyText"/>
      </w:pPr>
      <w:r w:rsidRPr="00A53363">
        <w:t>This is the first release of this unit.</w:t>
      </w:r>
    </w:p>
    <w:p w:rsidR="00000000" w:rsidRPr="00A53363" w:rsidP="00A53363">
      <w:pPr>
        <w:pStyle w:val="AllowPageBreak"/>
      </w:pPr>
    </w:p>
    <w:p w:rsidR="00000000" w:rsidRPr="00A53363" w:rsidP="00A53363">
      <w:pPr>
        <w:pStyle w:val="Heading1"/>
      </w:pPr>
      <w:bookmarkStart w:id="2" w:name="O_537845"/>
      <w:bookmarkEnd w:id="2"/>
      <w:r w:rsidRPr="00A53363">
        <w:t>Unit Descriptor</w:t>
      </w:r>
    </w:p>
    <w:p w:rsidR="00000000" w:rsidRPr="00A53363" w:rsidP="00A53363">
      <w:pPr>
        <w:pStyle w:val="BodyText"/>
      </w:pPr>
      <w:r w:rsidRPr="00A53363">
        <w:t>This unit involves the skills and knowledge required to explain basic marine electrotechnology principles and to perform basic electrica</w:t>
      </w:r>
      <w:r w:rsidRPr="00A53363">
        <w:t>l calculations.</w:t>
      </w:r>
    </w:p>
    <w:p w:rsidR="00000000" w:rsidRPr="00A53363" w:rsidP="00A53363">
      <w:pPr>
        <w:pStyle w:val="AllowPageBreak"/>
      </w:pPr>
    </w:p>
    <w:p w:rsidR="00000000" w:rsidRPr="00A53363" w:rsidP="00A53363">
      <w:pPr>
        <w:pStyle w:val="Heading1"/>
      </w:pPr>
      <w:bookmarkStart w:id="3" w:name="O_537844"/>
      <w:bookmarkEnd w:id="3"/>
      <w:r w:rsidRPr="00A53363">
        <w:t>Application of the Unit</w:t>
      </w:r>
    </w:p>
    <w:p w:rsidR="00000000" w:rsidRPr="00A53363" w:rsidP="00A53363">
      <w:pPr>
        <w:pStyle w:val="BodyText"/>
      </w:pPr>
      <w:r w:rsidRPr="00A53363">
        <w:t>This unit applies to the work of Marine Engineering Watchkeepers on commercial vessels greater than 750 kW and forms part of the requirements for the Certificate of Competency Marine Engineer Watchke</w:t>
      </w:r>
      <w:r w:rsidRPr="00A53363">
        <w:t>eper issued by the Australian Maritime Safety Authority (AMSA).</w:t>
      </w:r>
    </w:p>
    <w:p w:rsidR="00000000" w:rsidRPr="00A53363" w:rsidP="00A53363">
      <w:pPr>
        <w:pStyle w:val="AllowPageBreak"/>
      </w:pPr>
    </w:p>
    <w:p w:rsidR="00000000" w:rsidRPr="00A53363" w:rsidP="00A53363">
      <w:pPr>
        <w:pStyle w:val="Heading1"/>
      </w:pPr>
      <w:bookmarkStart w:id="4" w:name="O_537843"/>
      <w:bookmarkEnd w:id="4"/>
      <w:r w:rsidRPr="00A53363">
        <w:t>Licensing/Regulatory Information</w:t>
      </w:r>
    </w:p>
    <w:p w:rsidR="00000000" w:rsidRPr="00A53363" w:rsidP="00A53363">
      <w:pPr>
        <w:pStyle w:val="BodyText"/>
      </w:pPr>
      <w:r w:rsidRPr="00A53363">
        <w:t>Not applicable.</w:t>
      </w:r>
    </w:p>
    <w:p w:rsidR="00000000" w:rsidRPr="00A53363" w:rsidP="00A53363">
      <w:pPr>
        <w:pStyle w:val="AllowPageBreak"/>
      </w:pPr>
    </w:p>
    <w:p w:rsidR="00000000" w:rsidRPr="00A53363" w:rsidP="00A53363">
      <w:pPr>
        <w:pStyle w:val="Heading1"/>
      </w:pPr>
      <w:bookmarkStart w:id="5" w:name="O_537842"/>
      <w:bookmarkEnd w:id="5"/>
      <w:r w:rsidRPr="00A53363">
        <w:t>Pre-Requisites</w:t>
      </w:r>
    </w:p>
    <w:p w:rsidR="00000000" w:rsidRPr="00A53363" w:rsidP="00A53363">
      <w:pPr>
        <w:pStyle w:val="BodyText"/>
      </w:pPr>
      <w:r w:rsidRPr="00A53363">
        <w:t>Not applicable.</w:t>
      </w:r>
    </w:p>
    <w:p w:rsidR="00000000" w:rsidRPr="00A53363" w:rsidP="00A53363">
      <w:pPr>
        <w:pStyle w:val="AllowPageBreak"/>
      </w:pPr>
    </w:p>
    <w:p w:rsidR="00000000" w:rsidRPr="00A53363" w:rsidP="00A53363">
      <w:pPr>
        <w:pStyle w:val="Heading1"/>
      </w:pPr>
      <w:bookmarkStart w:id="6" w:name="O_537841"/>
      <w:bookmarkEnd w:id="6"/>
      <w:r w:rsidRPr="00A53363">
        <w:t>Employability Skills Information</w:t>
      </w:r>
    </w:p>
    <w:p w:rsidR="00000000" w:rsidRPr="00A53363" w:rsidP="00A53363">
      <w:pPr>
        <w:pStyle w:val="BodyText"/>
      </w:pPr>
      <w:r w:rsidRPr="00A53363">
        <w:t>This unit contains employabi</w:t>
      </w:r>
      <w:r w:rsidRPr="00A53363">
        <w:t>lity skills.</w:t>
      </w:r>
    </w:p>
    <w:p w:rsidR="00000000" w:rsidRPr="00A53363" w:rsidP="00A53363">
      <w:pPr>
        <w:pStyle w:val="AllowPageBreak"/>
      </w:pPr>
    </w:p>
    <w:p w:rsidR="00000000" w:rsidRPr="00A53363" w:rsidP="00A53363">
      <w:pPr>
        <w:pStyle w:val="Heading1"/>
      </w:pPr>
      <w:bookmarkStart w:id="7" w:name="O_537840"/>
      <w:bookmarkEnd w:id="7"/>
      <w:r w:rsidRPr="00A53363">
        <w:t>Elements and Performance Criteria Pre-Content</w:t>
      </w:r>
    </w:p>
    <w:tbl>
      <w:tblPr>
        <w:tblW w:w="9640" w:type="dxa"/>
        <w:tblLayout w:type="fixed"/>
        <w:tblCellMar>
          <w:left w:w="62" w:type="dxa"/>
          <w:right w:w="62" w:type="dxa"/>
        </w:tblCellMar>
        <w:tblLook w:val="0000"/>
      </w:tblPr>
      <w:tblGrid>
        <w:gridCol w:w="2776"/>
        <w:gridCol w:w="6864"/>
      </w:tblGrid>
      <w:tr w:rsidTr="00375B4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Performance criteria describe the required performance needed to demonstrate achievement of the element. Assessmen</w:t>
            </w:r>
            <w:r w:rsidRPr="00A53363">
              <w:t>t of performance is to be consistent with the evidence guide.</w:t>
            </w:r>
          </w:p>
        </w:tc>
      </w:tr>
    </w:tbl>
    <w:p w:rsidR="00000000" w:rsidRPr="00A53363" w:rsidP="00A53363">
      <w:pPr>
        <w:pStyle w:val="BodyText"/>
      </w:pPr>
    </w:p>
    <w:p w:rsidR="00000000" w:rsidRPr="00A53363" w:rsidP="00A53363">
      <w:pPr>
        <w:pStyle w:val="AllowPageBreak"/>
      </w:pPr>
    </w:p>
    <w:p w:rsidR="00000000" w:rsidRPr="00A53363" w:rsidP="00A53363">
      <w:pPr>
        <w:pStyle w:val="Heading1"/>
      </w:pPr>
      <w:bookmarkStart w:id="8" w:name="O_537839"/>
      <w:bookmarkEnd w:id="8"/>
      <w:r w:rsidRPr="00A53363">
        <w:t>Elements and Performance Criteria</w:t>
      </w:r>
    </w:p>
    <w:tbl>
      <w:tblPr>
        <w:tblW w:w="9640" w:type="dxa"/>
        <w:tblLayout w:type="fixed"/>
        <w:tblCellMar>
          <w:left w:w="62" w:type="dxa"/>
          <w:right w:w="62" w:type="dxa"/>
        </w:tblCellMar>
        <w:tblLook w:val="0000"/>
      </w:tblPr>
      <w:tblGrid>
        <w:gridCol w:w="293"/>
        <w:gridCol w:w="2044"/>
        <w:gridCol w:w="584"/>
        <w:gridCol w:w="6719"/>
      </w:tblGrid>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1</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Explain how material properties affect resistance of electrical conductors</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1.1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Term</w:t>
            </w:r>
            <w:r w:rsidRPr="00A53363">
              <w:t>s and symbols used in the formula for resistivity are used correctly</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1.2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resistance varies with changes in conductor length and cross sectional area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1.3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resistance varies with temperature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1.4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that illustrate how material properties affect resistance of electrical conductors</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2</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Apply Ohm’s Law to electrical circuits</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Main sources of EMF are identified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Terms and symbols used in Ohm’s Law are used correctly</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using Ohm’s Law to solve problems involving internal, external and variable resistances in both series and parallel circuits</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 xml:space="preserve">Calculations are performed to determine power required and /or energy expended by electrical </w:t>
            </w:r>
            <w:r w:rsidRPr="00A53363">
              <w:t>devices</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2.5</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Circuits for a wheatstone bridge and a slide wire bridge are sketched and their application on a ship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2.6</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dealing with resistances, currents and voltage drops in bridge circuits under null or balanced conditions</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3</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Apply principles of electrolytic action to electrical cells</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3.1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the theory of electrolytic disassociation when appli</w:t>
            </w:r>
            <w:r w:rsidRPr="00A53363">
              <w:t>ed to common electrolytic solutions and electrode materials explains the generation of EMF from chemical sources,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3.2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Primary cells are distinguished from secondary cells</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3.3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to solve problems involving currents, voltage drops and terminal potential difference of cells connected to form batteries in series and in parallel</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3.4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capacity of a battery is measured is explained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3.5</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Construction of typical batteries used in marine environments is outlined</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4</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 xml:space="preserve">Apply principles of electromagnetism to EMF </w:t>
            </w:r>
            <w:r w:rsidRPr="00A53363">
              <w:rPr>
                <w:rStyle w:val="SpecialBold"/>
              </w:rPr>
              <w:t>generation</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4.1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Form and properties of the magnetic fields surrounding single conductor and multi-turn solenoid coils when carrying an e</w:t>
            </w:r>
            <w:r w:rsidRPr="00A53363">
              <w:t>lectrical current are compared and contrasted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4.2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 xml:space="preserve">Terms and symbols used in Faraday’s and Lenz’s laws of </w:t>
            </w:r>
            <w:r w:rsidRPr="00A53363">
              <w:t>electromagnetic induction are used correctly</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4.3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using Faraday’s and Lenz’</w:t>
            </w:r>
            <w:r w:rsidRPr="00A53363">
              <w:t>s laws of electromagnetic induction to solve problems related to electromagnetism and EMF generation</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4.4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Fleming’s Right Hand Rule is outlined</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5</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Explain operation of direct current rotating machinery</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Construction and methods of maintaining and repa</w:t>
            </w:r>
            <w:r w:rsidRPr="00A53363">
              <w:t>iring typical direct current (DC) machines are illustrated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Principle wiring arrangements used with DC machines are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Action of the commutator in DC generators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Significance of Back EMF (Eb) in the operation of DC mot</w:t>
            </w:r>
            <w:r w:rsidRPr="00A53363">
              <w:t>ors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5.5</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 xml:space="preserve">Mathematical formula are applied to show relationships between </w:t>
            </w:r>
            <w:r w:rsidRPr="00A53363">
              <w:rPr>
                <w:rStyle w:val="BoldandItalics"/>
              </w:rPr>
              <w:t>operational parameters of DC motors</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5.6</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performed to solve simple problems relating to power output and efficiency in DC motors</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6</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Explain operation of AC rotating machinery</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three-phase AC may be developed out of simple single phase AC is explained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Difference between Star and Delta connections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How a three-phase supply can generate a rotating magnetic field is explained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6.4</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Construction of an AC synchronous generator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6.5</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Construction of an AC induction motor is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6.6</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Calculations are p</w:t>
            </w:r>
            <w:r w:rsidRPr="00A53363">
              <w:t>erformed to show how driving torque is produced in an induction motor</w:t>
            </w:r>
          </w:p>
        </w:tc>
      </w:tr>
      <w:tr w:rsidTr="00375B4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rPr>
                <w:rStyle w:val="SpecialBold"/>
              </w:rPr>
              <w:t>7</w:t>
            </w:r>
          </w:p>
        </w:tc>
        <w:tc>
          <w:tcPr>
            <w:tcW w:w="2044" w:type="dxa"/>
            <w:vMerge w:val="restart"/>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Explain parallel operation and load sharing of generator</w:t>
            </w: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7.1</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Load/voltage curves of AC and DC generators are compared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7.2</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Main requirements for satisfactory power sharing between both AC and DC generators are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7.3</w:t>
            </w:r>
          </w:p>
        </w:tc>
        <w:tc>
          <w:tcPr>
            <w:tcW w:w="6719"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Sequences that occur when load changes on two DC generators working in parallel without an equaliser connection are outlined</w:t>
            </w:r>
          </w:p>
        </w:tc>
      </w:tr>
      <w:tr w:rsidTr="00375B4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7.4</w:t>
            </w:r>
          </w:p>
        </w:tc>
        <w:tc>
          <w:tcPr>
            <w:tcW w:w="6719"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Effect of varying pow</w:t>
            </w:r>
            <w:r w:rsidRPr="00A53363">
              <w:t>er factors on the load/voltage curve of an AC generator is outlined</w:t>
            </w:r>
          </w:p>
        </w:tc>
      </w:tr>
    </w:tbl>
    <w:p w:rsidR="00000000" w:rsidRPr="00A53363" w:rsidP="00A53363">
      <w:pPr>
        <w:pStyle w:val="BodyText"/>
      </w:pPr>
    </w:p>
    <w:p w:rsidR="00000000" w:rsidRPr="00A53363" w:rsidP="00A53363">
      <w:pPr>
        <w:pStyle w:val="AllowPageBreak"/>
      </w:pPr>
    </w:p>
    <w:p w:rsidR="00000000" w:rsidRPr="00A53363" w:rsidP="00A53363">
      <w:pPr>
        <w:pStyle w:val="Heading1"/>
      </w:pPr>
      <w:bookmarkStart w:id="9" w:name="O_537838"/>
      <w:bookmarkEnd w:id="9"/>
      <w:r w:rsidRPr="00A53363">
        <w:t>Required Skills and Knowledge</w:t>
      </w:r>
    </w:p>
    <w:tbl>
      <w:tblPr>
        <w:tblW w:w="0" w:type="auto"/>
        <w:tblCellMar>
          <w:left w:w="62" w:type="dxa"/>
          <w:right w:w="62" w:type="dxa"/>
        </w:tblCellMar>
        <w:tblLook w:val="0000"/>
      </w:tblPr>
      <w:tblGrid>
        <w:gridCol w:w="9196"/>
      </w:tblGrid>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This section describes the skills and knowledge required for this unit.</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Required Skills: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Assess own work outcomes and maintain knowledge of current codes, standards, regulations and industry practices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Explain basic principles of marine electrotechnology</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 xml:space="preserve">Identify and apply relevant mathematical formulas and techniques to solve basic </w:t>
            </w:r>
            <w:r w:rsidRPr="00A53363">
              <w:t>problems related to marine electrotechnology</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Identify and interpret numerical and graphical information, and perform mathematical calculations such as resistance of electrical conductors, power output and efficiency in DC motors, and driving torque in in</w:t>
            </w:r>
            <w:r w:rsidRPr="00A53363">
              <w:t>duction motors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Identify, collate and process information required to perform basic calculations related to marine electrotechnology</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Impart knowledge and ideas through verbal, written and visual means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Read and interpret written information needed to p</w:t>
            </w:r>
            <w:r w:rsidRPr="00A53363">
              <w:t>erform basic electrical calculations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Use calculators to perform mathematical calculations</w:t>
            </w:r>
          </w:p>
        </w:tc>
      </w:tr>
    </w:tbl>
    <w:p w:rsidR="00000000" w:rsidRPr="00A53363" w:rsidP="00A53363">
      <w:pPr>
        <w:pStyle w:val="BodyText"/>
      </w:pPr>
    </w:p>
    <w:tbl>
      <w:tblPr>
        <w:tblW w:w="0" w:type="auto"/>
        <w:tblCellMar>
          <w:left w:w="62" w:type="dxa"/>
          <w:right w:w="62" w:type="dxa"/>
        </w:tblCellMar>
        <w:tblLook w:val="0000"/>
      </w:tblPr>
      <w:tblGrid>
        <w:gridCol w:w="9196"/>
      </w:tblGrid>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Required Knowledge:</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AC:</w:t>
            </w:r>
          </w:p>
          <w:p w:rsidR="00000000" w:rsidRPr="00A53363" w:rsidP="00A53363">
            <w:pPr>
              <w:pStyle w:val="ListBullet2"/>
            </w:pPr>
            <w:r w:rsidRPr="00A53363">
              <w:t>rotating machinery</w:t>
            </w:r>
          </w:p>
          <w:p w:rsidR="00000000" w:rsidP="00A53363">
            <w:pPr>
              <w:pStyle w:val="ListBullet2"/>
              <w:rPr>
                <w:lang w:val="en-NZ"/>
              </w:rPr>
            </w:pPr>
            <w:r w:rsidRPr="00A53363">
              <w:t>principles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Basic electrical circuits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Batteries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DC:</w:t>
            </w:r>
          </w:p>
          <w:p w:rsidR="00000000" w:rsidRPr="00A53363" w:rsidP="00A53363">
            <w:pPr>
              <w:pStyle w:val="ListBullet2"/>
            </w:pPr>
            <w:r w:rsidRPr="00A53363">
              <w:t>rotating machinery</w:t>
            </w:r>
          </w:p>
          <w:p w:rsidR="00000000" w:rsidP="00A53363">
            <w:pPr>
              <w:pStyle w:val="ListBullet2"/>
              <w:rPr>
                <w:lang w:val="en-NZ"/>
              </w:rPr>
            </w:pPr>
            <w:r w:rsidRPr="00A53363">
              <w:t>motors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Difference between AC and DC</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Electrical:</w:t>
            </w:r>
          </w:p>
          <w:p w:rsidR="00000000" w:rsidRPr="00A53363" w:rsidP="00A53363">
            <w:pPr>
              <w:pStyle w:val="ListBullet2"/>
            </w:pPr>
            <w:r w:rsidRPr="00A53363">
              <w:t>current</w:t>
            </w:r>
          </w:p>
          <w:p w:rsidR="00000000" w:rsidRPr="00A53363" w:rsidP="00A53363">
            <w:pPr>
              <w:pStyle w:val="ListBullet2"/>
            </w:pPr>
            <w:r w:rsidRPr="00A53363">
              <w:t>power</w:t>
            </w:r>
          </w:p>
          <w:p w:rsidR="00000000" w:rsidRPr="00A53363" w:rsidP="00A53363">
            <w:pPr>
              <w:pStyle w:val="ListBullet2"/>
            </w:pPr>
            <w:r w:rsidRPr="00A53363">
              <w:t>safety</w:t>
            </w:r>
          </w:p>
          <w:p w:rsidR="00000000" w:rsidP="00A53363">
            <w:pPr>
              <w:pStyle w:val="ListBullet2"/>
              <w:rPr>
                <w:lang w:val="en-NZ"/>
              </w:rPr>
            </w:pPr>
            <w:r w:rsidRPr="00A53363">
              <w:t>units of measurement</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Electromagnetic:</w:t>
            </w:r>
          </w:p>
          <w:p w:rsidR="00000000" w:rsidRPr="00A53363" w:rsidP="00A53363">
            <w:pPr>
              <w:pStyle w:val="ListBullet2"/>
            </w:pPr>
            <w:r w:rsidRPr="00A53363">
              <w:t>induction</w:t>
            </w:r>
          </w:p>
          <w:p w:rsidR="00000000" w:rsidP="00A53363">
            <w:pPr>
              <w:pStyle w:val="ListBullet2"/>
              <w:rPr>
                <w:lang w:val="en-NZ"/>
              </w:rPr>
            </w:pPr>
            <w:r w:rsidRPr="00A53363">
              <w:t>force</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Ohm’s Law</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Parallel circuits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Principles of:</w:t>
            </w:r>
          </w:p>
          <w:p w:rsidR="00000000" w:rsidRPr="00A53363" w:rsidP="00A53363">
            <w:pPr>
              <w:pStyle w:val="ListBullet2"/>
            </w:pPr>
            <w:r w:rsidRPr="00A53363">
              <w:t>electromagnetism</w:t>
            </w:r>
          </w:p>
          <w:p w:rsidR="00000000" w:rsidP="00A53363">
            <w:pPr>
              <w:pStyle w:val="ListBullet2"/>
              <w:rPr>
                <w:lang w:val="en-NZ"/>
              </w:rPr>
            </w:pPr>
            <w:r w:rsidRPr="00A53363">
              <w:t>electrolytic action</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Resistance</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ListBullet"/>
              <w:rPr>
                <w:lang w:val="en-NZ"/>
              </w:rPr>
            </w:pPr>
            <w:r w:rsidRPr="00A53363">
              <w:t>Series circuits</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Work h</w:t>
            </w:r>
            <w:r w:rsidRPr="00A53363">
              <w:t>ealth and safety (WHS)/occupational health and safety (OHS) requirements and work practices</w:t>
            </w:r>
          </w:p>
        </w:tc>
      </w:tr>
    </w:tbl>
    <w:p w:rsidR="00375B42" w:rsidP="00A53363">
      <w:pPr>
        <w:pStyle w:val="BodyText"/>
      </w:pPr>
    </w:p>
    <w:p w:rsidR="00375B42" w:rsidP="00A53363">
      <w:pPr>
        <w:pStyle w:val="BodyText"/>
      </w:pPr>
    </w:p>
    <w:p w:rsidR="00000000" w:rsidRPr="00A53363" w:rsidP="00A53363">
      <w:pPr>
        <w:pStyle w:val="Heading1"/>
      </w:pPr>
      <w:bookmarkStart w:id="10" w:name="O_537837"/>
      <w:bookmarkEnd w:id="10"/>
      <w:r w:rsidRPr="00A53363">
        <w:t>Evidence Guide</w:t>
      </w:r>
    </w:p>
    <w:tbl>
      <w:tblPr>
        <w:tblW w:w="9499" w:type="dxa"/>
        <w:tblLayout w:type="fixed"/>
        <w:tblCellMar>
          <w:left w:w="62" w:type="dxa"/>
          <w:right w:w="62" w:type="dxa"/>
        </w:tblCellMar>
        <w:tblLook w:val="0000"/>
      </w:tblPr>
      <w:tblGrid>
        <w:gridCol w:w="3340"/>
        <w:gridCol w:w="6159"/>
      </w:tblGrid>
      <w:tr w:rsidTr="00A5336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The evidence guide provides advice on assessment and must be read in conjunction with the performance criteria, the required skil</w:t>
            </w:r>
            <w:r w:rsidRPr="00A53363">
              <w:t>ls and knowledge, the range statement and the Assessment Guidelines for the Training Package.</w:t>
            </w:r>
          </w:p>
        </w:tc>
      </w:tr>
      <w:tr w:rsidTr="00A533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The evidence required to demonstrate competence in this unit must be relevant to and satisfy all of the requirements of the Elements, Performance Criteria, Required Skills, Required Knowledge and include:</w:t>
            </w:r>
          </w:p>
          <w:p w:rsidR="00000000" w:rsidRPr="00A53363" w:rsidP="00A53363">
            <w:pPr>
              <w:pStyle w:val="ListBullet"/>
            </w:pPr>
            <w:r w:rsidRPr="00A53363">
              <w:t>performing accurate and reliable calculations</w:t>
            </w:r>
          </w:p>
          <w:p w:rsidR="00000000" w:rsidP="00A53363">
            <w:pPr>
              <w:pStyle w:val="ListBullet"/>
              <w:rPr>
                <w:lang w:val="en-NZ"/>
              </w:rPr>
            </w:pPr>
            <w:r w:rsidRPr="00A53363">
              <w:t>solv</w:t>
            </w:r>
            <w:r w:rsidRPr="00A53363">
              <w:t>ing problems using appropriate laws and principles.</w:t>
            </w:r>
          </w:p>
        </w:tc>
      </w:tr>
      <w:tr w:rsidTr="00A533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Performance is demonstrated consistently over time and in a suitable range of contexts.</w:t>
            </w:r>
          </w:p>
          <w:p w:rsidR="00000000" w:rsidRPr="00A53363" w:rsidP="00A53363">
            <w:pPr>
              <w:pStyle w:val="BodyText"/>
            </w:pPr>
            <w:r w:rsidRPr="00A53363">
              <w:t>Resources for assessment include access to:</w:t>
            </w:r>
          </w:p>
          <w:p w:rsidR="00000000" w:rsidRPr="00A53363" w:rsidP="00A53363">
            <w:pPr>
              <w:pStyle w:val="ListBullet"/>
            </w:pPr>
            <w:r w:rsidRPr="00A53363">
              <w:t>industry-approved mar</w:t>
            </w:r>
            <w:r w:rsidRPr="00A53363">
              <w:t>ine operations site where basic principles of marine electrotechnology can be applied</w:t>
            </w:r>
          </w:p>
          <w:p w:rsidR="00000000" w:rsidRPr="00A53363" w:rsidP="00A53363">
            <w:pPr>
              <w:pStyle w:val="ListBullet"/>
            </w:pPr>
            <w:r w:rsidRPr="00A53363">
              <w:t>electrical diagrams, specifications and other information required for performing basic electrical calculations</w:t>
            </w:r>
          </w:p>
          <w:p w:rsidR="00000000" w:rsidRPr="00A53363" w:rsidP="00A53363">
            <w:pPr>
              <w:pStyle w:val="ListBullet"/>
            </w:pPr>
            <w:r w:rsidRPr="00A53363">
              <w:t>technical reference library with current publications on basic marine electrotechnology</w:t>
            </w:r>
          </w:p>
          <w:p w:rsidR="00000000" w:rsidRPr="00A53363" w:rsidP="00A53363">
            <w:pPr>
              <w:pStyle w:val="ListBullet"/>
            </w:pPr>
            <w:r w:rsidRPr="00A53363">
              <w:t>tools, equipment and personal protective equipment currently used in industry</w:t>
            </w:r>
          </w:p>
          <w:p w:rsidR="00000000" w:rsidRPr="00A53363" w:rsidP="00A53363">
            <w:pPr>
              <w:pStyle w:val="ListBullet"/>
            </w:pPr>
            <w:r w:rsidRPr="00A53363">
              <w:t>relevant regulatory and equipment documentation that impacts on work activities</w:t>
            </w:r>
          </w:p>
          <w:p w:rsidR="00000000" w:rsidRPr="00A53363" w:rsidP="00A53363">
            <w:pPr>
              <w:pStyle w:val="ListBullet"/>
            </w:pPr>
            <w:r w:rsidRPr="00A53363">
              <w:t>range of r</w:t>
            </w:r>
            <w:r w:rsidRPr="00A53363">
              <w:t>elevant exercises, case studies and/or other simulated practical and knowledge assessments</w:t>
            </w:r>
          </w:p>
          <w:p w:rsidR="00000000" w:rsidRPr="00A53363" w:rsidP="00A53363">
            <w:pPr>
              <w:pStyle w:val="ListBullet"/>
            </w:pPr>
            <w:r w:rsidRPr="00A53363">
              <w:t>appropriate range of relevant operational situations in the workplace.</w:t>
            </w:r>
          </w:p>
          <w:p w:rsidR="00000000" w:rsidRPr="00A53363" w:rsidP="00A53363">
            <w:pPr>
              <w:pStyle w:val="BodyText"/>
            </w:pPr>
            <w:r w:rsidRPr="00A53363">
              <w:t>In both real and simulated environments, access is required to:</w:t>
            </w:r>
          </w:p>
          <w:p w:rsidR="00000000" w:rsidRPr="00A53363" w:rsidP="00A53363">
            <w:pPr>
              <w:pStyle w:val="ListBullet"/>
            </w:pPr>
            <w:r w:rsidRPr="00A53363">
              <w:t>relevant and appropriate mate</w:t>
            </w:r>
            <w:r w:rsidRPr="00A53363">
              <w:t>rials and equipment</w:t>
            </w:r>
          </w:p>
          <w:p w:rsidR="00000000" w:rsidP="00A53363">
            <w:pPr>
              <w:pStyle w:val="ListBullet"/>
              <w:rPr>
                <w:lang w:val="en-NZ"/>
              </w:rPr>
            </w:pPr>
            <w:r w:rsidRPr="00A53363">
              <w:t>applicable documentation including workplace procedures, regulations, codes of practice and operation manuals.</w:t>
            </w:r>
          </w:p>
        </w:tc>
      </w:tr>
      <w:tr w:rsidTr="00A533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Practical assessment must occur in an:</w:t>
            </w:r>
          </w:p>
          <w:p w:rsidR="00000000" w:rsidRPr="00A53363" w:rsidP="00A53363">
            <w:pPr>
              <w:pStyle w:val="ListBullet"/>
            </w:pPr>
            <w:r w:rsidRPr="00A53363">
              <w:t>appropriately simulated workplace environment and/or</w:t>
            </w:r>
          </w:p>
          <w:p w:rsidR="00000000" w:rsidRPr="00A53363" w:rsidP="00A53363">
            <w:pPr>
              <w:pStyle w:val="ListBullet"/>
            </w:pPr>
            <w:r w:rsidRPr="00A53363">
              <w:t>appropriat</w:t>
            </w:r>
            <w:r w:rsidRPr="00A53363">
              <w:t>e range of situations in the workplace.</w:t>
            </w:r>
          </w:p>
          <w:p w:rsidR="00000000" w:rsidRPr="00A53363" w:rsidP="00A53363">
            <w:pPr>
              <w:pStyle w:val="BodyText"/>
            </w:pPr>
            <w:r w:rsidRPr="00A53363">
              <w:t>A range of assessment methods should be used to assess practical skills and knowledge. The following examples are appropriate to this unit:</w:t>
            </w:r>
          </w:p>
          <w:p w:rsidR="00000000" w:rsidRPr="00A53363" w:rsidP="00A53363">
            <w:pPr>
              <w:pStyle w:val="ListBullet"/>
            </w:pPr>
            <w:r w:rsidRPr="00A53363">
              <w:t>direct observation of the candidate applying basic principles of marine ele</w:t>
            </w:r>
            <w:r w:rsidRPr="00A53363">
              <w:t>ctrotechnology</w:t>
            </w:r>
          </w:p>
          <w:p w:rsidR="00000000" w:rsidP="00A53363">
            <w:pPr>
              <w:pStyle w:val="ListBullet"/>
              <w:rPr>
                <w:lang w:val="en-NZ"/>
              </w:rPr>
            </w:pPr>
            <w:r w:rsidRPr="00A53363">
              <w:t>direct observation of the candidate applying relevant WHS/OHS requirements and work practices.</w:t>
            </w:r>
          </w:p>
        </w:tc>
      </w:tr>
      <w:tr w:rsidTr="00A5336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53363" w:rsidP="00A53363">
            <w:pPr>
              <w:pStyle w:val="BodyText"/>
            </w:pPr>
            <w:r w:rsidRPr="00A53363">
              <w:t>Holistic assessment with other units relevant to the industry sector, workplace and job role is recommended.</w:t>
            </w:r>
          </w:p>
          <w:p w:rsidR="00000000" w:rsidRPr="00A53363" w:rsidP="00A53363">
            <w:pPr>
              <w:pStyle w:val="BodyText"/>
            </w:pPr>
            <w:r w:rsidRPr="00A53363">
              <w:t>In all cases where practical assessment is used it should be combined with targeted questioning to assess Required Knowledge.</w:t>
            </w:r>
          </w:p>
          <w:p w:rsidR="00000000" w:rsidRPr="00A53363" w:rsidP="00A53363">
            <w:pPr>
              <w:pStyle w:val="BodyText"/>
            </w:pPr>
            <w:r w:rsidRPr="00A53363">
              <w:t xml:space="preserve">Assessment processes and techniques must be appropriate to the language and literacy requirements of the work being performed and </w:t>
            </w:r>
            <w:r w:rsidRPr="00A53363">
              <w:t>the capacity of the candidate.</w:t>
            </w:r>
          </w:p>
        </w:tc>
      </w:tr>
    </w:tbl>
    <w:p w:rsidR="00000000" w:rsidRPr="00A53363" w:rsidP="00A53363">
      <w:pPr>
        <w:pStyle w:val="BodyText"/>
      </w:pPr>
    </w:p>
    <w:p w:rsidR="00000000" w:rsidRPr="00A53363" w:rsidP="00A53363">
      <w:pPr>
        <w:pStyle w:val="AllowPageBreak"/>
      </w:pPr>
    </w:p>
    <w:p w:rsidR="00000000" w:rsidRPr="00A53363" w:rsidP="00A53363">
      <w:pPr>
        <w:pStyle w:val="Heading1"/>
      </w:pPr>
      <w:bookmarkStart w:id="11" w:name="O_537836"/>
      <w:bookmarkEnd w:id="11"/>
      <w:r w:rsidRPr="00A53363">
        <w:t>Range Statement</w:t>
      </w:r>
    </w:p>
    <w:tbl>
      <w:tblPr>
        <w:tblW w:w="0" w:type="auto"/>
        <w:tblCellMar>
          <w:left w:w="62" w:type="dxa"/>
          <w:right w:w="62" w:type="dxa"/>
        </w:tblCellMar>
        <w:tblLook w:val="0000"/>
      </w:tblPr>
      <w:tblGrid>
        <w:gridCol w:w="2586"/>
        <w:gridCol w:w="6610"/>
      </w:tblGrid>
      <w:tr w:rsidTr="00375B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The range statement relates to the unit of competency as a whole. It allows for different work environments and situations that may affect performance. Bold italicised wording, if used in th</w:t>
            </w:r>
            <w:r w:rsidRPr="00A53363">
              <w:t>e performance criteria, is detailed below.</w:t>
            </w:r>
          </w:p>
        </w:tc>
      </w:tr>
      <w:tr w:rsidTr="00375B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363">
            <w:pPr>
              <w:pStyle w:val="BodyText"/>
              <w:rPr>
                <w:lang w:val="en-NZ"/>
              </w:rPr>
            </w:pPr>
            <w:r w:rsidRPr="00A53363">
              <w:t>Operational parameters of DC motors may include:</w:t>
            </w:r>
          </w:p>
        </w:tc>
        <w:tc>
          <w:tcPr>
            <w:tcW w:w="0" w:type="auto"/>
            <w:tcBorders>
              <w:top w:val="nil"/>
              <w:left w:val="nil"/>
              <w:bottom w:val="nil"/>
              <w:right w:val="nil"/>
            </w:tcBorders>
            <w:tcMar>
              <w:top w:w="0" w:type="dxa"/>
              <w:left w:w="62" w:type="dxa"/>
              <w:bottom w:w="0" w:type="dxa"/>
              <w:right w:w="62" w:type="dxa"/>
            </w:tcMar>
          </w:tcPr>
          <w:p w:rsidR="00000000" w:rsidRPr="00A53363" w:rsidP="00A53363">
            <w:pPr>
              <w:pStyle w:val="ListBullet"/>
            </w:pPr>
            <w:r w:rsidRPr="00A53363">
              <w:t xml:space="preserve">current </w:t>
            </w:r>
          </w:p>
          <w:p w:rsidR="00000000" w:rsidRPr="00A53363" w:rsidP="00A53363">
            <w:pPr>
              <w:pStyle w:val="ListBullet"/>
            </w:pPr>
            <w:r w:rsidRPr="00A53363">
              <w:t>flux density</w:t>
            </w:r>
          </w:p>
          <w:p w:rsidR="00000000" w:rsidRPr="00A53363" w:rsidP="00A53363">
            <w:pPr>
              <w:pStyle w:val="ListBullet"/>
            </w:pPr>
            <w:r w:rsidRPr="00A53363">
              <w:t xml:space="preserve">torque </w:t>
            </w:r>
          </w:p>
          <w:p w:rsidR="00000000" w:rsidRPr="00A53363" w:rsidP="00A53363">
            <w:pPr>
              <w:pStyle w:val="ListBullet"/>
            </w:pPr>
            <w:r w:rsidRPr="00A53363">
              <w:t>voltage</w:t>
            </w:r>
          </w:p>
        </w:tc>
      </w:tr>
    </w:tbl>
    <w:p w:rsidR="00000000" w:rsidRPr="00A53363" w:rsidP="00A53363">
      <w:pPr>
        <w:pStyle w:val="BodyText"/>
      </w:pPr>
    </w:p>
    <w:p w:rsidR="00000000" w:rsidRPr="00A53363" w:rsidP="00A53363">
      <w:pPr>
        <w:pStyle w:val="AllowPageBreak"/>
      </w:pPr>
    </w:p>
    <w:p w:rsidR="00000000" w:rsidRPr="00A53363" w:rsidP="00A53363">
      <w:pPr>
        <w:pStyle w:val="Heading1"/>
      </w:pPr>
      <w:bookmarkStart w:id="12" w:name="O_537835"/>
      <w:bookmarkEnd w:id="12"/>
      <w:r w:rsidRPr="00A53363">
        <w:t>Unit Sector(s)</w:t>
      </w:r>
    </w:p>
    <w:p w:rsidR="00000000" w:rsidRPr="00A53363" w:rsidP="00A53363">
      <w:pPr>
        <w:pStyle w:val="BodyText"/>
      </w:pPr>
      <w:r w:rsidRPr="00A53363">
        <w:t>Not applicable.</w:t>
      </w:r>
    </w:p>
    <w:p w:rsidR="00000000" w:rsidRPr="00A53363" w:rsidP="00A53363">
      <w:pPr>
        <w:pStyle w:val="AllowPageBreak"/>
      </w:pPr>
    </w:p>
    <w:p w:rsidR="00000000" w:rsidRPr="00A53363" w:rsidP="00A53363">
      <w:pPr>
        <w:pStyle w:val="Heading1"/>
      </w:pPr>
      <w:bookmarkStart w:id="13" w:name="O_537834"/>
      <w:bookmarkEnd w:id="13"/>
      <w:r w:rsidRPr="00A53363">
        <w:t>Competency Field</w:t>
      </w:r>
    </w:p>
    <w:p w:rsidR="00000000" w:rsidRPr="00A53363" w:rsidP="00A53363">
      <w:pPr>
        <w:pStyle w:val="BodyText"/>
      </w:pPr>
      <w:r w:rsidRPr="00A53363">
        <w:t>Marine Engineering</w:t>
      </w:r>
    </w:p>
    <w:p w:rsidR="00000000" w:rsidRPr="00A53363" w:rsidP="00A53363"/>
    <w:sectPr w:rsidSect="00A53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rsidRPr="00375B42" w:rsidP="00375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B42" w:rsidP="00A53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5B42" w:rsidP="00A533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5B42" w:rsidP="00A53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rsidRPr="00375B42" w:rsidP="00375B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B42" w:rsidRPr="002D2AF8" w:rsidP="00A53363">
    <w:pPr>
      <w:pStyle w:val="Header"/>
      <w:framePr w:wrap="around"/>
    </w:pPr>
    <w:r>
      <w:fldChar w:fldCharType="begin"/>
    </w:r>
    <w:r>
      <w:instrText xml:space="preserve"> TITLE   \* MERGEFORMAT </w:instrText>
    </w:r>
    <w:r>
      <w:fldChar w:fldCharType="separate"/>
    </w:r>
    <w:r>
      <w:t>MARL5001A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75B42" w:rsidP="00A53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08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AA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7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363"/>
    <w:pPr>
      <w:spacing w:before="360" w:after="60"/>
      <w:outlineLvl w:val="0"/>
    </w:pPr>
    <w:rPr>
      <w:sz w:val="32"/>
    </w:rPr>
  </w:style>
  <w:style w:type="paragraph" w:styleId="Heading2">
    <w:name w:val="heading 2"/>
    <w:basedOn w:val="HeadingBase"/>
    <w:next w:val="BodyText"/>
    <w:link w:val="Heading2Char"/>
    <w:qFormat/>
    <w:rsid w:val="00A53363"/>
    <w:pPr>
      <w:keepLines/>
      <w:spacing w:before="240" w:after="120"/>
      <w:outlineLvl w:val="1"/>
    </w:pPr>
    <w:rPr>
      <w:sz w:val="28"/>
      <w:szCs w:val="40"/>
    </w:rPr>
  </w:style>
  <w:style w:type="paragraph" w:styleId="Heading3">
    <w:name w:val="heading 3"/>
    <w:basedOn w:val="HeadingBase"/>
    <w:next w:val="BodyText"/>
    <w:link w:val="Heading3Char"/>
    <w:qFormat/>
    <w:rsid w:val="00A53363"/>
    <w:pPr>
      <w:spacing w:before="180" w:after="120"/>
      <w:outlineLvl w:val="2"/>
    </w:pPr>
    <w:rPr>
      <w:spacing w:val="-10"/>
      <w:kern w:val="32"/>
    </w:rPr>
  </w:style>
  <w:style w:type="paragraph" w:styleId="Heading4">
    <w:name w:val="heading 4"/>
    <w:basedOn w:val="HeadingBase"/>
    <w:next w:val="BodyText"/>
    <w:link w:val="Heading4Char"/>
    <w:qFormat/>
    <w:rsid w:val="00A53363"/>
    <w:pPr>
      <w:spacing w:before="160" w:after="120"/>
      <w:outlineLvl w:val="3"/>
    </w:pPr>
    <w:rPr>
      <w:sz w:val="22"/>
    </w:rPr>
  </w:style>
  <w:style w:type="paragraph" w:styleId="Heading5">
    <w:name w:val="heading 5"/>
    <w:basedOn w:val="HeadingBase"/>
    <w:next w:val="Normal"/>
    <w:link w:val="Heading5Char"/>
    <w:qFormat/>
    <w:rsid w:val="00A53363"/>
    <w:pPr>
      <w:spacing w:before="80"/>
      <w:outlineLvl w:val="4"/>
    </w:pPr>
    <w:rPr>
      <w:color w:val="918585"/>
      <w:sz w:val="20"/>
    </w:rPr>
  </w:style>
  <w:style w:type="paragraph" w:styleId="Heading6">
    <w:name w:val="heading 6"/>
    <w:basedOn w:val="HeadingBase"/>
    <w:next w:val="Normal"/>
    <w:link w:val="Heading6Char"/>
    <w:qFormat/>
    <w:rsid w:val="00A53363"/>
    <w:pPr>
      <w:spacing w:before="60"/>
      <w:outlineLvl w:val="5"/>
    </w:pPr>
    <w:rPr>
      <w:color w:val="918585"/>
      <w:sz w:val="20"/>
    </w:rPr>
  </w:style>
  <w:style w:type="paragraph" w:styleId="Heading7">
    <w:name w:val="heading 7"/>
    <w:basedOn w:val="Normal"/>
    <w:next w:val="Normal"/>
    <w:link w:val="Heading7Char"/>
    <w:qFormat/>
    <w:rsid w:val="00A53363"/>
    <w:pPr>
      <w:ind w:left="720"/>
      <w:outlineLvl w:val="6"/>
    </w:pPr>
    <w:rPr>
      <w:i/>
    </w:rPr>
  </w:style>
  <w:style w:type="paragraph" w:styleId="Heading8">
    <w:name w:val="heading 8"/>
    <w:basedOn w:val="Normal"/>
    <w:next w:val="Normal"/>
    <w:link w:val="Heading8Char"/>
    <w:qFormat/>
    <w:rsid w:val="00A53363"/>
    <w:pPr>
      <w:ind w:left="720"/>
      <w:outlineLvl w:val="7"/>
    </w:pPr>
    <w:rPr>
      <w:i/>
    </w:rPr>
  </w:style>
  <w:style w:type="paragraph" w:styleId="Heading9">
    <w:name w:val="heading 9"/>
    <w:basedOn w:val="Normal"/>
    <w:next w:val="Normal"/>
    <w:link w:val="Heading9Char"/>
    <w:qFormat/>
    <w:rsid w:val="00A53363"/>
    <w:pPr>
      <w:ind w:left="720"/>
      <w:outlineLvl w:val="8"/>
    </w:pPr>
    <w:rPr>
      <w:i/>
    </w:rPr>
  </w:style>
  <w:style w:type="character" w:default="1" w:styleId="DefaultParagraphFont">
    <w:name w:val="Default Paragraph Font"/>
    <w:uiPriority w:val="1"/>
    <w:unhideWhenUsed/>
    <w:rsid w:val="00A53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363"/>
  </w:style>
  <w:style w:type="character" w:customStyle="1" w:styleId="Heading1Char">
    <w:name w:val="Heading 1 Char"/>
    <w:basedOn w:val="DefaultParagraphFont"/>
    <w:link w:val="Heading1"/>
    <w:rsid w:val="00A53363"/>
    <w:rPr>
      <w:rFonts w:ascii="Times New Roman" w:eastAsia="Times New Roman" w:hAnsi="Times New Roman" w:cs="Times New Roman"/>
      <w:b/>
      <w:sz w:val="32"/>
      <w:szCs w:val="20"/>
      <w:lang w:eastAsia="en-US"/>
    </w:rPr>
  </w:style>
  <w:style w:type="paragraph" w:styleId="BodyText">
    <w:name w:val="Body Text"/>
    <w:basedOn w:val="Normal"/>
    <w:link w:val="BodyTextChar"/>
    <w:rsid w:val="00A533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363"/>
    <w:rPr>
      <w:rFonts w:ascii="Times New Roman" w:eastAsia="Times New Roman" w:hAnsi="Times New Roman" w:cs="Times New Roman"/>
      <w:sz w:val="24"/>
      <w:lang w:eastAsia="en-US"/>
    </w:rPr>
  </w:style>
  <w:style w:type="paragraph" w:styleId="ListBullet">
    <w:name w:val="List Bullet"/>
    <w:basedOn w:val="List"/>
    <w:rsid w:val="00A53363"/>
    <w:pPr>
      <w:numPr>
        <w:numId w:val="13"/>
      </w:numPr>
      <w:tabs>
        <w:tab w:val="clear" w:pos="340"/>
      </w:tabs>
      <w:spacing w:before="40" w:after="40"/>
    </w:pPr>
  </w:style>
  <w:style w:type="character" w:customStyle="1" w:styleId="SpecialBold">
    <w:name w:val="Special Bold"/>
    <w:basedOn w:val="DefaultParagraphFont"/>
    <w:rsid w:val="00A53363"/>
    <w:rPr>
      <w:b/>
      <w:spacing w:val="0"/>
    </w:rPr>
  </w:style>
  <w:style w:type="paragraph" w:styleId="ListBullet2">
    <w:name w:val="List Bullet 2"/>
    <w:basedOn w:val="List2"/>
    <w:rsid w:val="00A53363"/>
    <w:pPr>
      <w:numPr>
        <w:numId w:val="14"/>
      </w:numPr>
      <w:tabs>
        <w:tab w:val="clear" w:pos="680"/>
      </w:tabs>
    </w:pPr>
  </w:style>
  <w:style w:type="paragraph" w:customStyle="1" w:styleId="SuperHeading">
    <w:name w:val="SuperHeading"/>
    <w:basedOn w:val="Normal"/>
    <w:rsid w:val="00A53363"/>
    <w:pPr>
      <w:spacing w:before="240" w:after="120"/>
      <w:outlineLvl w:val="0"/>
    </w:pPr>
    <w:rPr>
      <w:rFonts w:ascii="Times New Roman" w:hAnsi="Times New Roman"/>
      <w:b/>
      <w:sz w:val="32"/>
    </w:rPr>
  </w:style>
  <w:style w:type="paragraph" w:customStyle="1" w:styleId="AllowPageBreak">
    <w:name w:val="AllowPageBreak"/>
    <w:rsid w:val="00A53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3363"/>
    <w:rPr>
      <w:b/>
      <w:i/>
      <w:u w:val="none"/>
    </w:rPr>
  </w:style>
  <w:style w:type="character" w:customStyle="1" w:styleId="Heading2Char">
    <w:name w:val="Heading 2 Char"/>
    <w:basedOn w:val="DefaultParagraphFont"/>
    <w:link w:val="Heading2"/>
    <w:rsid w:val="00A53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363"/>
    <w:rPr>
      <w:rFonts w:ascii="Courier New" w:eastAsia="Times New Roman" w:hAnsi="Courier New" w:cs="Times New Roman"/>
      <w:i/>
      <w:szCs w:val="20"/>
      <w:lang w:eastAsia="en-US"/>
    </w:rPr>
  </w:style>
  <w:style w:type="paragraph" w:customStyle="1" w:styleId="HeadingBase">
    <w:name w:val="Heading Base"/>
    <w:rsid w:val="00A53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363"/>
    <w:pPr>
      <w:tabs>
        <w:tab w:val="right" w:leader="dot" w:pos="9072"/>
      </w:tabs>
      <w:ind w:left="567"/>
    </w:pPr>
    <w:rPr>
      <w:szCs w:val="22"/>
    </w:rPr>
  </w:style>
  <w:style w:type="paragraph" w:customStyle="1" w:styleId="TOCBase">
    <w:name w:val="TOC Base"/>
    <w:rsid w:val="00A53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363"/>
    <w:pPr>
      <w:tabs>
        <w:tab w:val="right" w:leader="dot" w:pos="9072"/>
      </w:tabs>
      <w:spacing w:before="40" w:after="40"/>
      <w:ind w:left="284"/>
    </w:pPr>
    <w:rPr>
      <w:rFonts w:ascii="Times New Roman" w:hAnsi="Times New Roman"/>
    </w:rPr>
  </w:style>
  <w:style w:type="paragraph" w:styleId="TOC1">
    <w:name w:val="toc 1"/>
    <w:basedOn w:val="TOCBase"/>
    <w:next w:val="Normal"/>
    <w:rsid w:val="00A53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363"/>
    <w:rPr>
      <w:rFonts w:ascii="Times New Roman" w:eastAsia="Times New Roman" w:hAnsi="Times New Roman" w:cs="Times New Roman"/>
      <w:sz w:val="16"/>
      <w:lang w:eastAsia="en-US"/>
    </w:rPr>
  </w:style>
  <w:style w:type="paragraph" w:styleId="Title">
    <w:name w:val="Title"/>
    <w:basedOn w:val="HeadingBase"/>
    <w:link w:val="TitleChar"/>
    <w:qFormat/>
    <w:rsid w:val="00A53363"/>
    <w:pPr>
      <w:spacing w:before="5040"/>
      <w:jc w:val="center"/>
    </w:pPr>
    <w:rPr>
      <w:sz w:val="48"/>
      <w:szCs w:val="72"/>
      <w:lang w:val="en-US"/>
    </w:rPr>
  </w:style>
  <w:style w:type="character" w:customStyle="1" w:styleId="TitleChar">
    <w:name w:val="Title Char"/>
    <w:basedOn w:val="DefaultParagraphFont"/>
    <w:link w:val="Title"/>
    <w:rsid w:val="00A53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363"/>
    <w:pPr>
      <w:tabs>
        <w:tab w:val="left" w:pos="3600"/>
        <w:tab w:val="left" w:pos="3958"/>
      </w:tabs>
    </w:pPr>
  </w:style>
  <w:style w:type="paragraph" w:styleId="List">
    <w:name w:val="List"/>
    <w:basedOn w:val="BodyText"/>
    <w:next w:val="BodyText"/>
    <w:rsid w:val="00A53363"/>
    <w:pPr>
      <w:tabs>
        <w:tab w:val="left" w:pos="340"/>
      </w:tabs>
      <w:spacing w:before="60" w:after="60"/>
      <w:ind w:left="340" w:hanging="340"/>
    </w:pPr>
  </w:style>
  <w:style w:type="paragraph" w:customStyle="1" w:styleId="Note">
    <w:name w:val="Note"/>
    <w:basedOn w:val="BodyText"/>
    <w:rsid w:val="00A53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363"/>
    <w:pPr>
      <w:framePr w:wrap="auto" w:hAnchor="text" w:y="6049"/>
    </w:pPr>
    <w:rPr>
      <w:color w:val="000000"/>
      <w:sz w:val="40"/>
    </w:rPr>
  </w:style>
  <w:style w:type="paragraph" w:customStyle="1" w:styleId="TOCTitle">
    <w:name w:val="TOCTitle"/>
    <w:basedOn w:val="Heading1"/>
    <w:rsid w:val="00A53363"/>
    <w:pPr>
      <w:spacing w:after="240"/>
      <w:jc w:val="center"/>
      <w:outlineLvl w:val="9"/>
    </w:pPr>
    <w:rPr>
      <w:caps/>
    </w:rPr>
  </w:style>
  <w:style w:type="paragraph" w:customStyle="1" w:styleId="Version">
    <w:name w:val="Version"/>
    <w:rsid w:val="00A533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363"/>
    <w:pPr>
      <w:keepNext w:val="0"/>
      <w:tabs>
        <w:tab w:val="right" w:pos="4176"/>
      </w:tabs>
      <w:ind w:left="198" w:hanging="198"/>
    </w:pPr>
    <w:rPr>
      <w:rFonts w:ascii="Garamond" w:hAnsi="Garamond"/>
    </w:rPr>
  </w:style>
  <w:style w:type="paragraph" w:styleId="IndexHeading">
    <w:name w:val="index heading"/>
    <w:basedOn w:val="Normal"/>
    <w:next w:val="Index1"/>
    <w:semiHidden/>
    <w:rsid w:val="00A53363"/>
    <w:pPr>
      <w:spacing w:before="120" w:after="120"/>
    </w:pPr>
    <w:rPr>
      <w:rFonts w:ascii="Arial" w:hAnsi="Arial"/>
      <w:b/>
      <w:color w:val="918585"/>
      <w:sz w:val="24"/>
    </w:rPr>
  </w:style>
  <w:style w:type="paragraph" w:styleId="Header">
    <w:name w:val="header"/>
    <w:basedOn w:val="Normal"/>
    <w:link w:val="HeaderChar"/>
    <w:rsid w:val="00A53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363"/>
    <w:rPr>
      <w:rFonts w:ascii="Times New Roman" w:eastAsia="Times New Roman" w:hAnsi="Times New Roman" w:cs="Times New Roman"/>
      <w:sz w:val="16"/>
      <w:szCs w:val="20"/>
      <w:lang w:val="en-GB" w:eastAsia="en-US"/>
    </w:rPr>
  </w:style>
  <w:style w:type="paragraph" w:customStyle="1" w:styleId="Chapter">
    <w:name w:val="Chapter"/>
    <w:basedOn w:val="Normal"/>
    <w:rsid w:val="00A53363"/>
    <w:pPr>
      <w:spacing w:before="240"/>
    </w:pPr>
    <w:rPr>
      <w:rFonts w:ascii="Times New Roman" w:hAnsi="Times New Roman"/>
      <w:smallCaps/>
      <w:spacing w:val="80"/>
      <w:sz w:val="28"/>
    </w:rPr>
  </w:style>
  <w:style w:type="paragraph" w:customStyle="1" w:styleId="InChapter">
    <w:name w:val="InChapter"/>
    <w:basedOn w:val="Heading3"/>
    <w:rsid w:val="00A53363"/>
    <w:pPr>
      <w:spacing w:after="240"/>
      <w:outlineLvl w:val="9"/>
    </w:pPr>
    <w:rPr>
      <w:noProof/>
    </w:rPr>
  </w:style>
  <w:style w:type="paragraph" w:styleId="Index2">
    <w:name w:val="index 2"/>
    <w:basedOn w:val="Normal"/>
    <w:next w:val="Normal"/>
    <w:semiHidden/>
    <w:rsid w:val="00A53363"/>
    <w:pPr>
      <w:tabs>
        <w:tab w:val="right" w:pos="4176"/>
      </w:tabs>
      <w:ind w:left="568" w:hanging="284"/>
    </w:pPr>
    <w:rPr>
      <w:rFonts w:ascii="Garamond" w:hAnsi="Garamond"/>
    </w:rPr>
  </w:style>
  <w:style w:type="paragraph" w:customStyle="1" w:styleId="Byline">
    <w:name w:val="Byline"/>
    <w:rsid w:val="00A53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363"/>
    <w:pPr>
      <w:tabs>
        <w:tab w:val="clear" w:pos="3600"/>
        <w:tab w:val="clear" w:pos="3958"/>
      </w:tabs>
      <w:jc w:val="right"/>
    </w:pPr>
  </w:style>
  <w:style w:type="character" w:styleId="Emphasis">
    <w:name w:val="Emphasis"/>
    <w:basedOn w:val="DefaultParagraphFont"/>
    <w:qFormat/>
    <w:rsid w:val="00A53363"/>
    <w:rPr>
      <w:i/>
    </w:rPr>
  </w:style>
  <w:style w:type="paragraph" w:styleId="Caption">
    <w:name w:val="caption"/>
    <w:basedOn w:val="BodyText"/>
    <w:next w:val="Normal"/>
    <w:qFormat/>
    <w:rsid w:val="00A53363"/>
    <w:pPr>
      <w:framePr w:w="2268" w:hSpace="181" w:vSpace="181" w:wrap="around" w:vAnchor="text" w:hAnchor="page" w:x="1135" w:y="285" w:anchorLock="1"/>
    </w:pPr>
    <w:rPr>
      <w:i/>
    </w:rPr>
  </w:style>
  <w:style w:type="paragraph" w:customStyle="1" w:styleId="MiniTOCTitle">
    <w:name w:val="MiniTOCTitle"/>
    <w:basedOn w:val="Heading4"/>
    <w:rsid w:val="00A53363"/>
    <w:pPr>
      <w:spacing w:before="240"/>
      <w:outlineLvl w:val="9"/>
    </w:pPr>
    <w:rPr>
      <w:noProof/>
      <w:sz w:val="24"/>
    </w:rPr>
  </w:style>
  <w:style w:type="paragraph" w:customStyle="1" w:styleId="MiniTOCItem">
    <w:name w:val="MiniTOCItem"/>
    <w:basedOn w:val="ListBullet"/>
    <w:rsid w:val="00A53363"/>
    <w:pPr>
      <w:numPr>
        <w:numId w:val="0"/>
      </w:numPr>
      <w:tabs>
        <w:tab w:val="right" w:leader="dot" w:pos="6521"/>
      </w:tabs>
      <w:spacing w:before="0" w:after="0"/>
    </w:pPr>
  </w:style>
  <w:style w:type="paragraph" w:customStyle="1" w:styleId="TOFTitle">
    <w:name w:val="TOFTitle"/>
    <w:basedOn w:val="TOCTitle"/>
    <w:rsid w:val="00A53363"/>
  </w:style>
  <w:style w:type="paragraph" w:styleId="TableofFigures">
    <w:name w:val="table of figures"/>
    <w:basedOn w:val="Normal"/>
    <w:next w:val="Normal"/>
    <w:semiHidden/>
    <w:rsid w:val="00A53363"/>
    <w:pPr>
      <w:tabs>
        <w:tab w:val="right" w:leader="dot" w:pos="9072"/>
      </w:tabs>
      <w:ind w:left="970" w:hanging="403"/>
    </w:pPr>
    <w:rPr>
      <w:rFonts w:ascii="Times New Roman" w:hAnsi="Times New Roman"/>
      <w:b/>
    </w:rPr>
  </w:style>
  <w:style w:type="paragraph" w:styleId="ListNumber">
    <w:name w:val="List Number"/>
    <w:basedOn w:val="List"/>
    <w:rsid w:val="00A53363"/>
    <w:pPr>
      <w:numPr>
        <w:numId w:val="11"/>
      </w:numPr>
    </w:pPr>
  </w:style>
  <w:style w:type="character" w:customStyle="1" w:styleId="WingdingSymbols">
    <w:name w:val="Wingding Symbols"/>
    <w:rsid w:val="00A53363"/>
    <w:rPr>
      <w:rFonts w:ascii="Wingdings" w:hAnsi="Wingdings"/>
    </w:rPr>
  </w:style>
  <w:style w:type="paragraph" w:customStyle="1" w:styleId="TableHeading">
    <w:name w:val="Table Heading"/>
    <w:basedOn w:val="HeadingBase"/>
    <w:rsid w:val="00A53363"/>
    <w:pPr>
      <w:keepLines/>
      <w:pBdr>
        <w:bottom w:val="single" w:sz="6" w:space="1" w:color="918585"/>
      </w:pBdr>
      <w:spacing w:before="240"/>
    </w:pPr>
  </w:style>
  <w:style w:type="character" w:customStyle="1" w:styleId="HotSpot">
    <w:name w:val="HotSpot"/>
    <w:rsid w:val="00A53363"/>
    <w:rPr>
      <w:color w:val="0033CC"/>
      <w:u w:val="none"/>
    </w:rPr>
  </w:style>
  <w:style w:type="paragraph" w:customStyle="1" w:styleId="BodyTextRight">
    <w:name w:val="Body Text Right"/>
    <w:basedOn w:val="BodyText"/>
    <w:rsid w:val="00A53363"/>
    <w:pPr>
      <w:spacing w:before="0" w:after="0"/>
      <w:jc w:val="right"/>
    </w:pPr>
  </w:style>
  <w:style w:type="paragraph" w:styleId="Index3">
    <w:name w:val="index 3"/>
    <w:basedOn w:val="ListNumber2"/>
    <w:next w:val="Normal"/>
    <w:semiHidden/>
    <w:rsid w:val="00A53363"/>
    <w:pPr>
      <w:numPr>
        <w:numId w:val="0"/>
      </w:numPr>
      <w:tabs>
        <w:tab w:val="right" w:leader="dot" w:pos="4176"/>
      </w:tabs>
    </w:pPr>
  </w:style>
  <w:style w:type="paragraph" w:styleId="ListNumber2">
    <w:name w:val="List Number 2"/>
    <w:basedOn w:val="List2"/>
    <w:rsid w:val="00A53363"/>
    <w:pPr>
      <w:numPr>
        <w:numId w:val="10"/>
      </w:numPr>
      <w:tabs>
        <w:tab w:val="clear" w:pos="1060"/>
      </w:tabs>
    </w:pPr>
  </w:style>
  <w:style w:type="paragraph" w:customStyle="1" w:styleId="MarginNote">
    <w:name w:val="Margin Note"/>
    <w:basedOn w:val="BodyText"/>
    <w:rsid w:val="00A53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363"/>
    <w:rPr>
      <w:sz w:val="32"/>
    </w:rPr>
  </w:style>
  <w:style w:type="paragraph" w:customStyle="1" w:styleId="HeadingProcedure">
    <w:name w:val="Heading Procedure"/>
    <w:basedOn w:val="HeadingBase"/>
    <w:next w:val="Normal"/>
    <w:rsid w:val="00A53363"/>
    <w:pPr>
      <w:tabs>
        <w:tab w:val="left" w:pos="0"/>
      </w:tabs>
      <w:spacing w:before="120" w:after="60"/>
    </w:pPr>
    <w:rPr>
      <w:i/>
      <w:color w:val="918585"/>
      <w:sz w:val="22"/>
    </w:rPr>
  </w:style>
  <w:style w:type="paragraph" w:customStyle="1" w:styleId="TableBodyText">
    <w:name w:val="Table Body Text"/>
    <w:basedOn w:val="BodyText"/>
    <w:rsid w:val="00A53363"/>
    <w:pPr>
      <w:spacing w:before="60" w:after="60"/>
    </w:pPr>
  </w:style>
  <w:style w:type="paragraph" w:styleId="ListContinue">
    <w:name w:val="List Continue"/>
    <w:basedOn w:val="List"/>
    <w:rsid w:val="00A53363"/>
    <w:pPr>
      <w:ind w:firstLine="0"/>
    </w:pPr>
  </w:style>
  <w:style w:type="paragraph" w:customStyle="1" w:styleId="ListNote">
    <w:name w:val="List Note"/>
    <w:basedOn w:val="List"/>
    <w:rsid w:val="00A53363"/>
    <w:pPr>
      <w:pBdr>
        <w:top w:val="single" w:sz="6" w:space="2" w:color="918585"/>
        <w:bottom w:val="single" w:sz="6" w:space="2" w:color="918585"/>
      </w:pBdr>
      <w:tabs>
        <w:tab w:val="left" w:pos="1021"/>
      </w:tabs>
      <w:ind w:firstLine="0"/>
    </w:pPr>
  </w:style>
  <w:style w:type="paragraph" w:customStyle="1" w:styleId="Warning">
    <w:name w:val="Warning"/>
    <w:basedOn w:val="BodyText"/>
    <w:rsid w:val="00A53363"/>
    <w:pPr>
      <w:shd w:val="clear" w:color="auto" w:fill="D9D9D9"/>
      <w:tabs>
        <w:tab w:val="left" w:pos="992"/>
      </w:tabs>
      <w:ind w:left="119" w:right="119"/>
    </w:pPr>
    <w:rPr>
      <w:sz w:val="20"/>
    </w:rPr>
  </w:style>
  <w:style w:type="paragraph" w:customStyle="1" w:styleId="MarginIcons">
    <w:name w:val="Margin Icons"/>
    <w:basedOn w:val="BodyText"/>
    <w:rsid w:val="00A53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363"/>
    <w:rPr>
      <w:rFonts w:ascii="Courier New" w:hAnsi="Courier New"/>
    </w:rPr>
  </w:style>
  <w:style w:type="paragraph" w:customStyle="1" w:styleId="NoteBullet">
    <w:name w:val="Note Bullet"/>
    <w:basedOn w:val="Note"/>
    <w:rsid w:val="00A53363"/>
    <w:pPr>
      <w:tabs>
        <w:tab w:val="clear" w:pos="680"/>
      </w:tabs>
      <w:spacing w:before="60" w:after="60"/>
    </w:pPr>
  </w:style>
  <w:style w:type="paragraph" w:customStyle="1" w:styleId="SubHeading2">
    <w:name w:val="SubHeading2"/>
    <w:basedOn w:val="HeadingBase"/>
    <w:rsid w:val="00A53363"/>
    <w:pPr>
      <w:spacing w:before="240" w:after="60"/>
    </w:pPr>
    <w:rPr>
      <w:sz w:val="20"/>
    </w:rPr>
  </w:style>
  <w:style w:type="paragraph" w:customStyle="1" w:styleId="SubHeading1">
    <w:name w:val="SubHeading1"/>
    <w:basedOn w:val="HeadingBase"/>
    <w:rsid w:val="00A53363"/>
    <w:pPr>
      <w:spacing w:before="240" w:after="60"/>
    </w:pPr>
    <w:rPr>
      <w:color w:val="918585"/>
      <w:sz w:val="22"/>
    </w:rPr>
  </w:style>
  <w:style w:type="paragraph" w:customStyle="1" w:styleId="SideHeading">
    <w:name w:val="Side Heading"/>
    <w:basedOn w:val="HeadingBase"/>
    <w:rsid w:val="00A53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363"/>
    <w:pPr>
      <w:numPr>
        <w:numId w:val="12"/>
      </w:numPr>
    </w:pPr>
  </w:style>
  <w:style w:type="paragraph" w:styleId="PlainText">
    <w:name w:val="Plain Text"/>
    <w:basedOn w:val="Normal"/>
    <w:link w:val="PlainTextChar"/>
    <w:rsid w:val="00A53363"/>
    <w:rPr>
      <w:sz w:val="20"/>
    </w:rPr>
  </w:style>
  <w:style w:type="character" w:customStyle="1" w:styleId="PlainTextChar">
    <w:name w:val="Plain Text Char"/>
    <w:basedOn w:val="DefaultParagraphFont"/>
    <w:link w:val="PlainText"/>
    <w:rsid w:val="00A53363"/>
    <w:rPr>
      <w:rFonts w:ascii="Courier New" w:eastAsia="Times New Roman" w:hAnsi="Courier New" w:cs="Times New Roman"/>
      <w:sz w:val="20"/>
      <w:szCs w:val="20"/>
      <w:lang w:eastAsia="en-US"/>
    </w:rPr>
  </w:style>
  <w:style w:type="character" w:customStyle="1" w:styleId="MenuOption">
    <w:name w:val="Menu Option"/>
    <w:basedOn w:val="DefaultParagraphFont"/>
    <w:rsid w:val="00A53363"/>
    <w:rPr>
      <w:b/>
      <w:smallCaps/>
    </w:rPr>
  </w:style>
  <w:style w:type="paragraph" w:customStyle="1" w:styleId="TableListNumber">
    <w:name w:val="Table List Number"/>
    <w:basedOn w:val="ListNumber"/>
    <w:rsid w:val="00A53363"/>
    <w:pPr>
      <w:numPr>
        <w:numId w:val="0"/>
      </w:numPr>
    </w:pPr>
  </w:style>
  <w:style w:type="paragraph" w:styleId="TOC4">
    <w:name w:val="toc 4"/>
    <w:basedOn w:val="TOCBase"/>
    <w:next w:val="Normal"/>
    <w:semiHidden/>
    <w:rsid w:val="00A53363"/>
    <w:pPr>
      <w:tabs>
        <w:tab w:val="right" w:leader="dot" w:pos="9071"/>
      </w:tabs>
      <w:ind w:left="1701"/>
    </w:pPr>
  </w:style>
  <w:style w:type="paragraph" w:customStyle="1" w:styleId="ListAlpha">
    <w:name w:val="List Alpha"/>
    <w:basedOn w:val="List"/>
    <w:rsid w:val="00A53363"/>
    <w:pPr>
      <w:numPr>
        <w:numId w:val="9"/>
      </w:numPr>
    </w:pPr>
  </w:style>
  <w:style w:type="paragraph" w:customStyle="1" w:styleId="ListAlpha2">
    <w:name w:val="List Alpha 2"/>
    <w:basedOn w:val="List2"/>
    <w:rsid w:val="00A53363"/>
    <w:pPr>
      <w:numPr>
        <w:numId w:val="8"/>
      </w:numPr>
    </w:pPr>
  </w:style>
  <w:style w:type="paragraph" w:styleId="List2">
    <w:name w:val="List 2"/>
    <w:basedOn w:val="BodyText"/>
    <w:rsid w:val="00A53363"/>
    <w:pPr>
      <w:tabs>
        <w:tab w:val="left" w:pos="680"/>
      </w:tabs>
      <w:spacing w:before="60" w:after="60"/>
      <w:ind w:left="680" w:hanging="340"/>
    </w:pPr>
  </w:style>
  <w:style w:type="paragraph" w:styleId="List3">
    <w:name w:val="List 3"/>
    <w:basedOn w:val="BodyText"/>
    <w:rsid w:val="00A53363"/>
    <w:pPr>
      <w:tabs>
        <w:tab w:val="left" w:pos="1021"/>
      </w:tabs>
      <w:spacing w:before="60" w:after="60"/>
      <w:ind w:left="1020" w:hanging="340"/>
    </w:pPr>
  </w:style>
  <w:style w:type="paragraph" w:styleId="List4">
    <w:name w:val="List 4"/>
    <w:basedOn w:val="BodyText"/>
    <w:rsid w:val="00A53363"/>
    <w:pPr>
      <w:tabs>
        <w:tab w:val="left" w:pos="1361"/>
      </w:tabs>
      <w:spacing w:before="60" w:after="60"/>
      <w:ind w:left="1361" w:hanging="340"/>
    </w:pPr>
  </w:style>
  <w:style w:type="paragraph" w:styleId="List5">
    <w:name w:val="List 5"/>
    <w:basedOn w:val="BodyText"/>
    <w:rsid w:val="00A53363"/>
    <w:pPr>
      <w:tabs>
        <w:tab w:val="left" w:pos="1701"/>
      </w:tabs>
      <w:spacing w:before="60" w:after="60"/>
      <w:ind w:left="1701" w:hanging="340"/>
    </w:pPr>
  </w:style>
  <w:style w:type="paragraph" w:styleId="ListBullet3">
    <w:name w:val="List Bullet 3"/>
    <w:basedOn w:val="List3"/>
    <w:rsid w:val="00A53363"/>
    <w:pPr>
      <w:numPr>
        <w:numId w:val="15"/>
      </w:numPr>
      <w:tabs>
        <w:tab w:val="clear" w:pos="1021"/>
      </w:tabs>
      <w:ind w:left="1037" w:hanging="357"/>
    </w:pPr>
  </w:style>
  <w:style w:type="paragraph" w:styleId="ListBullet4">
    <w:name w:val="List Bullet 4"/>
    <w:basedOn w:val="List4"/>
    <w:rsid w:val="00A53363"/>
    <w:pPr>
      <w:numPr>
        <w:numId w:val="3"/>
      </w:numPr>
    </w:pPr>
  </w:style>
  <w:style w:type="paragraph" w:styleId="ListBullet5">
    <w:name w:val="List Bullet 5"/>
    <w:basedOn w:val="List5"/>
    <w:rsid w:val="00A53363"/>
    <w:pPr>
      <w:numPr>
        <w:numId w:val="4"/>
      </w:numPr>
    </w:pPr>
  </w:style>
  <w:style w:type="paragraph" w:styleId="ListContinue2">
    <w:name w:val="List Continue 2"/>
    <w:basedOn w:val="List2"/>
    <w:rsid w:val="00A53363"/>
    <w:pPr>
      <w:ind w:firstLine="0"/>
    </w:pPr>
  </w:style>
  <w:style w:type="paragraph" w:styleId="ListContinue3">
    <w:name w:val="List Continue 3"/>
    <w:basedOn w:val="List3"/>
    <w:rsid w:val="00A53363"/>
    <w:pPr>
      <w:ind w:left="1021" w:firstLine="0"/>
    </w:pPr>
  </w:style>
  <w:style w:type="paragraph" w:styleId="ListContinue4">
    <w:name w:val="List Continue 4"/>
    <w:basedOn w:val="List4"/>
    <w:rsid w:val="00A53363"/>
    <w:pPr>
      <w:ind w:firstLine="0"/>
    </w:pPr>
  </w:style>
  <w:style w:type="paragraph" w:styleId="ListContinue5">
    <w:name w:val="List Continue 5"/>
    <w:basedOn w:val="List5"/>
    <w:rsid w:val="00A53363"/>
    <w:pPr>
      <w:ind w:firstLine="0"/>
    </w:pPr>
  </w:style>
  <w:style w:type="paragraph" w:styleId="ListNumber3">
    <w:name w:val="List Number 3"/>
    <w:basedOn w:val="List3"/>
    <w:rsid w:val="00A53363"/>
    <w:pPr>
      <w:numPr>
        <w:numId w:val="5"/>
      </w:numPr>
    </w:pPr>
  </w:style>
  <w:style w:type="paragraph" w:styleId="ListNumber4">
    <w:name w:val="List Number 4"/>
    <w:basedOn w:val="List4"/>
    <w:rsid w:val="00A53363"/>
    <w:pPr>
      <w:numPr>
        <w:numId w:val="6"/>
      </w:numPr>
    </w:pPr>
  </w:style>
  <w:style w:type="paragraph" w:styleId="ListNumber5">
    <w:name w:val="List Number 5"/>
    <w:basedOn w:val="List5"/>
    <w:rsid w:val="00A53363"/>
    <w:pPr>
      <w:numPr>
        <w:numId w:val="7"/>
      </w:numPr>
    </w:pPr>
  </w:style>
  <w:style w:type="paragraph" w:styleId="BlockText">
    <w:name w:val="Block Text"/>
    <w:basedOn w:val="Normal"/>
    <w:rsid w:val="00A53363"/>
    <w:pPr>
      <w:spacing w:after="120"/>
      <w:ind w:left="1440" w:right="1440"/>
    </w:pPr>
  </w:style>
  <w:style w:type="character" w:customStyle="1" w:styleId="Subscript">
    <w:name w:val="Subscript"/>
    <w:basedOn w:val="DefaultParagraphFont"/>
    <w:rsid w:val="00A53363"/>
    <w:rPr>
      <w:sz w:val="16"/>
      <w:vertAlign w:val="subscript"/>
    </w:rPr>
  </w:style>
  <w:style w:type="character" w:customStyle="1" w:styleId="Superscript">
    <w:name w:val="Superscript"/>
    <w:basedOn w:val="DefaultParagraphFont"/>
    <w:rsid w:val="00A53363"/>
    <w:rPr>
      <w:sz w:val="16"/>
      <w:vertAlign w:val="superscript"/>
    </w:rPr>
  </w:style>
  <w:style w:type="character" w:customStyle="1" w:styleId="Symbols">
    <w:name w:val="Symbols"/>
    <w:basedOn w:val="DefaultParagraphFont"/>
    <w:rsid w:val="00A53363"/>
    <w:rPr>
      <w:rFonts w:ascii="Symbol" w:hAnsi="Symbol"/>
    </w:rPr>
  </w:style>
  <w:style w:type="character" w:customStyle="1" w:styleId="MenuOptions">
    <w:name w:val="Menu Options"/>
    <w:basedOn w:val="DefaultParagraphFont"/>
    <w:rsid w:val="00A53363"/>
    <w:rPr>
      <w:rFonts w:ascii="Arial Narrow" w:hAnsi="Arial Narrow"/>
      <w:smallCaps/>
    </w:rPr>
  </w:style>
  <w:style w:type="character" w:customStyle="1" w:styleId="Buttons">
    <w:name w:val="Buttons"/>
    <w:basedOn w:val="DefaultParagraphFont"/>
    <w:rsid w:val="00A53363"/>
    <w:rPr>
      <w:b/>
    </w:rPr>
  </w:style>
  <w:style w:type="character" w:customStyle="1" w:styleId="Underlined">
    <w:name w:val="Underlined"/>
    <w:basedOn w:val="DefaultParagraphFont"/>
    <w:rsid w:val="00A53363"/>
    <w:rPr>
      <w:u w:val="single"/>
    </w:rPr>
  </w:style>
  <w:style w:type="paragraph" w:customStyle="1" w:styleId="TableBodyTextRight">
    <w:name w:val="Table Body Text Right"/>
    <w:basedOn w:val="TableBodyText"/>
    <w:rsid w:val="00A53363"/>
    <w:pPr>
      <w:widowControl w:val="0"/>
      <w:autoSpaceDE w:val="0"/>
      <w:autoSpaceDN w:val="0"/>
      <w:adjustRightInd w:val="0"/>
      <w:jc w:val="right"/>
    </w:pPr>
    <w:rPr>
      <w:rFonts w:cs="Arial"/>
      <w:szCs w:val="18"/>
    </w:rPr>
  </w:style>
  <w:style w:type="paragraph" w:customStyle="1" w:styleId="CopyrightText">
    <w:name w:val="Copyright Text"/>
    <w:basedOn w:val="BodyText"/>
    <w:rsid w:val="00A53363"/>
    <w:rPr>
      <w:sz w:val="18"/>
    </w:rPr>
  </w:style>
  <w:style w:type="paragraph" w:customStyle="1" w:styleId="BodySmallRight">
    <w:name w:val="Body Small Right"/>
    <w:basedOn w:val="BodyTextRight"/>
    <w:rsid w:val="00A53363"/>
    <w:rPr>
      <w:sz w:val="18"/>
      <w:szCs w:val="18"/>
    </w:rPr>
  </w:style>
  <w:style w:type="paragraph" w:customStyle="1" w:styleId="MarginEdition">
    <w:name w:val="Margin Edition"/>
    <w:basedOn w:val="MarginNote"/>
    <w:rsid w:val="00A53363"/>
    <w:pPr>
      <w:spacing w:before="0" w:after="0"/>
    </w:pPr>
    <w:rPr>
      <w:rFonts w:ascii="Times New Roman" w:hAnsi="Times New Roman"/>
      <w:color w:val="999999"/>
    </w:rPr>
  </w:style>
  <w:style w:type="paragraph" w:customStyle="1" w:styleId="Spacer">
    <w:name w:val="Spacer"/>
    <w:basedOn w:val="Normal"/>
    <w:rsid w:val="00A53363"/>
    <w:rPr>
      <w:sz w:val="2"/>
      <w:szCs w:val="2"/>
    </w:rPr>
  </w:style>
  <w:style w:type="character" w:customStyle="1" w:styleId="Small">
    <w:name w:val="Small"/>
    <w:basedOn w:val="DefaultParagraphFont"/>
    <w:rsid w:val="00A53363"/>
    <w:rPr>
      <w:sz w:val="16"/>
    </w:rPr>
  </w:style>
  <w:style w:type="paragraph" w:customStyle="1" w:styleId="WideTable">
    <w:name w:val="Wide Table"/>
    <w:basedOn w:val="Normal"/>
    <w:rsid w:val="00A53363"/>
    <w:pPr>
      <w:ind w:left="-1418"/>
    </w:pPr>
    <w:rPr>
      <w:sz w:val="2"/>
      <w:szCs w:val="2"/>
    </w:rPr>
  </w:style>
  <w:style w:type="character" w:styleId="PageNumber">
    <w:name w:val="page number"/>
    <w:basedOn w:val="DefaultParagraphFont"/>
    <w:rsid w:val="00A53363"/>
  </w:style>
  <w:style w:type="paragraph" w:styleId="Quote">
    <w:name w:val="Quote"/>
    <w:basedOn w:val="Heading1"/>
    <w:link w:val="QuoteChar"/>
    <w:qFormat/>
    <w:rsid w:val="00A53363"/>
    <w:rPr>
      <w:b w:val="0"/>
      <w:sz w:val="72"/>
      <w:szCs w:val="72"/>
      <w:lang w:val="en-NZ"/>
    </w:rPr>
  </w:style>
  <w:style w:type="character" w:customStyle="1" w:styleId="QuoteChar">
    <w:name w:val="Quote Char"/>
    <w:basedOn w:val="DefaultParagraphFont"/>
    <w:link w:val="Quote"/>
    <w:rsid w:val="00A53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363"/>
    <w:pPr>
      <w:pageBreakBefore/>
    </w:pPr>
  </w:style>
  <w:style w:type="paragraph" w:customStyle="1" w:styleId="Border">
    <w:name w:val="Border"/>
    <w:basedOn w:val="Normal"/>
    <w:qFormat/>
    <w:rsid w:val="00A53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363"/>
    <w:rPr>
      <w:b/>
      <w:bCs/>
      <w:i/>
      <w:iCs/>
      <w:color w:val="auto"/>
    </w:rPr>
  </w:style>
  <w:style w:type="paragraph" w:styleId="IntenseQuote">
    <w:name w:val="Intense Quote"/>
    <w:basedOn w:val="Normal"/>
    <w:next w:val="Normal"/>
    <w:link w:val="IntenseQuoteChar"/>
    <w:uiPriority w:val="30"/>
    <w:qFormat/>
    <w:rsid w:val="00A53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363"/>
    <w:rPr>
      <w:smallCaps/>
      <w:color w:val="auto"/>
      <w:u w:val="single"/>
    </w:rPr>
  </w:style>
  <w:style w:type="character" w:styleId="IntenseReference">
    <w:name w:val="Intense Reference"/>
    <w:basedOn w:val="DefaultParagraphFont"/>
    <w:uiPriority w:val="32"/>
    <w:qFormat/>
    <w:rsid w:val="00A53363"/>
    <w:rPr>
      <w:b/>
      <w:bCs/>
      <w:smallCaps/>
      <w:color w:val="auto"/>
      <w:spacing w:val="5"/>
      <w:u w:val="single"/>
    </w:rPr>
  </w:style>
  <w:style w:type="paragraph" w:customStyle="1" w:styleId="2ColumnHeading">
    <w:name w:val="2Column Heading"/>
    <w:basedOn w:val="BodyText"/>
    <w:qFormat/>
    <w:rsid w:val="00A53363"/>
    <w:pPr>
      <w:spacing w:after="60"/>
      <w:ind w:left="-2268"/>
    </w:pPr>
    <w:rPr>
      <w:b/>
    </w:rPr>
  </w:style>
  <w:style w:type="paragraph" w:customStyle="1" w:styleId="Heading1TOC">
    <w:name w:val="Heading1 TOC"/>
    <w:basedOn w:val="Normal"/>
    <w:qFormat/>
    <w:rsid w:val="00A53363"/>
    <w:pPr>
      <w:spacing w:before="240" w:after="120"/>
    </w:pPr>
    <w:rPr>
      <w:rFonts w:ascii="Times New Roman" w:hAnsi="Times New Roman"/>
      <w:b/>
      <w:sz w:val="32"/>
    </w:rPr>
  </w:style>
  <w:style w:type="paragraph" w:customStyle="1" w:styleId="Heading2TOC">
    <w:name w:val="Heading2 TOC"/>
    <w:basedOn w:val="Normal"/>
    <w:qFormat/>
    <w:rsid w:val="00A53363"/>
    <w:pPr>
      <w:spacing w:before="240" w:after="60"/>
    </w:pPr>
    <w:rPr>
      <w:rFonts w:ascii="Times New Roman" w:hAnsi="Times New Roman"/>
      <w:b/>
      <w:sz w:val="28"/>
    </w:rPr>
  </w:style>
  <w:style w:type="character" w:customStyle="1" w:styleId="Underline">
    <w:name w:val="Underline"/>
    <w:basedOn w:val="DefaultParagraphFont"/>
    <w:qFormat/>
    <w:rsid w:val="00A53363"/>
    <w:rPr>
      <w:u w:val="single"/>
    </w:rPr>
  </w:style>
  <w:style w:type="paragraph" w:styleId="BalloonText">
    <w:name w:val="Balloon Text"/>
    <w:basedOn w:val="Normal"/>
    <w:link w:val="BalloonTextChar"/>
    <w:rsid w:val="00A53363"/>
    <w:rPr>
      <w:rFonts w:ascii="Tahoma" w:hAnsi="Tahoma" w:cs="Tahoma"/>
      <w:sz w:val="16"/>
      <w:szCs w:val="16"/>
    </w:rPr>
  </w:style>
  <w:style w:type="character" w:customStyle="1" w:styleId="BalloonTextChar">
    <w:name w:val="Balloon Text Char"/>
    <w:basedOn w:val="DefaultParagraphFont"/>
    <w:link w:val="BalloonText"/>
    <w:rsid w:val="00A53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3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363"/>
    <w:rPr>
      <w:b/>
      <w:color w:val="660033"/>
      <w:spacing w:val="0"/>
    </w:rPr>
  </w:style>
  <w:style w:type="paragraph" w:customStyle="1" w:styleId="Nameditemlist">
    <w:name w:val="Named item list"/>
    <w:basedOn w:val="BodyText"/>
    <w:qFormat/>
    <w:rsid w:val="00A533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1300</Words>
  <Characters>8009</Characters>
  <Application>Microsoft Office Word</Application>
  <DocSecurity>0</DocSecurity>
  <Lines>352</Lines>
  <Paragraphs>182</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MARL5001A Apply basic principles of marine electrotechnology</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2013-06-06T05:07:00Z</dcterms:created>
  <dcterms:modified xsi:type="dcterms:W3CDTF">2013-06-06T05:07:00Z</dcterms:modified>
</cp:coreProperties>
</file>