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78F1" w:rsidP="00F47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MARI2001A Comply with regulations to ensure safe operation of a vessel up to 12 metres</w:t>
      </w:r>
      <w:r>
        <w:fldChar w:fldCharType="end"/>
      </w:r>
    </w:p>
    <w:p w:rsidR="00F478F1" w:rsidP="00F478F1">
      <w:pPr>
        <w:pStyle w:val="Version"/>
        <w:sectPr w:rsidSect="00FB3E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B3E4A" w:rsidP="00FB3E4A">
      <w:pPr>
        <w:pStyle w:val="SuperHeading"/>
      </w:pPr>
      <w:r w:rsidRPr="00FB3E4A">
        <w:t>MARI2001A Comply with regulations to ensure safe operation of a vessel up to 12 metres</w:t>
      </w:r>
    </w:p>
    <w:p w:rsidR="00000000" w:rsidRPr="00FB3E4A" w:rsidP="00FB3E4A">
      <w:pPr>
        <w:pStyle w:val="Heading1"/>
      </w:pPr>
      <w:bookmarkStart w:id="1" w:name="O_537518"/>
      <w:bookmarkEnd w:id="1"/>
      <w:r w:rsidRPr="00FB3E4A">
        <w:t>Modification History</w:t>
      </w:r>
    </w:p>
    <w:p w:rsidR="00000000" w:rsidRPr="00FB3E4A" w:rsidP="00FB3E4A">
      <w:pPr>
        <w:pStyle w:val="BodyText"/>
      </w:pPr>
      <w:r w:rsidRPr="00FB3E4A">
        <w:t>Release 1</w:t>
      </w:r>
    </w:p>
    <w:p w:rsidR="00000000" w:rsidRPr="00FB3E4A" w:rsidP="00FB3E4A">
      <w:pPr>
        <w:pStyle w:val="BodyText"/>
      </w:pPr>
      <w:r w:rsidRPr="00FB3E4A">
        <w:t>This is the first release of this unit.</w:t>
      </w: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2" w:name="O_537530"/>
      <w:bookmarkEnd w:id="2"/>
      <w:r w:rsidRPr="00FB3E4A">
        <w:t>Unit Descriptor</w:t>
      </w:r>
    </w:p>
    <w:p w:rsidR="00000000" w:rsidRPr="00FB3E4A" w:rsidP="00FB3E4A">
      <w:pPr>
        <w:pStyle w:val="BodyText"/>
      </w:pPr>
      <w:r w:rsidRPr="00FB3E4A">
        <w:t>This unit involves the skills and knowledge required to apply current commonwealth, state and territory Acts, legislation, codes of practice and other publications pertaining to the safe operation of a vessel up to12 metres.</w:t>
      </w: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3" w:name="O_537529"/>
      <w:bookmarkEnd w:id="3"/>
      <w:r w:rsidRPr="00FB3E4A">
        <w:t>Application of</w:t>
      </w:r>
      <w:r w:rsidRPr="00FB3E4A">
        <w:t xml:space="preserve"> the Unit</w:t>
      </w:r>
    </w:p>
    <w:p w:rsidR="00000000" w:rsidRPr="00FB3E4A" w:rsidP="00FB3E4A">
      <w:pPr>
        <w:pStyle w:val="BodyText"/>
      </w:pPr>
      <w:r w:rsidRPr="00FB3E4A">
        <w:t>This unit applies to Coxswain Grade 1 and Coxswain Grade 2 working in the maritime industry on vessels up to 12 metres.</w:t>
      </w: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4" w:name="O_537528"/>
      <w:bookmarkEnd w:id="4"/>
      <w:r w:rsidRPr="00FB3E4A">
        <w:t>Licensing/Regulatory Information</w:t>
      </w:r>
    </w:p>
    <w:p w:rsidR="00000000" w:rsidRPr="00FB3E4A" w:rsidP="00FB3E4A">
      <w:pPr>
        <w:pStyle w:val="BodyText"/>
      </w:pPr>
      <w:r w:rsidRPr="00FB3E4A">
        <w:t>Not applicable.</w:t>
      </w: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5" w:name="O_537527"/>
      <w:bookmarkEnd w:id="5"/>
      <w:r w:rsidRPr="00FB3E4A">
        <w:t>Pre-Requisites</w:t>
      </w:r>
    </w:p>
    <w:p w:rsidR="00000000" w:rsidRPr="00FB3E4A" w:rsidP="00FB3E4A">
      <w:pPr>
        <w:pStyle w:val="BodyText"/>
      </w:pPr>
      <w:r w:rsidRPr="00FB3E4A">
        <w:t>Not applicable.</w:t>
      </w: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6" w:name="O_537526"/>
      <w:bookmarkEnd w:id="6"/>
      <w:r w:rsidRPr="00FB3E4A">
        <w:t>Employability Skills Information</w:t>
      </w:r>
    </w:p>
    <w:p w:rsidR="00000000" w:rsidRPr="00FB3E4A" w:rsidP="00FB3E4A">
      <w:pPr>
        <w:pStyle w:val="BodyText"/>
      </w:pPr>
      <w:r w:rsidRPr="00FB3E4A">
        <w:t>This unit contains employability skills.</w:t>
      </w: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7" w:name="O_537525"/>
      <w:bookmarkEnd w:id="7"/>
      <w:r w:rsidRPr="00FB3E4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t>Performance criteria describe the required perfo</w:t>
            </w:r>
            <w:r w:rsidRPr="00FB3E4A">
              <w:t>rmance needed to demonstrate achievement of the element. Assessment of performance is to be consistent with the evidence guide.</w:t>
            </w:r>
          </w:p>
        </w:tc>
      </w:tr>
    </w:tbl>
    <w:p w:rsidR="00000000" w:rsidRPr="00FB3E4A" w:rsidP="00FB3E4A">
      <w:pPr>
        <w:pStyle w:val="BodyText"/>
      </w:pP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8" w:name="O_537524"/>
      <w:bookmarkEnd w:id="8"/>
      <w:r w:rsidRPr="00FB3E4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Determine relevant rules and regulations impacting on work practices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International Regulations for Preventing Collisions at Sea are appreciated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Responsibilities as the person in charge of a vessel are identified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 xml:space="preserve">Relevant commonwealth, state, territory and local legislation governing the vessel and </w:t>
            </w:r>
            <w:r w:rsidRPr="00FB3E4A">
              <w:t>the passage are comprehended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Comply with industry and professional codes of practice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Relevant industry and professional codes of practice are sourced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Commitment to comply with industry and professional codes of practice is demonstrated throug</w:t>
            </w:r>
            <w:r w:rsidRPr="00FB3E4A">
              <w:t>h own behaviour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Apply legislative and regulatory requirements to the operation of the vessel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BoldandItalics"/>
              </w:rPr>
              <w:t>Regulatory requirements relating to operational aspects of the vessel</w:t>
            </w:r>
            <w:r w:rsidRPr="00FB3E4A">
              <w:t xml:space="preserve"> are recognised and appropriate procedures are developed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Situations where rules must be applied in order to avoid collisions are recognised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Safety requirements are implemented in accordance with legislative and regulatory requirements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Compliance with all relevant rules and legislation is demonstrated while operating the vessel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 xml:space="preserve">Identify changes in laws and regulations and their implications for vessel operation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Changed legislation and regulations are accessed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Changes in regulatory requirements are identified and applied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Operational procedures are reviewed to reflect changes in legislation and regulations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Maintain statutory records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 xml:space="preserve">Copies of relevant </w:t>
            </w:r>
            <w:r w:rsidRPr="00FB3E4A">
              <w:rPr>
                <w:rStyle w:val="BoldandItalics"/>
              </w:rPr>
              <w:t xml:space="preserve">records </w:t>
            </w:r>
            <w:r w:rsidRPr="00FB3E4A">
              <w:t>are maintained</w:t>
            </w:r>
          </w:p>
        </w:tc>
      </w:tr>
      <w:tr w:rsidTr="00F478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t>Evidence of current authorisation, training and relevant licences are maintained according to legislative and regulatory requirements</w:t>
            </w:r>
          </w:p>
        </w:tc>
      </w:tr>
    </w:tbl>
    <w:p w:rsidR="00000000" w:rsidRPr="00FB3E4A" w:rsidP="00FB3E4A">
      <w:pPr>
        <w:pStyle w:val="BodyText"/>
      </w:pP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9" w:name="O_537523"/>
      <w:bookmarkEnd w:id="9"/>
      <w:r w:rsidRPr="00FB3E4A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This section describes the skills and knowledge required for this unit.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Required Skills: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Apply regulations pertaining to the safe operation of a vessel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Apply safety management plan standards and emergency operating procedures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Conduct inductions for crew where applicable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Identify the duties and responsibilities of the Master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ListBullet"/>
            </w:pPr>
            <w:r w:rsidRPr="00FB3E4A">
              <w:t>Obtain information from commonwealth, state and territory Acts, legislation, codes of practices and other publications relating to the safe navigation of a vessel</w:t>
            </w:r>
          </w:p>
        </w:tc>
      </w:tr>
    </w:tbl>
    <w:p w:rsidR="00000000" w:rsidRPr="00FB3E4A" w:rsidP="00FB3E4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Required Knowledge: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Assisting in</w:t>
            </w:r>
            <w:r w:rsidRPr="00FB3E4A">
              <w:t xml:space="preserve"> distress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Certificates on board a vessel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Certificates to be carried on board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Contents of marine notices, annual notices to mariners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Distress signals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Duties and responsibilities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International Association of Lighthouse Authorities (IALA) Buoyage System A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International Regulations for Preventing Collisions at Sea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Large commercial traffic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Lifesaving and firefighting appliances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Lights, shapes and sounds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Log book or vessel record book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Marine pollution prevention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National Standard for Commercial Vessels (NSCV) Part C Section 7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Operational areas and classifications of vessels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State and territory marine legislation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ListBullet"/>
            </w:pPr>
            <w:r w:rsidRPr="00FB3E4A">
              <w:t>Work health and safety (WHS)/occupational health and safety (OHS) legislation</w:t>
            </w:r>
          </w:p>
        </w:tc>
      </w:tr>
    </w:tbl>
    <w:p w:rsidR="00000000" w:rsidRPr="00FB3E4A" w:rsidP="00FB3E4A">
      <w:pPr>
        <w:pStyle w:val="BodyText"/>
      </w:pP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10" w:name="O_537522"/>
      <w:bookmarkEnd w:id="10"/>
      <w:r w:rsidRPr="00FB3E4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FB3E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The evidence guide provides advice on assessment and must be read in conjunction with the performance criteria, the required skills and knowledg</w:t>
            </w:r>
            <w:r w:rsidRPr="00FB3E4A">
              <w:t>e, the range statement and the Assessment Guidelines for the Training Package.</w:t>
            </w:r>
          </w:p>
        </w:tc>
      </w:tr>
      <w:tr w:rsidTr="00FB3E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FB3E4A" w:rsidP="00FB3E4A">
            <w:pPr>
              <w:pStyle w:val="ListBullet"/>
            </w:pPr>
            <w:r w:rsidRPr="00FB3E4A">
              <w:t>ensuring behaviour reflects relevant current legis</w:t>
            </w:r>
            <w:r w:rsidRPr="00FB3E4A">
              <w:t>lative and regulatory requirements</w:t>
            </w:r>
          </w:p>
          <w:p w:rsidR="00000000" w:rsidRPr="00FB3E4A" w:rsidP="00FB3E4A">
            <w:pPr>
              <w:pStyle w:val="ListBullet"/>
            </w:pPr>
            <w:r w:rsidRPr="00FB3E4A">
              <w:t>ensuring currency of relevant legislative and regulatory knowledge</w:t>
            </w:r>
          </w:p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attention to appropriate level of detail in recordkeeping.</w:t>
            </w:r>
          </w:p>
        </w:tc>
      </w:tr>
      <w:tr w:rsidTr="00FB3E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t>Performance is demonstrated consistently over</w:t>
            </w:r>
            <w:r w:rsidRPr="00FB3E4A">
              <w:t xml:space="preserve"> time and in a suitable range of contexts.</w:t>
            </w:r>
          </w:p>
          <w:p w:rsidR="00000000" w:rsidRPr="00FB3E4A" w:rsidP="00FB3E4A">
            <w:pPr>
              <w:pStyle w:val="BodyText"/>
            </w:pPr>
            <w:r w:rsidRPr="00FB3E4A">
              <w:t>Resources for assessment include access to:</w:t>
            </w:r>
          </w:p>
          <w:p w:rsidR="00000000" w:rsidRPr="00FB3E4A" w:rsidP="00FB3E4A">
            <w:pPr>
              <w:pStyle w:val="ListBullet"/>
            </w:pPr>
            <w:r w:rsidRPr="00FB3E4A">
              <w:t>industry-approved marine operations site where complying with regulations to ensure safe operation of vessels can be conducted</w:t>
            </w:r>
          </w:p>
          <w:p w:rsidR="00000000" w:rsidRPr="00FB3E4A" w:rsidP="00FB3E4A">
            <w:pPr>
              <w:pStyle w:val="ListBullet"/>
            </w:pPr>
            <w:r w:rsidRPr="00FB3E4A">
              <w:t>tools, equipment and personal protective equipment currently used in industry</w:t>
            </w:r>
          </w:p>
          <w:p w:rsidR="00000000" w:rsidRPr="00FB3E4A" w:rsidP="00FB3E4A">
            <w:pPr>
              <w:pStyle w:val="ListBullet"/>
            </w:pPr>
            <w:r w:rsidRPr="00FB3E4A">
              <w:t>relevant regulatory and equipment documentation that impacts on work activities</w:t>
            </w:r>
          </w:p>
          <w:p w:rsidR="00000000" w:rsidRPr="00FB3E4A" w:rsidP="00FB3E4A">
            <w:pPr>
              <w:pStyle w:val="ListBullet"/>
            </w:pPr>
            <w:r w:rsidRPr="00FB3E4A">
              <w:t>range of relevant exercises, case studies and/or other simulated practical and knowledge assessmen</w:t>
            </w:r>
            <w:r w:rsidRPr="00FB3E4A">
              <w:t>ts</w:t>
            </w:r>
          </w:p>
          <w:p w:rsidR="00000000" w:rsidRPr="00FB3E4A" w:rsidP="00FB3E4A">
            <w:pPr>
              <w:pStyle w:val="ListBullet"/>
            </w:pPr>
            <w:r w:rsidRPr="00FB3E4A">
              <w:t>appropriate range of relevant operational situations in the workplace.</w:t>
            </w:r>
          </w:p>
          <w:p w:rsidR="00000000" w:rsidRPr="00FB3E4A" w:rsidP="00FB3E4A">
            <w:pPr>
              <w:pStyle w:val="BodyText"/>
            </w:pPr>
            <w:r w:rsidRPr="00FB3E4A">
              <w:t>In both real and simulated environments, access is required to:</w:t>
            </w:r>
          </w:p>
          <w:p w:rsidR="00000000" w:rsidRPr="00FB3E4A" w:rsidP="00FB3E4A">
            <w:pPr>
              <w:pStyle w:val="ListBullet"/>
            </w:pPr>
            <w:r w:rsidRPr="00FB3E4A">
              <w:t>relevant and appropriate materials and equipment</w:t>
            </w:r>
          </w:p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applicable documentation including workplace procedures, regulations</w:t>
            </w:r>
            <w:r w:rsidRPr="00FB3E4A">
              <w:t>, codes of practice and operation manuals.</w:t>
            </w:r>
          </w:p>
        </w:tc>
      </w:tr>
      <w:tr w:rsidTr="00FB3E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t>Practical assessment must occur in an:</w:t>
            </w:r>
          </w:p>
          <w:p w:rsidR="00000000" w:rsidRPr="00FB3E4A" w:rsidP="00FB3E4A">
            <w:pPr>
              <w:pStyle w:val="ListBullet"/>
            </w:pPr>
            <w:r w:rsidRPr="00FB3E4A">
              <w:t>appropriately simulated workplace environment and/or</w:t>
            </w:r>
          </w:p>
          <w:p w:rsidR="00000000" w:rsidRPr="00FB3E4A" w:rsidP="00FB3E4A">
            <w:pPr>
              <w:pStyle w:val="ListBullet"/>
            </w:pPr>
            <w:r w:rsidRPr="00FB3E4A">
              <w:t>appropriate range of situations in the workplace.</w:t>
            </w:r>
          </w:p>
          <w:p w:rsidR="00000000" w:rsidRPr="00FB3E4A" w:rsidP="00FB3E4A">
            <w:pPr>
              <w:pStyle w:val="BodyText"/>
            </w:pPr>
            <w:r w:rsidRPr="00FB3E4A">
              <w:t xml:space="preserve">A range of assessment methods should be used to </w:t>
            </w:r>
            <w:r w:rsidRPr="00FB3E4A">
              <w:t>assess practical skills and knowledge. The following examples are appropriate to this unit:</w:t>
            </w:r>
          </w:p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direct observation of the candidate applying current commonwealth, state, territory Acts, legislation, codes of practice and other publications relevant to the saf</w:t>
            </w:r>
            <w:r w:rsidRPr="00FB3E4A">
              <w:t>e operation of a vessel.</w:t>
            </w:r>
          </w:p>
        </w:tc>
      </w:tr>
      <w:tr w:rsidTr="00FB3E4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BodyText"/>
            </w:pPr>
            <w:r w:rsidRPr="00FB3E4A">
              <w:t>Holistic assessment with other units relevant to the industry sector, workplace and job role is recommended.</w:t>
            </w:r>
          </w:p>
          <w:p w:rsidR="00000000" w:rsidRPr="00FB3E4A" w:rsidP="00FB3E4A">
            <w:pPr>
              <w:pStyle w:val="BodyText"/>
            </w:pPr>
            <w:r w:rsidRPr="00FB3E4A">
              <w:t>In all cases where practical assessment is used it should be combined with targeted questioning to assess Required Knowledge.</w:t>
            </w:r>
          </w:p>
          <w:p w:rsidR="00000000" w:rsidRPr="00FB3E4A" w:rsidP="00FB3E4A">
            <w:pPr>
              <w:pStyle w:val="BodyText"/>
            </w:pPr>
            <w:r w:rsidRPr="00FB3E4A">
              <w:t xml:space="preserve">Assessment processes and techniques must be appropriate to the language and literacy requirements of the work being </w:t>
            </w:r>
            <w:r w:rsidRPr="00FB3E4A">
              <w:t xml:space="preserve">performed and </w:t>
            </w:r>
            <w:r w:rsidRPr="00FB3E4A">
              <w:t>the capacity of the candidate.</w:t>
            </w:r>
          </w:p>
        </w:tc>
      </w:tr>
    </w:tbl>
    <w:p w:rsidR="00000000" w:rsidRPr="00FB3E4A" w:rsidP="00FB3E4A">
      <w:pPr>
        <w:pStyle w:val="BodyText"/>
      </w:pP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11" w:name="O_537521"/>
      <w:bookmarkEnd w:id="11"/>
      <w:r w:rsidRPr="00FB3E4A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The range statement relates to the unit of competency as a whole. It allows for different work environments and situations that may affect performance. Bold italicised wording, if used in th</w:t>
            </w:r>
            <w:r w:rsidRPr="00FB3E4A">
              <w:t>e performance criteria, is detailed below.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Regulatory requirements relating to operational aspects of the vessel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ListBullet"/>
            </w:pPr>
            <w:r w:rsidRPr="00FB3E4A">
              <w:t>Assisting in distress</w:t>
            </w:r>
          </w:p>
          <w:p w:rsidR="00000000" w:rsidRPr="00FB3E4A" w:rsidP="00FB3E4A">
            <w:pPr>
              <w:pStyle w:val="ListBullet"/>
            </w:pPr>
            <w:r w:rsidRPr="00FB3E4A">
              <w:t>Certificates on board a vessel</w:t>
            </w:r>
          </w:p>
          <w:p w:rsidR="00000000" w:rsidRPr="00FB3E4A" w:rsidP="00FB3E4A">
            <w:pPr>
              <w:pStyle w:val="ListBullet"/>
            </w:pPr>
            <w:r w:rsidRPr="00FB3E4A">
              <w:t>Distress signals</w:t>
            </w:r>
          </w:p>
          <w:p w:rsidR="00000000" w:rsidRPr="00FB3E4A" w:rsidP="00FB3E4A">
            <w:pPr>
              <w:pStyle w:val="ListBullet"/>
            </w:pPr>
            <w:r w:rsidRPr="00FB3E4A">
              <w:t>Duties and responsibilities of the Master</w:t>
            </w:r>
          </w:p>
          <w:p w:rsidR="00000000" w:rsidRPr="00FB3E4A" w:rsidP="00FB3E4A">
            <w:pPr>
              <w:pStyle w:val="ListBullet"/>
            </w:pPr>
            <w:r w:rsidRPr="00FB3E4A">
              <w:t>IALA Buoyage System</w:t>
            </w:r>
          </w:p>
          <w:p w:rsidR="00000000" w:rsidRPr="00FB3E4A" w:rsidP="00FB3E4A">
            <w:pPr>
              <w:pStyle w:val="ListBullet"/>
            </w:pPr>
            <w:r w:rsidRPr="00FB3E4A">
              <w:t>International Regulations for Preventing Collisions at Sea</w:t>
            </w:r>
          </w:p>
          <w:p w:rsidR="00000000" w:rsidRPr="00FB3E4A" w:rsidP="00FB3E4A">
            <w:pPr>
              <w:pStyle w:val="ListBullet"/>
            </w:pPr>
            <w:r w:rsidRPr="00FB3E4A">
              <w:t>Lifesaving and firefighting appliances</w:t>
            </w:r>
          </w:p>
          <w:p w:rsidR="00000000" w:rsidRPr="00FB3E4A" w:rsidP="00FB3E4A">
            <w:pPr>
              <w:pStyle w:val="ListBullet"/>
            </w:pPr>
            <w:r w:rsidRPr="00FB3E4A">
              <w:t>Lights, shapes and sounds</w:t>
            </w:r>
          </w:p>
          <w:p w:rsidR="00000000" w:rsidRPr="00FB3E4A" w:rsidP="00FB3E4A">
            <w:pPr>
              <w:pStyle w:val="ListBullet"/>
            </w:pPr>
            <w:r w:rsidRPr="00FB3E4A">
              <w:t>Log book or vessel record book</w:t>
            </w:r>
          </w:p>
          <w:p w:rsidR="00000000" w:rsidRPr="00FB3E4A" w:rsidP="00FB3E4A">
            <w:pPr>
              <w:pStyle w:val="ListBullet"/>
            </w:pPr>
            <w:r w:rsidRPr="00FB3E4A">
              <w:t>Marine pollution prevention</w:t>
            </w:r>
          </w:p>
          <w:p w:rsidR="00000000" w:rsidRPr="00FB3E4A" w:rsidP="00FB3E4A">
            <w:pPr>
              <w:pStyle w:val="ListBullet"/>
            </w:pPr>
            <w:r w:rsidRPr="00FB3E4A">
              <w:t>Marine Safety (Domestic Commercial Vessel) National L</w:t>
            </w:r>
            <w:r w:rsidRPr="00FB3E4A">
              <w:t>aw, Regulations, Marine Orders and NSCV</w:t>
            </w:r>
          </w:p>
          <w:p w:rsidR="00000000" w:rsidRPr="00FB3E4A" w:rsidP="00FB3E4A">
            <w:pPr>
              <w:pStyle w:val="ListBullet"/>
            </w:pPr>
            <w:r w:rsidRPr="00FB3E4A">
              <w:t>Operational areas and classifications of vessels</w:t>
            </w:r>
          </w:p>
          <w:p w:rsidR="00000000" w:rsidRPr="00FB3E4A" w:rsidP="00FB3E4A">
            <w:pPr>
              <w:pStyle w:val="ListBullet"/>
            </w:pPr>
            <w:r w:rsidRPr="00FB3E4A">
              <w:t xml:space="preserve">Safety management systems or plans </w:t>
            </w:r>
          </w:p>
          <w:p w:rsidR="00000000" w:rsidP="00FB3E4A">
            <w:pPr>
              <w:pStyle w:val="ListBullet"/>
              <w:rPr>
                <w:lang w:val="en-NZ"/>
              </w:rPr>
            </w:pPr>
            <w:r w:rsidRPr="00FB3E4A">
              <w:t>WHS/OHS legislation</w:t>
            </w:r>
          </w:p>
        </w:tc>
      </w:tr>
      <w:tr w:rsidTr="00F478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E4A">
            <w:pPr>
              <w:pStyle w:val="BodyText"/>
              <w:rPr>
                <w:lang w:val="en-NZ"/>
              </w:rPr>
            </w:pPr>
            <w:r w:rsidRPr="00FB3E4A">
              <w:t>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E4A" w:rsidP="00FB3E4A">
            <w:pPr>
              <w:pStyle w:val="ListBullet"/>
            </w:pPr>
            <w:r w:rsidRPr="00FB3E4A">
              <w:t>Applicable log books</w:t>
            </w:r>
          </w:p>
          <w:p w:rsidR="00000000" w:rsidRPr="00FB3E4A" w:rsidP="00FB3E4A">
            <w:pPr>
              <w:pStyle w:val="ListBullet"/>
            </w:pPr>
            <w:r w:rsidRPr="00FB3E4A">
              <w:t>Environmental control</w:t>
            </w:r>
          </w:p>
          <w:p w:rsidR="00000000" w:rsidRPr="00FB3E4A" w:rsidP="00FB3E4A">
            <w:pPr>
              <w:pStyle w:val="ListBullet"/>
            </w:pPr>
            <w:r w:rsidRPr="00FB3E4A">
              <w:t>Survey certificates</w:t>
            </w:r>
          </w:p>
        </w:tc>
      </w:tr>
    </w:tbl>
    <w:p w:rsidR="00000000" w:rsidRPr="00FB3E4A" w:rsidP="00FB3E4A">
      <w:pPr>
        <w:pStyle w:val="BodyText"/>
      </w:pP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12" w:name="O_537520"/>
      <w:bookmarkEnd w:id="12"/>
      <w:r w:rsidRPr="00FB3E4A">
        <w:t>Unit Sector(s)</w:t>
      </w:r>
    </w:p>
    <w:p w:rsidR="00000000" w:rsidRPr="00FB3E4A" w:rsidP="00FB3E4A">
      <w:pPr>
        <w:pStyle w:val="BodyText"/>
      </w:pPr>
      <w:r w:rsidRPr="00FB3E4A">
        <w:t>Not applicable.</w:t>
      </w:r>
    </w:p>
    <w:p w:rsidR="00000000" w:rsidRPr="00FB3E4A" w:rsidP="00FB3E4A">
      <w:pPr>
        <w:pStyle w:val="AllowPageBreak"/>
      </w:pPr>
    </w:p>
    <w:p w:rsidR="00000000" w:rsidRPr="00FB3E4A" w:rsidP="00FB3E4A">
      <w:pPr>
        <w:pStyle w:val="Heading1"/>
      </w:pPr>
      <w:bookmarkStart w:id="13" w:name="O_537519"/>
      <w:bookmarkEnd w:id="13"/>
      <w:r w:rsidRPr="00FB3E4A">
        <w:t>Competency Field</w:t>
      </w:r>
    </w:p>
    <w:p w:rsidR="00000000" w:rsidRPr="00FB3E4A" w:rsidP="00FB3E4A">
      <w:pPr>
        <w:pStyle w:val="BodyText"/>
      </w:pPr>
      <w:r w:rsidRPr="00FB3E4A">
        <w:t>Regulations and Port Operations</w:t>
      </w:r>
    </w:p>
    <w:p w:rsidR="00000000" w:rsidRPr="00FB3E4A" w:rsidP="00FB3E4A"/>
    <w:sectPr w:rsidSect="00FB3E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A" w:rsidRPr="00F478F1" w:rsidP="00F47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8F1" w:rsidP="00FB3E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478F1" w:rsidP="00FB3E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478F1" w:rsidP="00FB3E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A" w:rsidRPr="00F478F1" w:rsidP="00F478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E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8F1" w:rsidRPr="002D2AF8" w:rsidP="00FB3E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MARI2001A Comply with regulations to ensure safe operation of a vessel up to 12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F478F1" w:rsidP="00FB3E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2CE5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CA3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E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E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E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E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E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E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E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E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E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E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E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E4A"/>
  </w:style>
  <w:style w:type="character" w:customStyle="1" w:styleId="Heading1Char">
    <w:name w:val="Heading 1 Char"/>
    <w:basedOn w:val="DefaultParagraphFont"/>
    <w:link w:val="Heading1"/>
    <w:rsid w:val="00FB3E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E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E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E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E4A"/>
    <w:rPr>
      <w:b/>
      <w:spacing w:val="0"/>
    </w:rPr>
  </w:style>
  <w:style w:type="paragraph" w:customStyle="1" w:styleId="SuperHeading">
    <w:name w:val="SuperHeading"/>
    <w:basedOn w:val="Normal"/>
    <w:rsid w:val="00FB3E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E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B3E4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B3E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E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E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E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E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E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E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E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E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E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E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E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E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E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E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E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E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E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E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E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E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E4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E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E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E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E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E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E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E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E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E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E4A"/>
    <w:rPr>
      <w:i/>
    </w:rPr>
  </w:style>
  <w:style w:type="paragraph" w:styleId="Caption">
    <w:name w:val="caption"/>
    <w:basedOn w:val="BodyText"/>
    <w:next w:val="Normal"/>
    <w:qFormat/>
    <w:rsid w:val="00FB3E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E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E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E4A"/>
  </w:style>
  <w:style w:type="paragraph" w:styleId="TableofFigures">
    <w:name w:val="table of figures"/>
    <w:basedOn w:val="Normal"/>
    <w:next w:val="Normal"/>
    <w:semiHidden/>
    <w:rsid w:val="00FB3E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E4A"/>
    <w:pPr>
      <w:numPr>
        <w:numId w:val="10"/>
      </w:numPr>
    </w:pPr>
  </w:style>
  <w:style w:type="character" w:customStyle="1" w:styleId="WingdingSymbols">
    <w:name w:val="Wingding Symbols"/>
    <w:rsid w:val="00FB3E4A"/>
    <w:rPr>
      <w:rFonts w:ascii="Wingdings" w:hAnsi="Wingdings"/>
    </w:rPr>
  </w:style>
  <w:style w:type="paragraph" w:customStyle="1" w:styleId="TableHeading">
    <w:name w:val="Table Heading"/>
    <w:basedOn w:val="HeadingBase"/>
    <w:rsid w:val="00FB3E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E4A"/>
    <w:rPr>
      <w:color w:val="0033CC"/>
      <w:u w:val="none"/>
    </w:rPr>
  </w:style>
  <w:style w:type="paragraph" w:customStyle="1" w:styleId="BodyTextRight">
    <w:name w:val="Body Text Right"/>
    <w:basedOn w:val="BodyText"/>
    <w:rsid w:val="00FB3E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E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E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E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E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E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E4A"/>
    <w:rPr>
      <w:sz w:val="32"/>
    </w:rPr>
  </w:style>
  <w:style w:type="paragraph" w:customStyle="1" w:styleId="HeadingProcedure">
    <w:name w:val="Heading Procedure"/>
    <w:basedOn w:val="HeadingBase"/>
    <w:next w:val="Normal"/>
    <w:rsid w:val="00FB3E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E4A"/>
    <w:pPr>
      <w:spacing w:before="60" w:after="60"/>
    </w:pPr>
  </w:style>
  <w:style w:type="paragraph" w:styleId="ListContinue">
    <w:name w:val="List Continue"/>
    <w:basedOn w:val="List"/>
    <w:rsid w:val="00FB3E4A"/>
    <w:pPr>
      <w:ind w:firstLine="0"/>
    </w:pPr>
  </w:style>
  <w:style w:type="paragraph" w:customStyle="1" w:styleId="ListNote">
    <w:name w:val="List Note"/>
    <w:basedOn w:val="List"/>
    <w:rsid w:val="00FB3E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E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E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E4A"/>
    <w:rPr>
      <w:rFonts w:ascii="Courier New" w:hAnsi="Courier New"/>
    </w:rPr>
  </w:style>
  <w:style w:type="paragraph" w:customStyle="1" w:styleId="NoteBullet">
    <w:name w:val="Note Bullet"/>
    <w:basedOn w:val="Note"/>
    <w:rsid w:val="00FB3E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E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E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E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E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E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E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E4A"/>
    <w:rPr>
      <w:b/>
      <w:smallCaps/>
    </w:rPr>
  </w:style>
  <w:style w:type="paragraph" w:customStyle="1" w:styleId="TableListNumber">
    <w:name w:val="Table List Number"/>
    <w:basedOn w:val="ListNumber"/>
    <w:rsid w:val="00FB3E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E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E4A"/>
    <w:pPr>
      <w:numPr>
        <w:numId w:val="8"/>
      </w:numPr>
    </w:pPr>
  </w:style>
  <w:style w:type="paragraph" w:customStyle="1" w:styleId="ListAlpha2">
    <w:name w:val="List Alpha 2"/>
    <w:basedOn w:val="List2"/>
    <w:rsid w:val="00FB3E4A"/>
    <w:pPr>
      <w:numPr>
        <w:numId w:val="7"/>
      </w:numPr>
    </w:pPr>
  </w:style>
  <w:style w:type="paragraph" w:styleId="List2">
    <w:name w:val="List 2"/>
    <w:basedOn w:val="BodyText"/>
    <w:rsid w:val="00FB3E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E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E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E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E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E4A"/>
    <w:pPr>
      <w:numPr>
        <w:numId w:val="2"/>
      </w:numPr>
    </w:pPr>
  </w:style>
  <w:style w:type="paragraph" w:styleId="ListBullet5">
    <w:name w:val="List Bullet 5"/>
    <w:basedOn w:val="List5"/>
    <w:rsid w:val="00FB3E4A"/>
    <w:pPr>
      <w:numPr>
        <w:numId w:val="3"/>
      </w:numPr>
    </w:pPr>
  </w:style>
  <w:style w:type="paragraph" w:styleId="ListContinue2">
    <w:name w:val="List Continue 2"/>
    <w:basedOn w:val="List2"/>
    <w:rsid w:val="00FB3E4A"/>
    <w:pPr>
      <w:ind w:firstLine="0"/>
    </w:pPr>
  </w:style>
  <w:style w:type="paragraph" w:styleId="ListContinue3">
    <w:name w:val="List Continue 3"/>
    <w:basedOn w:val="List3"/>
    <w:rsid w:val="00FB3E4A"/>
    <w:pPr>
      <w:ind w:left="1021" w:firstLine="0"/>
    </w:pPr>
  </w:style>
  <w:style w:type="paragraph" w:styleId="ListContinue4">
    <w:name w:val="List Continue 4"/>
    <w:basedOn w:val="List4"/>
    <w:rsid w:val="00FB3E4A"/>
    <w:pPr>
      <w:ind w:firstLine="0"/>
    </w:pPr>
  </w:style>
  <w:style w:type="paragraph" w:styleId="ListContinue5">
    <w:name w:val="List Continue 5"/>
    <w:basedOn w:val="List5"/>
    <w:rsid w:val="00FB3E4A"/>
    <w:pPr>
      <w:ind w:firstLine="0"/>
    </w:pPr>
  </w:style>
  <w:style w:type="paragraph" w:styleId="ListNumber3">
    <w:name w:val="List Number 3"/>
    <w:basedOn w:val="List3"/>
    <w:rsid w:val="00FB3E4A"/>
    <w:pPr>
      <w:numPr>
        <w:numId w:val="4"/>
      </w:numPr>
    </w:pPr>
  </w:style>
  <w:style w:type="paragraph" w:styleId="ListNumber4">
    <w:name w:val="List Number 4"/>
    <w:basedOn w:val="List4"/>
    <w:rsid w:val="00FB3E4A"/>
    <w:pPr>
      <w:numPr>
        <w:numId w:val="5"/>
      </w:numPr>
    </w:pPr>
  </w:style>
  <w:style w:type="paragraph" w:styleId="ListNumber5">
    <w:name w:val="List Number 5"/>
    <w:basedOn w:val="List5"/>
    <w:rsid w:val="00FB3E4A"/>
    <w:pPr>
      <w:numPr>
        <w:numId w:val="6"/>
      </w:numPr>
    </w:pPr>
  </w:style>
  <w:style w:type="paragraph" w:styleId="BlockText">
    <w:name w:val="Block Text"/>
    <w:basedOn w:val="Normal"/>
    <w:rsid w:val="00FB3E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E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E4A"/>
    <w:rPr>
      <w:sz w:val="16"/>
      <w:vertAlign w:val="superscript"/>
    </w:rPr>
  </w:style>
  <w:style w:type="character" w:customStyle="1" w:styleId="Symbols">
    <w:name w:val="Symbols"/>
    <w:basedOn w:val="DefaultParagraphFont"/>
    <w:rsid w:val="00FB3E4A"/>
    <w:rPr>
      <w:rFonts w:ascii="Symbol" w:hAnsi="Symbol"/>
    </w:rPr>
  </w:style>
  <w:style w:type="character" w:customStyle="1" w:styleId="MenuOptions">
    <w:name w:val="Menu Options"/>
    <w:basedOn w:val="DefaultParagraphFont"/>
    <w:rsid w:val="00FB3E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E4A"/>
    <w:rPr>
      <w:b/>
    </w:rPr>
  </w:style>
  <w:style w:type="character" w:customStyle="1" w:styleId="Underlined">
    <w:name w:val="Underlined"/>
    <w:basedOn w:val="DefaultParagraphFont"/>
    <w:rsid w:val="00FB3E4A"/>
    <w:rPr>
      <w:u w:val="single"/>
    </w:rPr>
  </w:style>
  <w:style w:type="paragraph" w:customStyle="1" w:styleId="TableBodyTextRight">
    <w:name w:val="Table Body Text Right"/>
    <w:basedOn w:val="TableBodyText"/>
    <w:rsid w:val="00FB3E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E4A"/>
    <w:rPr>
      <w:sz w:val="18"/>
    </w:rPr>
  </w:style>
  <w:style w:type="paragraph" w:customStyle="1" w:styleId="BodySmallRight">
    <w:name w:val="Body Small Right"/>
    <w:basedOn w:val="BodyTextRight"/>
    <w:rsid w:val="00FB3E4A"/>
    <w:rPr>
      <w:sz w:val="18"/>
      <w:szCs w:val="18"/>
    </w:rPr>
  </w:style>
  <w:style w:type="paragraph" w:customStyle="1" w:styleId="MarginEdition">
    <w:name w:val="Margin Edition"/>
    <w:basedOn w:val="MarginNote"/>
    <w:rsid w:val="00FB3E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E4A"/>
    <w:rPr>
      <w:sz w:val="2"/>
      <w:szCs w:val="2"/>
    </w:rPr>
  </w:style>
  <w:style w:type="character" w:customStyle="1" w:styleId="Small">
    <w:name w:val="Small"/>
    <w:basedOn w:val="DefaultParagraphFont"/>
    <w:rsid w:val="00FB3E4A"/>
    <w:rPr>
      <w:sz w:val="16"/>
    </w:rPr>
  </w:style>
  <w:style w:type="paragraph" w:customStyle="1" w:styleId="WideTable">
    <w:name w:val="Wide Table"/>
    <w:basedOn w:val="Normal"/>
    <w:rsid w:val="00FB3E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E4A"/>
  </w:style>
  <w:style w:type="paragraph" w:styleId="Quote">
    <w:name w:val="Quote"/>
    <w:basedOn w:val="Heading1"/>
    <w:link w:val="QuoteChar"/>
    <w:qFormat/>
    <w:rsid w:val="00FB3E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E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E4A"/>
    <w:pPr>
      <w:pageBreakBefore/>
    </w:pPr>
  </w:style>
  <w:style w:type="paragraph" w:customStyle="1" w:styleId="Border">
    <w:name w:val="Border"/>
    <w:basedOn w:val="Normal"/>
    <w:qFormat/>
    <w:rsid w:val="00FB3E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E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E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E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E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E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E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E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E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E4A"/>
    <w:rPr>
      <w:u w:val="single"/>
    </w:rPr>
  </w:style>
  <w:style w:type="paragraph" w:styleId="BalloonText">
    <w:name w:val="Balloon Text"/>
    <w:basedOn w:val="Normal"/>
    <w:link w:val="BalloonTextChar"/>
    <w:rsid w:val="00FB3E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E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E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E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E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E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1038</Words>
  <Characters>6495</Characters>
  <Application>Microsoft Office Word</Application>
  <DocSecurity>0</DocSecurity>
  <Lines>247</Lines>
  <Paragraphs>137</Paragraphs>
  <ScaleCrop>false</ScaleCrop>
  <Company>Author-it Software Corporation Ltd.</Company>
  <LinksUpToDate>false</LinksUpToDate>
  <CharactersWithSpaces>7450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MARI2001A Comply with regulations to ensure safe operation of a vessel up to 12 metres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2013-06-06T05:08:00Z</dcterms:created>
  <dcterms:modified xsi:type="dcterms:W3CDTF">2013-06-06T05:08:00Z</dcterms:modified>
</cp:coreProperties>
</file>