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C84" w:rsidP="00D41C84">
      <w:pPr>
        <w:pStyle w:val="Title"/>
      </w:pPr>
      <w:r>
        <w:fldChar w:fldCharType="begin"/>
      </w:r>
      <w:r>
        <w:instrText xml:space="preserve"> TITLE   \* MERGEFORMAT </w:instrText>
      </w:r>
      <w:r>
        <w:fldChar w:fldCharType="separate"/>
      </w:r>
      <w:r>
        <w:t>MARH3004A Use wheelhouse equipment for safe navigation</w:t>
      </w:r>
      <w:r>
        <w:fldChar w:fldCharType="end"/>
      </w:r>
    </w:p>
    <w:p w:rsidR="00D41C84" w:rsidP="00D41C84">
      <w:pPr>
        <w:pStyle w:val="Version"/>
        <w:sectPr w:rsidSect="00047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5FE" w:rsidP="000475FE">
      <w:pPr>
        <w:pStyle w:val="SuperHeading"/>
      </w:pPr>
      <w:r w:rsidRPr="000475FE">
        <w:t>MARH3004A Use wheelhouse equipment for safe navigation</w:t>
      </w:r>
    </w:p>
    <w:p w:rsidR="00000000" w:rsidRPr="000475FE" w:rsidP="000475FE">
      <w:pPr>
        <w:pStyle w:val="Heading1"/>
      </w:pPr>
      <w:bookmarkStart w:id="1" w:name="O_537368"/>
      <w:bookmarkEnd w:id="1"/>
      <w:r w:rsidRPr="000475FE">
        <w:t>Modification History</w:t>
      </w:r>
    </w:p>
    <w:p w:rsidR="00000000" w:rsidRPr="000475FE" w:rsidP="000475FE">
      <w:pPr>
        <w:pStyle w:val="BodyText"/>
      </w:pPr>
      <w:r w:rsidRPr="000475FE">
        <w:t>Release 1</w:t>
      </w:r>
    </w:p>
    <w:p w:rsidR="00000000" w:rsidRPr="000475FE" w:rsidP="000475FE">
      <w:pPr>
        <w:pStyle w:val="BodyText"/>
      </w:pPr>
      <w:r w:rsidRPr="000475FE">
        <w:t>This is the first release of this unit.</w:t>
      </w:r>
    </w:p>
    <w:p w:rsidR="00000000" w:rsidRPr="000475FE" w:rsidP="000475FE">
      <w:pPr>
        <w:pStyle w:val="AllowPageBreak"/>
      </w:pPr>
    </w:p>
    <w:p w:rsidR="00000000" w:rsidRPr="000475FE" w:rsidP="000475FE">
      <w:pPr>
        <w:pStyle w:val="Heading1"/>
      </w:pPr>
      <w:bookmarkStart w:id="2" w:name="O_537380"/>
      <w:bookmarkEnd w:id="2"/>
      <w:r w:rsidRPr="000475FE">
        <w:t>Unit Descriptor</w:t>
      </w:r>
    </w:p>
    <w:p w:rsidR="00000000" w:rsidRPr="000475FE" w:rsidP="000475FE">
      <w:pPr>
        <w:pStyle w:val="BodyText"/>
      </w:pPr>
      <w:r w:rsidRPr="000475FE">
        <w:t>This unit involves the skills and knowledge required to maintain safe navigation of a commercial vessel through the use of radar and oth</w:t>
      </w:r>
      <w:r w:rsidRPr="000475FE">
        <w:t>er equipment used for the navigation of a vessel.</w:t>
      </w:r>
    </w:p>
    <w:p w:rsidR="00000000" w:rsidRPr="000475FE" w:rsidP="000475FE">
      <w:pPr>
        <w:pStyle w:val="AllowPageBreak"/>
      </w:pPr>
    </w:p>
    <w:p w:rsidR="00000000" w:rsidRPr="000475FE" w:rsidP="000475FE">
      <w:pPr>
        <w:pStyle w:val="Heading1"/>
      </w:pPr>
      <w:bookmarkStart w:id="3" w:name="O_537379"/>
      <w:bookmarkEnd w:id="3"/>
      <w:r w:rsidRPr="000475FE">
        <w:t>Application of the Unit</w:t>
      </w:r>
    </w:p>
    <w:p w:rsidR="00000000" w:rsidRPr="000475FE" w:rsidP="000475FE">
      <w:pPr>
        <w:pStyle w:val="BodyText"/>
      </w:pPr>
      <w:r w:rsidRPr="000475FE">
        <w:t>This unit applies to those working in the capacity of Master on a range of vessels up to 80 metres.</w:t>
      </w:r>
    </w:p>
    <w:p w:rsidR="00000000" w:rsidRPr="000475FE" w:rsidP="000475FE">
      <w:pPr>
        <w:pStyle w:val="AllowPageBreak"/>
      </w:pPr>
    </w:p>
    <w:p w:rsidR="00000000" w:rsidRPr="000475FE" w:rsidP="000475FE">
      <w:pPr>
        <w:pStyle w:val="Heading1"/>
      </w:pPr>
      <w:bookmarkStart w:id="4" w:name="O_537378"/>
      <w:bookmarkEnd w:id="4"/>
      <w:r w:rsidRPr="000475FE">
        <w:t>Licensing/Regulatory Information</w:t>
      </w:r>
    </w:p>
    <w:p w:rsidR="00000000" w:rsidRPr="000475FE" w:rsidP="000475FE">
      <w:pPr>
        <w:pStyle w:val="BodyText"/>
      </w:pPr>
      <w:r w:rsidRPr="000475FE">
        <w:t>Not applicable.</w:t>
      </w:r>
    </w:p>
    <w:p w:rsidR="00000000" w:rsidRPr="000475FE" w:rsidP="000475FE">
      <w:pPr>
        <w:pStyle w:val="AllowPageBreak"/>
      </w:pPr>
    </w:p>
    <w:p w:rsidR="00000000" w:rsidRPr="000475FE" w:rsidP="000475FE">
      <w:pPr>
        <w:pStyle w:val="Heading1"/>
      </w:pPr>
      <w:bookmarkStart w:id="5" w:name="O_537377"/>
      <w:bookmarkEnd w:id="5"/>
      <w:r w:rsidRPr="000475FE">
        <w:t>Pre-Requisites</w:t>
      </w:r>
    </w:p>
    <w:p w:rsidR="00000000" w:rsidRPr="000475FE" w:rsidP="000475FE">
      <w:pPr>
        <w:pStyle w:val="BodyText"/>
      </w:pPr>
      <w:r w:rsidRPr="000475FE">
        <w:t>Not applicable.</w:t>
      </w:r>
    </w:p>
    <w:p w:rsidR="00000000" w:rsidRPr="000475FE" w:rsidP="000475FE">
      <w:pPr>
        <w:pStyle w:val="AllowPageBreak"/>
      </w:pPr>
    </w:p>
    <w:p w:rsidR="00000000" w:rsidRPr="000475FE" w:rsidP="000475FE">
      <w:pPr>
        <w:pStyle w:val="Heading1"/>
      </w:pPr>
      <w:bookmarkStart w:id="6" w:name="O_537376"/>
      <w:bookmarkEnd w:id="6"/>
      <w:r w:rsidRPr="000475FE">
        <w:t>Employability Skills Information</w:t>
      </w:r>
    </w:p>
    <w:p w:rsidR="00000000" w:rsidRPr="000475FE" w:rsidP="000475FE">
      <w:pPr>
        <w:pStyle w:val="BodyText"/>
      </w:pPr>
      <w:r w:rsidRPr="000475FE">
        <w:t>This unit contains employability skills.</w:t>
      </w:r>
    </w:p>
    <w:p w:rsidR="00000000" w:rsidRPr="000475FE" w:rsidP="000475FE">
      <w:pPr>
        <w:pStyle w:val="AllowPageBreak"/>
      </w:pPr>
    </w:p>
    <w:p w:rsidR="00000000" w:rsidRPr="000475FE" w:rsidP="000475FE">
      <w:pPr>
        <w:pStyle w:val="Heading1"/>
      </w:pPr>
      <w:bookmarkStart w:id="7" w:name="O_537375"/>
      <w:bookmarkEnd w:id="7"/>
      <w:r w:rsidRPr="000475FE">
        <w:t>Elements and Performance Criteria Pre-Content</w:t>
      </w:r>
    </w:p>
    <w:tbl>
      <w:tblPr>
        <w:tblW w:w="9640" w:type="dxa"/>
        <w:tblLayout w:type="fixed"/>
        <w:tblCellMar>
          <w:left w:w="62" w:type="dxa"/>
          <w:right w:w="62" w:type="dxa"/>
        </w:tblCellMar>
        <w:tblLook w:val="0000"/>
      </w:tblPr>
      <w:tblGrid>
        <w:gridCol w:w="2776"/>
        <w:gridCol w:w="6864"/>
      </w:tblGrid>
      <w:tr w:rsidTr="00D41C8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Elements describe the essential outcomes of a unit of</w:t>
            </w:r>
            <w:r w:rsidRPr="000475FE">
              <w:t xml:space="preserve"> competency.</w:t>
            </w:r>
          </w:p>
        </w:tc>
        <w:tc>
          <w:tcPr>
            <w:tcW w:w="6864"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Performance criteria describe the required performance needed to demonstrate achievement of the element. Assessment of performance is to be consistent with the evidence guide.</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8" w:name="O_537374"/>
      <w:bookmarkEnd w:id="8"/>
      <w:r w:rsidRPr="000475F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41C8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Set up wheelhouse navigation equipment</w:t>
            </w:r>
          </w:p>
        </w:tc>
        <w:tc>
          <w:tcPr>
            <w:tcW w:w="584"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1.1</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BoldandItalics"/>
              </w:rPr>
              <w:t>Wheelhouse navigation equipment</w:t>
            </w:r>
            <w:r w:rsidRPr="000475FE">
              <w:t xml:space="preserve"> is initialised and displays are set up and maintained</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1.2</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Operational performance and accuracy of wheelhouse equipment is confirmed and appropriate action is taken when performan</w:t>
            </w:r>
            <w:r w:rsidRPr="000475FE">
              <w:t>ce is out of limits</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1.3</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BoldandItalics"/>
              </w:rPr>
              <w:t>Misrepresentation of information</w:t>
            </w:r>
            <w:r w:rsidRPr="000475FE">
              <w:t xml:space="preserve"> is detected and corrected or allowed for</w:t>
            </w:r>
          </w:p>
        </w:tc>
      </w:tr>
      <w:tr w:rsidTr="00D41C8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Use radar to navigate safely</w:t>
            </w: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2.1</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Radar is operated according to manufacturer instructions to produce data on position of vessel, other vessels and fixed objects</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2.2</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Radar plot is constructed on a radar plotting sheet or automatic plotting devices are initialised</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2.3</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Systematic radar observations of vessels in the vicinity are made where there is a risk of collision</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2.4</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Radar data is used to obtain a position fix for vessel using electronic bearing lines and variable range markers</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2.5</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Radar bearings are corrected</w:t>
            </w:r>
            <w:r w:rsidRPr="000475FE">
              <w:t xml:space="preserve"> for vessel heading and compass error as appropriate</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2.6</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Radar plotting data is analysed to anticipate potential collisions</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2.7</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Analysis is used to make informed command decisions on action needed to avoid collisions</w:t>
            </w:r>
          </w:p>
        </w:tc>
      </w:tr>
      <w:tr w:rsidTr="00D41C8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Use wheelhouse navigation equipment</w:t>
            </w: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3.1</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Wheelhouse navigation equipment is safely and efficiently used to conduct navigation of the vessel</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3.2</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Position of vessel is monitored during voyage to ensure planned passage is followed</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3.3</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Movement of vessels in the vicinity is monitored to ensure collision situations do not occur</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3.4</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Wheelhouse navigation equipment is maintained according to manufacturer requirements and organisational procedures</w:t>
            </w:r>
          </w:p>
        </w:tc>
      </w:tr>
      <w:tr w:rsidTr="00D41C8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Maintain navigational records</w:t>
            </w:r>
          </w:p>
        </w:tc>
        <w:tc>
          <w:tcPr>
            <w:tcW w:w="584"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4.1</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BoldandItalics"/>
              </w:rPr>
              <w:t>Navi</w:t>
            </w:r>
            <w:r w:rsidRPr="000475FE">
              <w:rPr>
                <w:rStyle w:val="BoldandItalics"/>
              </w:rPr>
              <w:t>gational data</w:t>
            </w:r>
            <w:r w:rsidRPr="000475FE">
              <w:t xml:space="preserve"> produced by wheelhouse navigation equipment that should be retained to conform with organisational procedures and regulatory requirements is identified </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4.2</w:t>
            </w:r>
          </w:p>
        </w:tc>
        <w:tc>
          <w:tcPr>
            <w:tcW w:w="686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Navigational data is stored electronically or in hard copy as required by organisational procedures and regulatory requirements</w:t>
            </w:r>
          </w:p>
        </w:tc>
      </w:tr>
      <w:tr w:rsidTr="00D41C8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4.3</w:t>
            </w:r>
          </w:p>
        </w:tc>
        <w:tc>
          <w:tcPr>
            <w:tcW w:w="6864"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Security and access requirements for data are adhered to according to organisational procedures</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9" w:name="O_537373"/>
      <w:bookmarkEnd w:id="9"/>
      <w:r w:rsidRPr="000475FE">
        <w:t>Requir</w:t>
      </w:r>
      <w:r w:rsidRPr="000475FE">
        <w:t>ed Skills and Knowledge</w:t>
      </w:r>
    </w:p>
    <w:tbl>
      <w:tblPr>
        <w:tblW w:w="0" w:type="auto"/>
        <w:tblCellMar>
          <w:left w:w="62" w:type="dxa"/>
          <w:right w:w="62" w:type="dxa"/>
        </w:tblCellMar>
        <w:tblLook w:val="0000"/>
      </w:tblPr>
      <w:tblGrid>
        <w:gridCol w:w="9196"/>
      </w:tblGrid>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This section describes the skills and knowledge required for this unit.</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 xml:space="preserve">Required </w:t>
            </w:r>
            <w:r w:rsidRPr="000475FE">
              <w:t>Skills: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Interpret radar displays and indications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Operate marine radar systems and equipment on a vessel</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Operate other electronic navigational instruments and equipment on a vessel</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Read and interpret service manuals and instructions for radar and other electronic navigational aids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Recognise faulty radar equipment and take appropriate action</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75FE" w:rsidP="000475FE">
            <w:pPr>
              <w:pStyle w:val="ListBullet"/>
            </w:pPr>
            <w:r w:rsidRPr="000475FE">
              <w:t>Recognise pr</w:t>
            </w:r>
            <w:r w:rsidRPr="000475FE">
              <w:t>oblems when using radar and other electronic navigational aids to maintain safe navigation and take appropriate action</w:t>
            </w:r>
          </w:p>
        </w:tc>
      </w:tr>
    </w:tbl>
    <w:p w:rsidR="00000000" w:rsidRPr="000475FE" w:rsidP="000475FE">
      <w:pPr>
        <w:pStyle w:val="BodyText"/>
      </w:pPr>
    </w:p>
    <w:tbl>
      <w:tblPr>
        <w:tblW w:w="0" w:type="auto"/>
        <w:tblCellMar>
          <w:left w:w="62" w:type="dxa"/>
          <w:right w:w="62" w:type="dxa"/>
        </w:tblCellMar>
        <w:tblLook w:val="0000"/>
      </w:tblPr>
      <w:tblGrid>
        <w:gridCol w:w="9196"/>
      </w:tblGrid>
      <w:tr w:rsidTr="00D41C84">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 xml:space="preserve">Required </w:t>
            </w:r>
            <w:r w:rsidRPr="000475FE">
              <w:t>Knowledge:</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Different types of navigational aids, including their features, key applications and operational characteristics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Limitations and potential errors associated with each type of electronic navigational aid</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Methods for the interpretation and analysis of navigational data produced by radar and other electronic navigational instruments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Procedures for the initialisation and operation of radar and other electronic navigational instruments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Procedures for the use of data generated by radar and other electronic navigational instruments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Relevant sections of state and territory regulations,</w:t>
            </w:r>
            <w:r w:rsidRPr="000475FE">
              <w:t xml:space="preserve"> National Standard for Commercial Vessels (NSCV) and Uniform Shipping Laws (USL) Code dealing with navigational equipment and the responsibilities of a Master or Deck Officer</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Techniques for the use of radar and other electronic navigational instruments</w:t>
            </w:r>
          </w:p>
        </w:tc>
      </w:tr>
      <w:tr w:rsidTr="00D41C84">
        <w:tblPrEx>
          <w:tblW w:w="0" w:type="auto"/>
          <w:tblCellMar>
            <w:left w:w="62" w:type="dxa"/>
            <w:right w:w="62" w:type="dxa"/>
          </w:tblCellMar>
          <w:tblLook w:val="0000"/>
        </w:tblPrEx>
        <w:trPr>
          <w:trHeight w:val="446"/>
        </w:trPr>
        <w:tc>
          <w:tcPr>
            <w:tcW w:w="0" w:type="auto"/>
            <w:tcBorders>
              <w:top w:val="nil"/>
              <w:left w:val="nil"/>
              <w:bottom w:val="nil"/>
              <w:right w:val="nil"/>
            </w:tcBorders>
            <w:tcMar>
              <w:top w:w="0" w:type="dxa"/>
              <w:left w:w="62" w:type="dxa"/>
              <w:bottom w:w="0" w:type="dxa"/>
              <w:right w:w="62" w:type="dxa"/>
            </w:tcMar>
          </w:tcPr>
          <w:p w:rsidR="00000000" w:rsidP="000475FE">
            <w:pPr>
              <w:pStyle w:val="ListBullet"/>
              <w:rPr>
                <w:lang w:val="en-NZ"/>
              </w:rPr>
            </w:pPr>
            <w:r w:rsidRPr="000475FE">
              <w:t>Terminology and principles of operation of radar and other electronic navigation aids typically used on vessels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75FE" w:rsidP="000475FE">
            <w:pPr>
              <w:pStyle w:val="ListBullet"/>
            </w:pPr>
            <w:r w:rsidRPr="000475FE">
              <w:t>Work health and safety (WHS)/occupational health and safety (OHS) requirements and work practices</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10" w:name="O_537372"/>
      <w:bookmarkEnd w:id="10"/>
      <w:r w:rsidRPr="000475FE">
        <w:t>Evidence Guide</w:t>
      </w:r>
    </w:p>
    <w:tbl>
      <w:tblPr>
        <w:tblW w:w="9499" w:type="dxa"/>
        <w:tblLayout w:type="fixed"/>
        <w:tblCellMar>
          <w:left w:w="62" w:type="dxa"/>
          <w:right w:w="62" w:type="dxa"/>
        </w:tblCellMar>
        <w:tblLook w:val="0000"/>
      </w:tblPr>
      <w:tblGrid>
        <w:gridCol w:w="3340"/>
        <w:gridCol w:w="6159"/>
      </w:tblGrid>
      <w:tr w:rsidTr="000475F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The evidence guide provides advice on assessment and must be read in conjunction with the performance criteria, the required skills and knowledge, the range statement and the Assessment Guidelines for the Training Package.</w:t>
            </w:r>
          </w:p>
        </w:tc>
      </w:tr>
      <w:tr w:rsidTr="000475F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Critical aspects for assessment</w:t>
            </w:r>
            <w:r w:rsidRPr="000475FE">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The evidence required to demonstrate competence in this unit must be relevant to and satisfy all of the requirements of the Elements, Performance Criteria, Required Skills, Required Knowledge an</w:t>
            </w:r>
            <w:r w:rsidRPr="000475FE">
              <w:t>d include:</w:t>
            </w:r>
          </w:p>
          <w:p w:rsidR="00000000" w:rsidRPr="000475FE" w:rsidP="000475FE">
            <w:pPr>
              <w:pStyle w:val="ListBullet"/>
            </w:pPr>
            <w:r w:rsidRPr="000475FE">
              <w:t>operating marine radar systems and equipment on an automatic radar plotting aids (ARPA) system</w:t>
            </w:r>
          </w:p>
          <w:p w:rsidR="00000000" w:rsidP="000475FE">
            <w:pPr>
              <w:pStyle w:val="ListBullet"/>
              <w:rPr>
                <w:lang w:val="en-NZ"/>
              </w:rPr>
            </w:pPr>
            <w:r w:rsidRPr="000475FE">
              <w:t>attention to appropriate level of detail in recordkeeping.</w:t>
            </w:r>
          </w:p>
        </w:tc>
      </w:tr>
      <w:tr w:rsidTr="000475F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Performance is demonstrated consistently over time and in a suitable range of contexts.</w:t>
            </w:r>
          </w:p>
          <w:p w:rsidR="00000000" w:rsidRPr="000475FE" w:rsidP="000475FE">
            <w:pPr>
              <w:pStyle w:val="BodyText"/>
            </w:pPr>
            <w:r w:rsidRPr="000475FE">
              <w:t>Resources for assessment include access to:</w:t>
            </w:r>
          </w:p>
          <w:p w:rsidR="00000000" w:rsidRPr="000475FE" w:rsidP="000475FE">
            <w:pPr>
              <w:pStyle w:val="ListBullet"/>
            </w:pPr>
            <w:r w:rsidRPr="000475FE">
              <w:t>industry-approved marine operations site where using wheelhouse equipment may be conducted</w:t>
            </w:r>
          </w:p>
          <w:p w:rsidR="00000000" w:rsidRPr="000475FE" w:rsidP="000475FE">
            <w:pPr>
              <w:pStyle w:val="ListBullet"/>
            </w:pPr>
            <w:r w:rsidRPr="000475FE">
              <w:t>approved radar simulator where A</w:t>
            </w:r>
            <w:r w:rsidRPr="000475FE">
              <w:t>RPA training can be conducted</w:t>
            </w:r>
          </w:p>
          <w:p w:rsidR="00000000" w:rsidRPr="000475FE" w:rsidP="000475FE">
            <w:pPr>
              <w:pStyle w:val="ListBullet"/>
            </w:pPr>
            <w:r w:rsidRPr="000475FE">
              <w:t>tools, equipment and personal protective equipment currently used in industry</w:t>
            </w:r>
          </w:p>
          <w:p w:rsidR="00000000" w:rsidRPr="000475FE" w:rsidP="000475FE">
            <w:pPr>
              <w:pStyle w:val="ListBullet"/>
            </w:pPr>
            <w:r w:rsidRPr="000475FE">
              <w:t>relevant regulatory and equipment documentation that impacts on work activities</w:t>
            </w:r>
          </w:p>
          <w:p w:rsidR="00000000" w:rsidRPr="000475FE" w:rsidP="000475FE">
            <w:pPr>
              <w:pStyle w:val="ListBullet"/>
            </w:pPr>
            <w:r w:rsidRPr="000475FE">
              <w:t>range of relevant exercises, case studies and/or other simulated pra</w:t>
            </w:r>
            <w:r w:rsidRPr="000475FE">
              <w:t>ctical and knowledge assessments</w:t>
            </w:r>
          </w:p>
          <w:p w:rsidR="00000000" w:rsidRPr="000475FE" w:rsidP="000475FE">
            <w:pPr>
              <w:pStyle w:val="ListBullet"/>
            </w:pPr>
            <w:r w:rsidRPr="000475FE">
              <w:t>appropriate range of relevant operational situations in the workplace.</w:t>
            </w:r>
          </w:p>
          <w:p w:rsidR="00000000" w:rsidRPr="000475FE" w:rsidP="000475FE">
            <w:pPr>
              <w:pStyle w:val="BodyText"/>
            </w:pPr>
            <w:r w:rsidRPr="000475FE">
              <w:t>In both real and simulated environments, access is required to:</w:t>
            </w:r>
          </w:p>
          <w:p w:rsidR="00000000" w:rsidRPr="000475FE" w:rsidP="000475FE">
            <w:pPr>
              <w:pStyle w:val="ListBullet"/>
            </w:pPr>
            <w:r w:rsidRPr="000475FE">
              <w:t>relevant and appropriate materials and equipment</w:t>
            </w:r>
          </w:p>
          <w:p w:rsidR="00000000" w:rsidP="000475FE">
            <w:pPr>
              <w:pStyle w:val="ListBullet"/>
              <w:rPr>
                <w:lang w:val="en-NZ"/>
              </w:rPr>
            </w:pPr>
            <w:r w:rsidRPr="000475FE">
              <w:t>applicable documentation including wor</w:t>
            </w:r>
            <w:r w:rsidRPr="000475FE">
              <w:t>kplace procedures, regulations, codes of practice and operation manuals.</w:t>
            </w:r>
          </w:p>
        </w:tc>
      </w:tr>
      <w:tr w:rsidTr="000475F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Practical assessment must occur in an:</w:t>
            </w:r>
          </w:p>
          <w:p w:rsidR="00000000" w:rsidRPr="000475FE" w:rsidP="000475FE">
            <w:pPr>
              <w:pStyle w:val="ListBullet"/>
            </w:pPr>
            <w:r w:rsidRPr="000475FE">
              <w:t>appropriately simulated workplace environment and/or</w:t>
            </w:r>
          </w:p>
          <w:p w:rsidR="00000000" w:rsidRPr="000475FE" w:rsidP="000475FE">
            <w:pPr>
              <w:pStyle w:val="ListBullet"/>
            </w:pPr>
            <w:r w:rsidRPr="000475FE">
              <w:t>appropriate range of situations in the workplace.</w:t>
            </w:r>
          </w:p>
          <w:p w:rsidR="00000000" w:rsidRPr="000475FE" w:rsidP="000475FE">
            <w:pPr>
              <w:pStyle w:val="BodyText"/>
            </w:pPr>
            <w:r w:rsidRPr="000475FE">
              <w:t>A range of assessment methods should be used to assess practical skills and knowledge. The following examples are appropriate to this unit:</w:t>
            </w:r>
          </w:p>
          <w:p w:rsidR="00000000" w:rsidRPr="000475FE" w:rsidP="000475FE">
            <w:pPr>
              <w:pStyle w:val="ListBullet"/>
            </w:pPr>
            <w:r w:rsidRPr="000475FE">
              <w:t>direct observation of the candidate using wheelhouse equipment</w:t>
            </w:r>
          </w:p>
          <w:p w:rsidR="00000000" w:rsidP="000475FE">
            <w:pPr>
              <w:pStyle w:val="ListBullet"/>
              <w:rPr>
                <w:lang w:val="en-NZ"/>
              </w:rPr>
            </w:pPr>
            <w:r w:rsidRPr="000475FE">
              <w:t>direct observation of the candidate applying relevan</w:t>
            </w:r>
            <w:r w:rsidRPr="000475FE">
              <w:t>t WHS/OHS requirements and work practices.</w:t>
            </w:r>
          </w:p>
        </w:tc>
      </w:tr>
      <w:tr w:rsidTr="000475F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475FE" w:rsidP="000475FE">
            <w:pPr>
              <w:pStyle w:val="BodyText"/>
            </w:pPr>
            <w:r w:rsidRPr="000475FE">
              <w:t>Holistic assessment with other units relevant to the industry sector, workplace and job role is recommended.</w:t>
            </w:r>
          </w:p>
          <w:p w:rsidR="00000000" w:rsidRPr="000475FE" w:rsidP="000475FE">
            <w:pPr>
              <w:pStyle w:val="BodyText"/>
            </w:pPr>
            <w:r w:rsidRPr="000475FE">
              <w:t>In all cases where practical assessment is used it should be combin</w:t>
            </w:r>
            <w:r w:rsidRPr="000475FE">
              <w:t>ed with targeted questioning to assess Required Knowledge.</w:t>
            </w:r>
          </w:p>
          <w:p w:rsidR="00000000" w:rsidRPr="000475FE" w:rsidP="000475FE">
            <w:pPr>
              <w:pStyle w:val="BodyText"/>
            </w:pPr>
            <w:r w:rsidRPr="000475FE">
              <w:t>Assessment processes and techniques must be appropriate to the language and literacy requirements of the work being performed and the capacity of the candidate.</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11" w:name="O_537371"/>
      <w:bookmarkEnd w:id="11"/>
      <w:r w:rsidRPr="000475FE">
        <w:t>Range Statement</w:t>
      </w:r>
    </w:p>
    <w:tbl>
      <w:tblPr>
        <w:tblW w:w="0" w:type="auto"/>
        <w:tblCellMar>
          <w:left w:w="62" w:type="dxa"/>
          <w:right w:w="62" w:type="dxa"/>
        </w:tblCellMar>
        <w:tblLook w:val="0000"/>
      </w:tblPr>
      <w:tblGrid>
        <w:gridCol w:w="2586"/>
        <w:gridCol w:w="6610"/>
      </w:tblGrid>
      <w:tr w:rsidTr="00D41C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The range statement relates to the unit of competency as a whole. It allows for different work environments and situations that may affect performance. Bold italicised wording, if used in the performance criteria, is detailed below.</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Wheelhouse navigation</w:t>
            </w:r>
            <w:r w:rsidRPr="000475FE">
              <w:t xml:space="preserve"> equipment may include:</w:t>
            </w:r>
          </w:p>
        </w:tc>
        <w:tc>
          <w:tcPr>
            <w:tcW w:w="0" w:type="auto"/>
            <w:tcBorders>
              <w:top w:val="nil"/>
              <w:left w:val="nil"/>
              <w:bottom w:val="nil"/>
              <w:right w:val="nil"/>
            </w:tcBorders>
            <w:tcMar>
              <w:top w:w="0" w:type="dxa"/>
              <w:left w:w="62" w:type="dxa"/>
              <w:bottom w:w="0" w:type="dxa"/>
              <w:right w:w="62" w:type="dxa"/>
            </w:tcMar>
          </w:tcPr>
          <w:p w:rsidR="00000000" w:rsidRPr="000475FE" w:rsidP="000475FE">
            <w:pPr>
              <w:pStyle w:val="ListBullet"/>
            </w:pPr>
            <w:r w:rsidRPr="000475FE">
              <w:t>AIS</w:t>
            </w:r>
          </w:p>
          <w:p w:rsidR="00000000" w:rsidRPr="000475FE" w:rsidP="000475FE">
            <w:pPr>
              <w:pStyle w:val="ListBullet"/>
            </w:pPr>
            <w:r w:rsidRPr="000475FE">
              <w:t>Alarm devices including off-course and watch alarms</w:t>
            </w:r>
          </w:p>
          <w:p w:rsidR="00000000" w:rsidRPr="000475FE" w:rsidP="000475FE">
            <w:pPr>
              <w:pStyle w:val="ListBullet"/>
            </w:pPr>
            <w:r w:rsidRPr="000475FE">
              <w:t>Automatic pilot</w:t>
            </w:r>
          </w:p>
          <w:p w:rsidR="00000000" w:rsidRPr="000475FE" w:rsidP="000475FE">
            <w:pPr>
              <w:pStyle w:val="ListBullet"/>
            </w:pPr>
            <w:r w:rsidRPr="000475FE">
              <w:t xml:space="preserve">Azimuth mirrors </w:t>
            </w:r>
          </w:p>
          <w:p w:rsidR="00000000" w:rsidRPr="000475FE" w:rsidP="000475FE">
            <w:pPr>
              <w:pStyle w:val="ListBullet"/>
            </w:pPr>
            <w:r w:rsidRPr="000475FE">
              <w:t>Bottom logs</w:t>
            </w:r>
          </w:p>
          <w:p w:rsidR="00000000" w:rsidRPr="000475FE" w:rsidP="000475FE">
            <w:pPr>
              <w:pStyle w:val="ListBullet"/>
            </w:pPr>
            <w:r w:rsidRPr="000475FE">
              <w:t>Coverage areas</w:t>
            </w:r>
          </w:p>
          <w:p w:rsidR="00000000" w:rsidRPr="000475FE" w:rsidP="000475FE">
            <w:pPr>
              <w:pStyle w:val="ListBullet"/>
            </w:pPr>
            <w:r w:rsidRPr="000475FE">
              <w:t>DGPS</w:t>
            </w:r>
          </w:p>
          <w:p w:rsidR="00000000" w:rsidRPr="000475FE" w:rsidP="000475FE">
            <w:pPr>
              <w:pStyle w:val="ListBullet"/>
            </w:pPr>
            <w:r w:rsidRPr="000475FE">
              <w:t>Echo sounder</w:t>
            </w:r>
          </w:p>
          <w:p w:rsidR="00000000" w:rsidRPr="000475FE" w:rsidP="000475FE">
            <w:pPr>
              <w:pStyle w:val="ListBullet"/>
            </w:pPr>
            <w:r w:rsidRPr="000475FE">
              <w:t>Electronic charts</w:t>
            </w:r>
          </w:p>
          <w:p w:rsidR="00000000" w:rsidRPr="000475FE" w:rsidP="000475FE">
            <w:pPr>
              <w:pStyle w:val="ListBullet"/>
            </w:pPr>
            <w:r w:rsidRPr="000475FE">
              <w:t>GPS</w:t>
            </w:r>
          </w:p>
          <w:p w:rsidR="00000000" w:rsidRPr="000475FE" w:rsidP="000475FE">
            <w:pPr>
              <w:pStyle w:val="ListBullet"/>
            </w:pPr>
            <w:r w:rsidRPr="000475FE">
              <w:t>Hyperbolic systems</w:t>
            </w:r>
          </w:p>
          <w:p w:rsidR="00000000" w:rsidRPr="000475FE" w:rsidP="000475FE">
            <w:pPr>
              <w:pStyle w:val="ListBullet"/>
            </w:pPr>
            <w:r w:rsidRPr="000475FE">
              <w:t>Magnetic and gyro compasses</w:t>
            </w:r>
          </w:p>
          <w:p w:rsidR="00000000" w:rsidRPr="000475FE" w:rsidP="000475FE">
            <w:pPr>
              <w:pStyle w:val="ListBullet"/>
            </w:pPr>
            <w:r w:rsidRPr="000475FE">
              <w:t>Plotters</w:t>
            </w:r>
          </w:p>
          <w:p w:rsidR="00000000" w:rsidRPr="000475FE" w:rsidP="000475FE">
            <w:pPr>
              <w:pStyle w:val="ListBullet"/>
            </w:pPr>
            <w:r w:rsidRPr="000475FE">
              <w:t>Radar</w:t>
            </w:r>
          </w:p>
          <w:p w:rsidR="00000000" w:rsidP="000475FE">
            <w:pPr>
              <w:pStyle w:val="ListBullet"/>
              <w:rPr>
                <w:lang w:val="en-NZ"/>
              </w:rPr>
            </w:pPr>
            <w:r w:rsidRPr="000475FE">
              <w:t>Satellite technology</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Misrepresentation of information may include</w:t>
            </w:r>
          </w:p>
        </w:tc>
        <w:tc>
          <w:tcPr>
            <w:tcW w:w="0" w:type="auto"/>
            <w:tcBorders>
              <w:top w:val="nil"/>
              <w:left w:val="nil"/>
              <w:bottom w:val="nil"/>
              <w:right w:val="nil"/>
            </w:tcBorders>
            <w:tcMar>
              <w:top w:w="0" w:type="dxa"/>
              <w:left w:w="62" w:type="dxa"/>
              <w:bottom w:w="0" w:type="dxa"/>
              <w:right w:w="62" w:type="dxa"/>
            </w:tcMar>
          </w:tcPr>
          <w:p w:rsidR="00000000" w:rsidRPr="000475FE" w:rsidP="000475FE">
            <w:pPr>
              <w:pStyle w:val="ListBullet"/>
            </w:pPr>
            <w:r w:rsidRPr="000475FE">
              <w:t xml:space="preserve">Compass errors </w:t>
            </w:r>
          </w:p>
          <w:p w:rsidR="00000000" w:rsidRPr="000475FE" w:rsidP="000475FE">
            <w:pPr>
              <w:pStyle w:val="ListBullet"/>
            </w:pPr>
            <w:r w:rsidRPr="000475FE">
              <w:t>False echoes</w:t>
            </w:r>
          </w:p>
          <w:p w:rsidR="00000000" w:rsidRPr="000475FE" w:rsidP="000475FE">
            <w:pPr>
              <w:pStyle w:val="ListBullet"/>
            </w:pPr>
            <w:r w:rsidRPr="000475FE">
              <w:t>GPS and DGPS errors</w:t>
            </w:r>
          </w:p>
          <w:p w:rsidR="00000000" w:rsidRPr="000475FE" w:rsidP="000475FE">
            <w:pPr>
              <w:pStyle w:val="ListBullet"/>
            </w:pPr>
            <w:r w:rsidRPr="000475FE">
              <w:t>Incorrect setting up of electronic chart system (ECS) or electronic chart display and information system (ECDIS)</w:t>
            </w:r>
          </w:p>
          <w:p w:rsidR="00000000" w:rsidRPr="000475FE" w:rsidP="000475FE">
            <w:pPr>
              <w:pStyle w:val="ListBullet"/>
            </w:pPr>
            <w:r w:rsidRPr="000475FE">
              <w:t>Incorrect setting up of GP</w:t>
            </w:r>
            <w:r w:rsidRPr="000475FE">
              <w:t>S</w:t>
            </w:r>
          </w:p>
          <w:p w:rsidR="00000000" w:rsidRPr="000475FE" w:rsidP="000475FE">
            <w:pPr>
              <w:pStyle w:val="ListBullet"/>
            </w:pPr>
            <w:r w:rsidRPr="000475FE">
              <w:t>Incorrect radar settings for heading marker and range marker</w:t>
            </w:r>
          </w:p>
          <w:p w:rsidR="00000000" w:rsidP="000475FE">
            <w:pPr>
              <w:pStyle w:val="ListBullet"/>
              <w:rPr>
                <w:lang w:val="en-NZ"/>
              </w:rPr>
            </w:pPr>
            <w:r w:rsidRPr="000475FE">
              <w:t>Sea returns</w:t>
            </w:r>
          </w:p>
        </w:tc>
      </w:tr>
      <w:tr w:rsidTr="00D41C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5FE">
            <w:pPr>
              <w:pStyle w:val="BodyText"/>
              <w:rPr>
                <w:lang w:val="en-NZ"/>
              </w:rPr>
            </w:pPr>
            <w:r w:rsidRPr="000475FE">
              <w:t xml:space="preserve">Navigational data may </w:t>
            </w:r>
            <w:r w:rsidRPr="000475FE">
              <w:t>include:</w:t>
            </w:r>
          </w:p>
        </w:tc>
        <w:tc>
          <w:tcPr>
            <w:tcW w:w="0" w:type="auto"/>
            <w:tcBorders>
              <w:top w:val="nil"/>
              <w:left w:val="nil"/>
              <w:bottom w:val="nil"/>
              <w:right w:val="nil"/>
            </w:tcBorders>
            <w:tcMar>
              <w:top w:w="0" w:type="dxa"/>
              <w:left w:w="62" w:type="dxa"/>
              <w:bottom w:w="0" w:type="dxa"/>
              <w:right w:w="62" w:type="dxa"/>
            </w:tcMar>
          </w:tcPr>
          <w:p w:rsidR="00000000" w:rsidRPr="000475FE" w:rsidP="000475FE">
            <w:pPr>
              <w:pStyle w:val="ListBullet"/>
            </w:pPr>
            <w:r w:rsidRPr="000475FE">
              <w:t xml:space="preserve">Navigation safety warning </w:t>
            </w:r>
          </w:p>
          <w:p w:rsidR="00000000" w:rsidRPr="000475FE" w:rsidP="000475FE">
            <w:pPr>
              <w:pStyle w:val="ListBullet"/>
            </w:pPr>
            <w:r w:rsidRPr="000475FE">
              <w:t>Recording courses steered</w:t>
            </w:r>
          </w:p>
          <w:p w:rsidR="00000000" w:rsidRPr="000475FE" w:rsidP="000475FE">
            <w:pPr>
              <w:pStyle w:val="ListBullet"/>
            </w:pPr>
            <w:r w:rsidRPr="000475FE">
              <w:t>Weather and oceanographic reports</w:t>
            </w:r>
          </w:p>
        </w:tc>
      </w:tr>
    </w:tbl>
    <w:p w:rsidR="00000000" w:rsidRPr="000475FE" w:rsidP="000475FE">
      <w:pPr>
        <w:pStyle w:val="BodyText"/>
      </w:pPr>
    </w:p>
    <w:p w:rsidR="00000000" w:rsidRPr="000475FE" w:rsidP="000475FE">
      <w:pPr>
        <w:pStyle w:val="AllowPageBreak"/>
      </w:pPr>
    </w:p>
    <w:p w:rsidR="00000000" w:rsidRPr="000475FE" w:rsidP="000475FE">
      <w:pPr>
        <w:pStyle w:val="Heading1"/>
      </w:pPr>
      <w:bookmarkStart w:id="12" w:name="O_537370"/>
      <w:bookmarkEnd w:id="12"/>
      <w:r w:rsidRPr="000475FE">
        <w:t>Unit Sector(s)</w:t>
      </w:r>
    </w:p>
    <w:p w:rsidR="00000000" w:rsidRPr="000475FE" w:rsidP="000475FE">
      <w:pPr>
        <w:pStyle w:val="BodyText"/>
      </w:pPr>
      <w:r w:rsidRPr="000475FE">
        <w:t>Not applicable.</w:t>
      </w:r>
    </w:p>
    <w:p w:rsidR="00000000" w:rsidRPr="000475FE" w:rsidP="000475FE">
      <w:pPr>
        <w:pStyle w:val="AllowPageBreak"/>
      </w:pPr>
    </w:p>
    <w:p w:rsidR="00000000" w:rsidRPr="000475FE" w:rsidP="000475FE">
      <w:pPr>
        <w:pStyle w:val="Heading1"/>
      </w:pPr>
      <w:bookmarkStart w:id="13" w:name="O_537369"/>
      <w:bookmarkEnd w:id="13"/>
      <w:r w:rsidRPr="000475FE">
        <w:t>Competency Field</w:t>
      </w:r>
    </w:p>
    <w:p w:rsidR="00000000" w:rsidRPr="000475FE" w:rsidP="000475FE">
      <w:pPr>
        <w:pStyle w:val="BodyText"/>
      </w:pPr>
      <w:r w:rsidRPr="000475FE">
        <w:t>Navigation</w:t>
      </w:r>
    </w:p>
    <w:p w:rsidR="00000000" w:rsidRPr="000475FE" w:rsidP="000475FE"/>
    <w:sectPr w:rsidSect="00047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rsidRPr="00D41C84" w:rsidP="00D41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4" w:rsidP="00047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1C84" w:rsidP="000475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1C84" w:rsidP="00047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rsidRPr="00D41C84" w:rsidP="00D41C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4" w:rsidRPr="002D2AF8" w:rsidP="000475FE">
    <w:pPr>
      <w:pStyle w:val="Header"/>
      <w:framePr w:wrap="around"/>
    </w:pPr>
    <w:r>
      <w:fldChar w:fldCharType="begin"/>
    </w:r>
    <w:r>
      <w:instrText xml:space="preserve"> TITLE   \* MERGEFORMAT </w:instrText>
    </w:r>
    <w:r>
      <w:fldChar w:fldCharType="separate"/>
    </w:r>
    <w:r>
      <w:t>MARH3004A Use wheelhouse equipment for safe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41C84" w:rsidP="00047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63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229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5FE"/>
    <w:pPr>
      <w:spacing w:before="360" w:after="60"/>
      <w:outlineLvl w:val="0"/>
    </w:pPr>
    <w:rPr>
      <w:sz w:val="32"/>
    </w:rPr>
  </w:style>
  <w:style w:type="paragraph" w:styleId="Heading2">
    <w:name w:val="heading 2"/>
    <w:basedOn w:val="HeadingBase"/>
    <w:next w:val="BodyText"/>
    <w:link w:val="Heading2Char"/>
    <w:qFormat/>
    <w:rsid w:val="000475FE"/>
    <w:pPr>
      <w:keepLines/>
      <w:spacing w:before="240" w:after="120"/>
      <w:outlineLvl w:val="1"/>
    </w:pPr>
    <w:rPr>
      <w:sz w:val="28"/>
      <w:szCs w:val="40"/>
    </w:rPr>
  </w:style>
  <w:style w:type="paragraph" w:styleId="Heading3">
    <w:name w:val="heading 3"/>
    <w:basedOn w:val="HeadingBase"/>
    <w:next w:val="BodyText"/>
    <w:link w:val="Heading3Char"/>
    <w:qFormat/>
    <w:rsid w:val="000475FE"/>
    <w:pPr>
      <w:spacing w:before="180" w:after="120"/>
      <w:outlineLvl w:val="2"/>
    </w:pPr>
    <w:rPr>
      <w:spacing w:val="-10"/>
      <w:kern w:val="32"/>
    </w:rPr>
  </w:style>
  <w:style w:type="paragraph" w:styleId="Heading4">
    <w:name w:val="heading 4"/>
    <w:basedOn w:val="HeadingBase"/>
    <w:next w:val="BodyText"/>
    <w:link w:val="Heading4Char"/>
    <w:qFormat/>
    <w:rsid w:val="000475FE"/>
    <w:pPr>
      <w:spacing w:before="160" w:after="120"/>
      <w:outlineLvl w:val="3"/>
    </w:pPr>
    <w:rPr>
      <w:sz w:val="22"/>
    </w:rPr>
  </w:style>
  <w:style w:type="paragraph" w:styleId="Heading5">
    <w:name w:val="heading 5"/>
    <w:basedOn w:val="HeadingBase"/>
    <w:next w:val="Normal"/>
    <w:link w:val="Heading5Char"/>
    <w:qFormat/>
    <w:rsid w:val="000475FE"/>
    <w:pPr>
      <w:spacing w:before="80"/>
      <w:outlineLvl w:val="4"/>
    </w:pPr>
    <w:rPr>
      <w:color w:val="918585"/>
      <w:sz w:val="20"/>
    </w:rPr>
  </w:style>
  <w:style w:type="paragraph" w:styleId="Heading6">
    <w:name w:val="heading 6"/>
    <w:basedOn w:val="HeadingBase"/>
    <w:next w:val="Normal"/>
    <w:link w:val="Heading6Char"/>
    <w:qFormat/>
    <w:rsid w:val="000475FE"/>
    <w:pPr>
      <w:spacing w:before="60"/>
      <w:outlineLvl w:val="5"/>
    </w:pPr>
    <w:rPr>
      <w:color w:val="918585"/>
      <w:sz w:val="20"/>
    </w:rPr>
  </w:style>
  <w:style w:type="paragraph" w:styleId="Heading7">
    <w:name w:val="heading 7"/>
    <w:basedOn w:val="Normal"/>
    <w:next w:val="Normal"/>
    <w:link w:val="Heading7Char"/>
    <w:qFormat/>
    <w:rsid w:val="000475FE"/>
    <w:pPr>
      <w:ind w:left="720"/>
      <w:outlineLvl w:val="6"/>
    </w:pPr>
    <w:rPr>
      <w:i/>
    </w:rPr>
  </w:style>
  <w:style w:type="paragraph" w:styleId="Heading8">
    <w:name w:val="heading 8"/>
    <w:basedOn w:val="Normal"/>
    <w:next w:val="Normal"/>
    <w:link w:val="Heading8Char"/>
    <w:qFormat/>
    <w:rsid w:val="000475FE"/>
    <w:pPr>
      <w:ind w:left="720"/>
      <w:outlineLvl w:val="7"/>
    </w:pPr>
    <w:rPr>
      <w:i/>
    </w:rPr>
  </w:style>
  <w:style w:type="paragraph" w:styleId="Heading9">
    <w:name w:val="heading 9"/>
    <w:basedOn w:val="Normal"/>
    <w:next w:val="Normal"/>
    <w:link w:val="Heading9Char"/>
    <w:qFormat/>
    <w:rsid w:val="000475FE"/>
    <w:pPr>
      <w:ind w:left="720"/>
      <w:outlineLvl w:val="8"/>
    </w:pPr>
    <w:rPr>
      <w:i/>
    </w:rPr>
  </w:style>
  <w:style w:type="character" w:default="1" w:styleId="DefaultParagraphFont">
    <w:name w:val="Default Paragraph Font"/>
    <w:uiPriority w:val="1"/>
    <w:unhideWhenUsed/>
    <w:rsid w:val="00047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5FE"/>
  </w:style>
  <w:style w:type="character" w:customStyle="1" w:styleId="Heading1Char">
    <w:name w:val="Heading 1 Char"/>
    <w:basedOn w:val="DefaultParagraphFont"/>
    <w:link w:val="Heading1"/>
    <w:rsid w:val="000475FE"/>
    <w:rPr>
      <w:rFonts w:ascii="Times New Roman" w:eastAsia="Times New Roman" w:hAnsi="Times New Roman" w:cs="Times New Roman"/>
      <w:b/>
      <w:sz w:val="32"/>
      <w:szCs w:val="20"/>
      <w:lang w:eastAsia="en-US"/>
    </w:rPr>
  </w:style>
  <w:style w:type="paragraph" w:styleId="BodyText">
    <w:name w:val="Body Text"/>
    <w:basedOn w:val="Normal"/>
    <w:link w:val="BodyTextChar"/>
    <w:rsid w:val="00047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5FE"/>
    <w:rPr>
      <w:rFonts w:ascii="Times New Roman" w:eastAsia="Times New Roman" w:hAnsi="Times New Roman" w:cs="Times New Roman"/>
      <w:sz w:val="24"/>
      <w:lang w:eastAsia="en-US"/>
    </w:rPr>
  </w:style>
  <w:style w:type="paragraph" w:styleId="ListBullet">
    <w:name w:val="List Bullet"/>
    <w:basedOn w:val="List"/>
    <w:rsid w:val="000475FE"/>
    <w:pPr>
      <w:numPr>
        <w:numId w:val="12"/>
      </w:numPr>
      <w:tabs>
        <w:tab w:val="clear" w:pos="340"/>
      </w:tabs>
      <w:spacing w:before="40" w:after="40"/>
    </w:pPr>
  </w:style>
  <w:style w:type="character" w:customStyle="1" w:styleId="SpecialBold">
    <w:name w:val="Special Bold"/>
    <w:basedOn w:val="DefaultParagraphFont"/>
    <w:rsid w:val="000475FE"/>
    <w:rPr>
      <w:b/>
      <w:spacing w:val="0"/>
    </w:rPr>
  </w:style>
  <w:style w:type="paragraph" w:customStyle="1" w:styleId="SuperHeading">
    <w:name w:val="SuperHeading"/>
    <w:basedOn w:val="Normal"/>
    <w:rsid w:val="000475FE"/>
    <w:pPr>
      <w:spacing w:before="240" w:after="120"/>
      <w:outlineLvl w:val="0"/>
    </w:pPr>
    <w:rPr>
      <w:rFonts w:ascii="Times New Roman" w:hAnsi="Times New Roman"/>
      <w:b/>
      <w:sz w:val="32"/>
    </w:rPr>
  </w:style>
  <w:style w:type="paragraph" w:customStyle="1" w:styleId="AllowPageBreak">
    <w:name w:val="AllowPageBreak"/>
    <w:rsid w:val="00047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75FE"/>
    <w:rPr>
      <w:b/>
      <w:i/>
      <w:u w:val="none"/>
    </w:rPr>
  </w:style>
  <w:style w:type="character" w:customStyle="1" w:styleId="Heading2Char">
    <w:name w:val="Heading 2 Char"/>
    <w:basedOn w:val="DefaultParagraphFont"/>
    <w:link w:val="Heading2"/>
    <w:rsid w:val="00047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5FE"/>
    <w:rPr>
      <w:rFonts w:ascii="Courier New" w:eastAsia="Times New Roman" w:hAnsi="Courier New" w:cs="Times New Roman"/>
      <w:i/>
      <w:szCs w:val="20"/>
      <w:lang w:eastAsia="en-US"/>
    </w:rPr>
  </w:style>
  <w:style w:type="paragraph" w:customStyle="1" w:styleId="HeadingBase">
    <w:name w:val="Heading Base"/>
    <w:rsid w:val="00047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5FE"/>
    <w:pPr>
      <w:tabs>
        <w:tab w:val="right" w:leader="dot" w:pos="9072"/>
      </w:tabs>
      <w:ind w:left="567"/>
    </w:pPr>
    <w:rPr>
      <w:szCs w:val="22"/>
    </w:rPr>
  </w:style>
  <w:style w:type="paragraph" w:customStyle="1" w:styleId="TOCBase">
    <w:name w:val="TOC Base"/>
    <w:rsid w:val="00047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5FE"/>
    <w:pPr>
      <w:tabs>
        <w:tab w:val="right" w:leader="dot" w:pos="9072"/>
      </w:tabs>
      <w:spacing w:before="40" w:after="40"/>
      <w:ind w:left="284"/>
    </w:pPr>
    <w:rPr>
      <w:rFonts w:ascii="Times New Roman" w:hAnsi="Times New Roman"/>
    </w:rPr>
  </w:style>
  <w:style w:type="paragraph" w:styleId="TOC1">
    <w:name w:val="toc 1"/>
    <w:basedOn w:val="TOCBase"/>
    <w:next w:val="Normal"/>
    <w:rsid w:val="00047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5FE"/>
    <w:rPr>
      <w:rFonts w:ascii="Times New Roman" w:eastAsia="Times New Roman" w:hAnsi="Times New Roman" w:cs="Times New Roman"/>
      <w:sz w:val="16"/>
      <w:lang w:eastAsia="en-US"/>
    </w:rPr>
  </w:style>
  <w:style w:type="paragraph" w:styleId="Title">
    <w:name w:val="Title"/>
    <w:basedOn w:val="HeadingBase"/>
    <w:link w:val="TitleChar"/>
    <w:qFormat/>
    <w:rsid w:val="000475FE"/>
    <w:pPr>
      <w:spacing w:before="5040"/>
      <w:jc w:val="center"/>
    </w:pPr>
    <w:rPr>
      <w:sz w:val="48"/>
      <w:szCs w:val="72"/>
      <w:lang w:val="en-US"/>
    </w:rPr>
  </w:style>
  <w:style w:type="character" w:customStyle="1" w:styleId="TitleChar">
    <w:name w:val="Title Char"/>
    <w:basedOn w:val="DefaultParagraphFont"/>
    <w:link w:val="Title"/>
    <w:rsid w:val="00047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5FE"/>
    <w:pPr>
      <w:tabs>
        <w:tab w:val="left" w:pos="3600"/>
        <w:tab w:val="left" w:pos="3958"/>
      </w:tabs>
    </w:pPr>
  </w:style>
  <w:style w:type="paragraph" w:styleId="List">
    <w:name w:val="List"/>
    <w:basedOn w:val="BodyText"/>
    <w:next w:val="BodyText"/>
    <w:rsid w:val="000475FE"/>
    <w:pPr>
      <w:tabs>
        <w:tab w:val="left" w:pos="340"/>
      </w:tabs>
      <w:spacing w:before="60" w:after="60"/>
      <w:ind w:left="340" w:hanging="340"/>
    </w:pPr>
  </w:style>
  <w:style w:type="paragraph" w:customStyle="1" w:styleId="Note">
    <w:name w:val="Note"/>
    <w:basedOn w:val="BodyText"/>
    <w:rsid w:val="00047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5FE"/>
    <w:pPr>
      <w:framePr w:wrap="auto" w:hAnchor="text" w:y="6049"/>
    </w:pPr>
    <w:rPr>
      <w:color w:val="000000"/>
      <w:sz w:val="40"/>
    </w:rPr>
  </w:style>
  <w:style w:type="paragraph" w:customStyle="1" w:styleId="TOCTitle">
    <w:name w:val="TOCTitle"/>
    <w:basedOn w:val="Heading1"/>
    <w:rsid w:val="000475FE"/>
    <w:pPr>
      <w:spacing w:after="240"/>
      <w:jc w:val="center"/>
      <w:outlineLvl w:val="9"/>
    </w:pPr>
    <w:rPr>
      <w:caps/>
    </w:rPr>
  </w:style>
  <w:style w:type="paragraph" w:customStyle="1" w:styleId="Version">
    <w:name w:val="Version"/>
    <w:rsid w:val="000475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5FE"/>
    <w:pPr>
      <w:numPr>
        <w:numId w:val="13"/>
      </w:numPr>
      <w:tabs>
        <w:tab w:val="clear" w:pos="680"/>
      </w:tabs>
    </w:pPr>
  </w:style>
  <w:style w:type="paragraph" w:styleId="Index1">
    <w:name w:val="index 1"/>
    <w:basedOn w:val="Normal"/>
    <w:next w:val="Normal"/>
    <w:semiHidden/>
    <w:rsid w:val="000475FE"/>
    <w:pPr>
      <w:keepNext w:val="0"/>
      <w:tabs>
        <w:tab w:val="right" w:pos="4176"/>
      </w:tabs>
      <w:ind w:left="198" w:hanging="198"/>
    </w:pPr>
    <w:rPr>
      <w:rFonts w:ascii="Garamond" w:hAnsi="Garamond"/>
    </w:rPr>
  </w:style>
  <w:style w:type="paragraph" w:styleId="IndexHeading">
    <w:name w:val="index heading"/>
    <w:basedOn w:val="Normal"/>
    <w:next w:val="Index1"/>
    <w:semiHidden/>
    <w:rsid w:val="000475FE"/>
    <w:pPr>
      <w:spacing w:before="120" w:after="120"/>
    </w:pPr>
    <w:rPr>
      <w:rFonts w:ascii="Arial" w:hAnsi="Arial"/>
      <w:b/>
      <w:color w:val="918585"/>
      <w:sz w:val="24"/>
    </w:rPr>
  </w:style>
  <w:style w:type="paragraph" w:styleId="Header">
    <w:name w:val="header"/>
    <w:basedOn w:val="Normal"/>
    <w:link w:val="HeaderChar"/>
    <w:rsid w:val="00047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5FE"/>
    <w:rPr>
      <w:rFonts w:ascii="Times New Roman" w:eastAsia="Times New Roman" w:hAnsi="Times New Roman" w:cs="Times New Roman"/>
      <w:sz w:val="16"/>
      <w:szCs w:val="20"/>
      <w:lang w:val="en-GB" w:eastAsia="en-US"/>
    </w:rPr>
  </w:style>
  <w:style w:type="paragraph" w:customStyle="1" w:styleId="Chapter">
    <w:name w:val="Chapter"/>
    <w:basedOn w:val="Normal"/>
    <w:rsid w:val="000475FE"/>
    <w:pPr>
      <w:spacing w:before="240"/>
    </w:pPr>
    <w:rPr>
      <w:rFonts w:ascii="Times New Roman" w:hAnsi="Times New Roman"/>
      <w:smallCaps/>
      <w:spacing w:val="80"/>
      <w:sz w:val="28"/>
    </w:rPr>
  </w:style>
  <w:style w:type="paragraph" w:customStyle="1" w:styleId="InChapter">
    <w:name w:val="InChapter"/>
    <w:basedOn w:val="Heading3"/>
    <w:rsid w:val="000475FE"/>
    <w:pPr>
      <w:spacing w:after="240"/>
      <w:outlineLvl w:val="9"/>
    </w:pPr>
    <w:rPr>
      <w:noProof/>
    </w:rPr>
  </w:style>
  <w:style w:type="paragraph" w:styleId="Index2">
    <w:name w:val="index 2"/>
    <w:basedOn w:val="Normal"/>
    <w:next w:val="Normal"/>
    <w:semiHidden/>
    <w:rsid w:val="000475FE"/>
    <w:pPr>
      <w:tabs>
        <w:tab w:val="right" w:pos="4176"/>
      </w:tabs>
      <w:ind w:left="568" w:hanging="284"/>
    </w:pPr>
    <w:rPr>
      <w:rFonts w:ascii="Garamond" w:hAnsi="Garamond"/>
    </w:rPr>
  </w:style>
  <w:style w:type="paragraph" w:customStyle="1" w:styleId="Byline">
    <w:name w:val="Byline"/>
    <w:rsid w:val="00047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5FE"/>
    <w:pPr>
      <w:tabs>
        <w:tab w:val="clear" w:pos="3600"/>
        <w:tab w:val="clear" w:pos="3958"/>
      </w:tabs>
      <w:jc w:val="right"/>
    </w:pPr>
  </w:style>
  <w:style w:type="character" w:styleId="Emphasis">
    <w:name w:val="Emphasis"/>
    <w:basedOn w:val="DefaultParagraphFont"/>
    <w:qFormat/>
    <w:rsid w:val="000475FE"/>
    <w:rPr>
      <w:i/>
    </w:rPr>
  </w:style>
  <w:style w:type="paragraph" w:styleId="Caption">
    <w:name w:val="caption"/>
    <w:basedOn w:val="BodyText"/>
    <w:next w:val="Normal"/>
    <w:qFormat/>
    <w:rsid w:val="000475FE"/>
    <w:pPr>
      <w:framePr w:w="2268" w:hSpace="181" w:vSpace="181" w:wrap="around" w:vAnchor="text" w:hAnchor="page" w:x="1135" w:y="285" w:anchorLock="1"/>
    </w:pPr>
    <w:rPr>
      <w:i/>
    </w:rPr>
  </w:style>
  <w:style w:type="paragraph" w:customStyle="1" w:styleId="MiniTOCTitle">
    <w:name w:val="MiniTOCTitle"/>
    <w:basedOn w:val="Heading4"/>
    <w:rsid w:val="000475FE"/>
    <w:pPr>
      <w:spacing w:before="240"/>
      <w:outlineLvl w:val="9"/>
    </w:pPr>
    <w:rPr>
      <w:noProof/>
      <w:sz w:val="24"/>
    </w:rPr>
  </w:style>
  <w:style w:type="paragraph" w:customStyle="1" w:styleId="MiniTOCItem">
    <w:name w:val="MiniTOCItem"/>
    <w:basedOn w:val="ListBullet"/>
    <w:rsid w:val="000475FE"/>
    <w:pPr>
      <w:numPr>
        <w:numId w:val="0"/>
      </w:numPr>
      <w:tabs>
        <w:tab w:val="right" w:leader="dot" w:pos="6521"/>
      </w:tabs>
      <w:spacing w:before="0" w:after="0"/>
    </w:pPr>
  </w:style>
  <w:style w:type="paragraph" w:customStyle="1" w:styleId="TOFTitle">
    <w:name w:val="TOFTitle"/>
    <w:basedOn w:val="TOCTitle"/>
    <w:rsid w:val="000475FE"/>
  </w:style>
  <w:style w:type="paragraph" w:styleId="TableofFigures">
    <w:name w:val="table of figures"/>
    <w:basedOn w:val="Normal"/>
    <w:next w:val="Normal"/>
    <w:semiHidden/>
    <w:rsid w:val="000475FE"/>
    <w:pPr>
      <w:tabs>
        <w:tab w:val="right" w:leader="dot" w:pos="9072"/>
      </w:tabs>
      <w:ind w:left="970" w:hanging="403"/>
    </w:pPr>
    <w:rPr>
      <w:rFonts w:ascii="Times New Roman" w:hAnsi="Times New Roman"/>
      <w:b/>
    </w:rPr>
  </w:style>
  <w:style w:type="paragraph" w:styleId="ListNumber">
    <w:name w:val="List Number"/>
    <w:basedOn w:val="List"/>
    <w:rsid w:val="000475FE"/>
    <w:pPr>
      <w:numPr>
        <w:numId w:val="10"/>
      </w:numPr>
    </w:pPr>
  </w:style>
  <w:style w:type="character" w:customStyle="1" w:styleId="WingdingSymbols">
    <w:name w:val="Wingding Symbols"/>
    <w:rsid w:val="000475FE"/>
    <w:rPr>
      <w:rFonts w:ascii="Wingdings" w:hAnsi="Wingdings"/>
    </w:rPr>
  </w:style>
  <w:style w:type="paragraph" w:customStyle="1" w:styleId="TableHeading">
    <w:name w:val="Table Heading"/>
    <w:basedOn w:val="HeadingBase"/>
    <w:rsid w:val="000475FE"/>
    <w:pPr>
      <w:keepLines/>
      <w:pBdr>
        <w:bottom w:val="single" w:sz="6" w:space="1" w:color="918585"/>
      </w:pBdr>
      <w:spacing w:before="240"/>
    </w:pPr>
  </w:style>
  <w:style w:type="character" w:customStyle="1" w:styleId="HotSpot">
    <w:name w:val="HotSpot"/>
    <w:rsid w:val="000475FE"/>
    <w:rPr>
      <w:color w:val="0033CC"/>
      <w:u w:val="none"/>
    </w:rPr>
  </w:style>
  <w:style w:type="paragraph" w:customStyle="1" w:styleId="BodyTextRight">
    <w:name w:val="Body Text Right"/>
    <w:basedOn w:val="BodyText"/>
    <w:rsid w:val="000475FE"/>
    <w:pPr>
      <w:spacing w:before="0" w:after="0"/>
      <w:jc w:val="right"/>
    </w:pPr>
  </w:style>
  <w:style w:type="paragraph" w:styleId="Index3">
    <w:name w:val="index 3"/>
    <w:basedOn w:val="ListNumber2"/>
    <w:next w:val="Normal"/>
    <w:semiHidden/>
    <w:rsid w:val="000475FE"/>
    <w:pPr>
      <w:numPr>
        <w:numId w:val="0"/>
      </w:numPr>
      <w:tabs>
        <w:tab w:val="right" w:leader="dot" w:pos="4176"/>
      </w:tabs>
    </w:pPr>
  </w:style>
  <w:style w:type="paragraph" w:styleId="ListNumber2">
    <w:name w:val="List Number 2"/>
    <w:basedOn w:val="List2"/>
    <w:rsid w:val="000475FE"/>
    <w:pPr>
      <w:numPr>
        <w:numId w:val="9"/>
      </w:numPr>
      <w:tabs>
        <w:tab w:val="clear" w:pos="1060"/>
      </w:tabs>
    </w:pPr>
  </w:style>
  <w:style w:type="paragraph" w:customStyle="1" w:styleId="MarginNote">
    <w:name w:val="Margin Note"/>
    <w:basedOn w:val="BodyText"/>
    <w:rsid w:val="00047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5FE"/>
    <w:rPr>
      <w:sz w:val="32"/>
    </w:rPr>
  </w:style>
  <w:style w:type="paragraph" w:customStyle="1" w:styleId="HeadingProcedure">
    <w:name w:val="Heading Procedure"/>
    <w:basedOn w:val="HeadingBase"/>
    <w:next w:val="Normal"/>
    <w:rsid w:val="000475FE"/>
    <w:pPr>
      <w:tabs>
        <w:tab w:val="left" w:pos="0"/>
      </w:tabs>
      <w:spacing w:before="120" w:after="60"/>
    </w:pPr>
    <w:rPr>
      <w:i/>
      <w:color w:val="918585"/>
      <w:sz w:val="22"/>
    </w:rPr>
  </w:style>
  <w:style w:type="paragraph" w:customStyle="1" w:styleId="TableBodyText">
    <w:name w:val="Table Body Text"/>
    <w:basedOn w:val="BodyText"/>
    <w:rsid w:val="000475FE"/>
    <w:pPr>
      <w:spacing w:before="60" w:after="60"/>
    </w:pPr>
  </w:style>
  <w:style w:type="paragraph" w:styleId="ListContinue">
    <w:name w:val="List Continue"/>
    <w:basedOn w:val="List"/>
    <w:rsid w:val="000475FE"/>
    <w:pPr>
      <w:ind w:firstLine="0"/>
    </w:pPr>
  </w:style>
  <w:style w:type="paragraph" w:customStyle="1" w:styleId="ListNote">
    <w:name w:val="List Note"/>
    <w:basedOn w:val="List"/>
    <w:rsid w:val="000475FE"/>
    <w:pPr>
      <w:pBdr>
        <w:top w:val="single" w:sz="6" w:space="2" w:color="918585"/>
        <w:bottom w:val="single" w:sz="6" w:space="2" w:color="918585"/>
      </w:pBdr>
      <w:tabs>
        <w:tab w:val="left" w:pos="1021"/>
      </w:tabs>
      <w:ind w:firstLine="0"/>
    </w:pPr>
  </w:style>
  <w:style w:type="paragraph" w:customStyle="1" w:styleId="Warning">
    <w:name w:val="Warning"/>
    <w:basedOn w:val="BodyText"/>
    <w:rsid w:val="000475FE"/>
    <w:pPr>
      <w:shd w:val="clear" w:color="auto" w:fill="D9D9D9"/>
      <w:tabs>
        <w:tab w:val="left" w:pos="992"/>
      </w:tabs>
      <w:ind w:left="119" w:right="119"/>
    </w:pPr>
    <w:rPr>
      <w:sz w:val="20"/>
    </w:rPr>
  </w:style>
  <w:style w:type="paragraph" w:customStyle="1" w:styleId="MarginIcons">
    <w:name w:val="Margin Icons"/>
    <w:basedOn w:val="BodyText"/>
    <w:rsid w:val="00047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5FE"/>
    <w:rPr>
      <w:rFonts w:ascii="Courier New" w:hAnsi="Courier New"/>
    </w:rPr>
  </w:style>
  <w:style w:type="paragraph" w:customStyle="1" w:styleId="NoteBullet">
    <w:name w:val="Note Bullet"/>
    <w:basedOn w:val="Note"/>
    <w:rsid w:val="000475FE"/>
    <w:pPr>
      <w:tabs>
        <w:tab w:val="clear" w:pos="680"/>
      </w:tabs>
      <w:spacing w:before="60" w:after="60"/>
    </w:pPr>
  </w:style>
  <w:style w:type="paragraph" w:customStyle="1" w:styleId="SubHeading2">
    <w:name w:val="SubHeading2"/>
    <w:basedOn w:val="HeadingBase"/>
    <w:rsid w:val="000475FE"/>
    <w:pPr>
      <w:spacing w:before="240" w:after="60"/>
    </w:pPr>
    <w:rPr>
      <w:sz w:val="20"/>
    </w:rPr>
  </w:style>
  <w:style w:type="paragraph" w:customStyle="1" w:styleId="SubHeading1">
    <w:name w:val="SubHeading1"/>
    <w:basedOn w:val="HeadingBase"/>
    <w:rsid w:val="000475FE"/>
    <w:pPr>
      <w:spacing w:before="240" w:after="60"/>
    </w:pPr>
    <w:rPr>
      <w:color w:val="918585"/>
      <w:sz w:val="22"/>
    </w:rPr>
  </w:style>
  <w:style w:type="paragraph" w:customStyle="1" w:styleId="SideHeading">
    <w:name w:val="Side Heading"/>
    <w:basedOn w:val="HeadingBase"/>
    <w:rsid w:val="00047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5FE"/>
    <w:pPr>
      <w:tabs>
        <w:tab w:val="num" w:pos="360"/>
      </w:tabs>
    </w:pPr>
  </w:style>
  <w:style w:type="paragraph" w:styleId="PlainText">
    <w:name w:val="Plain Text"/>
    <w:basedOn w:val="Normal"/>
    <w:link w:val="PlainTextChar"/>
    <w:rsid w:val="000475FE"/>
    <w:rPr>
      <w:sz w:val="20"/>
    </w:rPr>
  </w:style>
  <w:style w:type="character" w:customStyle="1" w:styleId="PlainTextChar">
    <w:name w:val="Plain Text Char"/>
    <w:basedOn w:val="DefaultParagraphFont"/>
    <w:link w:val="PlainText"/>
    <w:rsid w:val="000475FE"/>
    <w:rPr>
      <w:rFonts w:ascii="Courier New" w:eastAsia="Times New Roman" w:hAnsi="Courier New" w:cs="Times New Roman"/>
      <w:sz w:val="20"/>
      <w:szCs w:val="20"/>
      <w:lang w:eastAsia="en-US"/>
    </w:rPr>
  </w:style>
  <w:style w:type="character" w:customStyle="1" w:styleId="MenuOption">
    <w:name w:val="Menu Option"/>
    <w:basedOn w:val="DefaultParagraphFont"/>
    <w:rsid w:val="000475FE"/>
    <w:rPr>
      <w:b/>
      <w:smallCaps/>
    </w:rPr>
  </w:style>
  <w:style w:type="paragraph" w:customStyle="1" w:styleId="TableListNumber">
    <w:name w:val="Table List Number"/>
    <w:basedOn w:val="ListNumber"/>
    <w:rsid w:val="000475FE"/>
    <w:pPr>
      <w:numPr>
        <w:numId w:val="0"/>
      </w:numPr>
    </w:pPr>
  </w:style>
  <w:style w:type="paragraph" w:styleId="TOC4">
    <w:name w:val="toc 4"/>
    <w:basedOn w:val="TOCBase"/>
    <w:next w:val="Normal"/>
    <w:semiHidden/>
    <w:rsid w:val="000475FE"/>
    <w:pPr>
      <w:tabs>
        <w:tab w:val="right" w:leader="dot" w:pos="9071"/>
      </w:tabs>
      <w:ind w:left="1701"/>
    </w:pPr>
  </w:style>
  <w:style w:type="paragraph" w:customStyle="1" w:styleId="ListAlpha">
    <w:name w:val="List Alpha"/>
    <w:basedOn w:val="List"/>
    <w:rsid w:val="000475FE"/>
    <w:pPr>
      <w:numPr>
        <w:numId w:val="8"/>
      </w:numPr>
    </w:pPr>
  </w:style>
  <w:style w:type="paragraph" w:customStyle="1" w:styleId="ListAlpha2">
    <w:name w:val="List Alpha 2"/>
    <w:basedOn w:val="List2"/>
    <w:rsid w:val="000475FE"/>
    <w:pPr>
      <w:numPr>
        <w:numId w:val="7"/>
      </w:numPr>
    </w:pPr>
  </w:style>
  <w:style w:type="paragraph" w:styleId="List2">
    <w:name w:val="List 2"/>
    <w:basedOn w:val="BodyText"/>
    <w:rsid w:val="000475FE"/>
    <w:pPr>
      <w:tabs>
        <w:tab w:val="left" w:pos="680"/>
      </w:tabs>
      <w:spacing w:before="60" w:after="60"/>
      <w:ind w:left="680" w:hanging="340"/>
    </w:pPr>
  </w:style>
  <w:style w:type="paragraph" w:styleId="List3">
    <w:name w:val="List 3"/>
    <w:basedOn w:val="BodyText"/>
    <w:rsid w:val="000475FE"/>
    <w:pPr>
      <w:tabs>
        <w:tab w:val="left" w:pos="1021"/>
      </w:tabs>
      <w:spacing w:before="60" w:after="60"/>
      <w:ind w:left="1020" w:hanging="340"/>
    </w:pPr>
  </w:style>
  <w:style w:type="paragraph" w:styleId="List4">
    <w:name w:val="List 4"/>
    <w:basedOn w:val="BodyText"/>
    <w:rsid w:val="000475FE"/>
    <w:pPr>
      <w:tabs>
        <w:tab w:val="left" w:pos="1361"/>
      </w:tabs>
      <w:spacing w:before="60" w:after="60"/>
      <w:ind w:left="1361" w:hanging="340"/>
    </w:pPr>
  </w:style>
  <w:style w:type="paragraph" w:styleId="List5">
    <w:name w:val="List 5"/>
    <w:basedOn w:val="BodyText"/>
    <w:rsid w:val="000475FE"/>
    <w:pPr>
      <w:tabs>
        <w:tab w:val="left" w:pos="1701"/>
      </w:tabs>
      <w:spacing w:before="60" w:after="60"/>
      <w:ind w:left="1701" w:hanging="340"/>
    </w:pPr>
  </w:style>
  <w:style w:type="paragraph" w:styleId="ListBullet3">
    <w:name w:val="List Bullet 3"/>
    <w:basedOn w:val="List3"/>
    <w:rsid w:val="000475FE"/>
    <w:pPr>
      <w:numPr>
        <w:numId w:val="14"/>
      </w:numPr>
      <w:tabs>
        <w:tab w:val="clear" w:pos="1021"/>
      </w:tabs>
      <w:ind w:left="1037" w:hanging="357"/>
    </w:pPr>
  </w:style>
  <w:style w:type="paragraph" w:styleId="ListBullet4">
    <w:name w:val="List Bullet 4"/>
    <w:basedOn w:val="List4"/>
    <w:rsid w:val="000475FE"/>
    <w:pPr>
      <w:numPr>
        <w:numId w:val="2"/>
      </w:numPr>
    </w:pPr>
  </w:style>
  <w:style w:type="paragraph" w:styleId="ListBullet5">
    <w:name w:val="List Bullet 5"/>
    <w:basedOn w:val="List5"/>
    <w:rsid w:val="000475FE"/>
    <w:pPr>
      <w:numPr>
        <w:numId w:val="3"/>
      </w:numPr>
    </w:pPr>
  </w:style>
  <w:style w:type="paragraph" w:styleId="ListContinue2">
    <w:name w:val="List Continue 2"/>
    <w:basedOn w:val="List2"/>
    <w:rsid w:val="000475FE"/>
    <w:pPr>
      <w:ind w:firstLine="0"/>
    </w:pPr>
  </w:style>
  <w:style w:type="paragraph" w:styleId="ListContinue3">
    <w:name w:val="List Continue 3"/>
    <w:basedOn w:val="List3"/>
    <w:rsid w:val="000475FE"/>
    <w:pPr>
      <w:ind w:left="1021" w:firstLine="0"/>
    </w:pPr>
  </w:style>
  <w:style w:type="paragraph" w:styleId="ListContinue4">
    <w:name w:val="List Continue 4"/>
    <w:basedOn w:val="List4"/>
    <w:rsid w:val="000475FE"/>
    <w:pPr>
      <w:ind w:firstLine="0"/>
    </w:pPr>
  </w:style>
  <w:style w:type="paragraph" w:styleId="ListContinue5">
    <w:name w:val="List Continue 5"/>
    <w:basedOn w:val="List5"/>
    <w:rsid w:val="000475FE"/>
    <w:pPr>
      <w:ind w:firstLine="0"/>
    </w:pPr>
  </w:style>
  <w:style w:type="paragraph" w:styleId="ListNumber3">
    <w:name w:val="List Number 3"/>
    <w:basedOn w:val="List3"/>
    <w:rsid w:val="000475FE"/>
    <w:pPr>
      <w:numPr>
        <w:numId w:val="4"/>
      </w:numPr>
    </w:pPr>
  </w:style>
  <w:style w:type="paragraph" w:styleId="ListNumber4">
    <w:name w:val="List Number 4"/>
    <w:basedOn w:val="List4"/>
    <w:rsid w:val="000475FE"/>
    <w:pPr>
      <w:numPr>
        <w:numId w:val="5"/>
      </w:numPr>
    </w:pPr>
  </w:style>
  <w:style w:type="paragraph" w:styleId="ListNumber5">
    <w:name w:val="List Number 5"/>
    <w:basedOn w:val="List5"/>
    <w:rsid w:val="000475FE"/>
    <w:pPr>
      <w:numPr>
        <w:numId w:val="6"/>
      </w:numPr>
    </w:pPr>
  </w:style>
  <w:style w:type="paragraph" w:styleId="BlockText">
    <w:name w:val="Block Text"/>
    <w:basedOn w:val="Normal"/>
    <w:rsid w:val="000475FE"/>
    <w:pPr>
      <w:spacing w:after="120"/>
      <w:ind w:left="1440" w:right="1440"/>
    </w:pPr>
  </w:style>
  <w:style w:type="character" w:customStyle="1" w:styleId="Subscript">
    <w:name w:val="Subscript"/>
    <w:basedOn w:val="DefaultParagraphFont"/>
    <w:rsid w:val="000475FE"/>
    <w:rPr>
      <w:sz w:val="16"/>
      <w:vertAlign w:val="subscript"/>
    </w:rPr>
  </w:style>
  <w:style w:type="character" w:customStyle="1" w:styleId="Superscript">
    <w:name w:val="Superscript"/>
    <w:basedOn w:val="DefaultParagraphFont"/>
    <w:rsid w:val="000475FE"/>
    <w:rPr>
      <w:sz w:val="16"/>
      <w:vertAlign w:val="superscript"/>
    </w:rPr>
  </w:style>
  <w:style w:type="character" w:customStyle="1" w:styleId="Symbols">
    <w:name w:val="Symbols"/>
    <w:basedOn w:val="DefaultParagraphFont"/>
    <w:rsid w:val="000475FE"/>
    <w:rPr>
      <w:rFonts w:ascii="Symbol" w:hAnsi="Symbol"/>
    </w:rPr>
  </w:style>
  <w:style w:type="character" w:customStyle="1" w:styleId="MenuOptions">
    <w:name w:val="Menu Options"/>
    <w:basedOn w:val="DefaultParagraphFont"/>
    <w:rsid w:val="000475FE"/>
    <w:rPr>
      <w:rFonts w:ascii="Arial Narrow" w:hAnsi="Arial Narrow"/>
      <w:smallCaps/>
    </w:rPr>
  </w:style>
  <w:style w:type="character" w:customStyle="1" w:styleId="Buttons">
    <w:name w:val="Buttons"/>
    <w:basedOn w:val="DefaultParagraphFont"/>
    <w:rsid w:val="000475FE"/>
    <w:rPr>
      <w:b/>
    </w:rPr>
  </w:style>
  <w:style w:type="character" w:customStyle="1" w:styleId="Underlined">
    <w:name w:val="Underlined"/>
    <w:basedOn w:val="DefaultParagraphFont"/>
    <w:rsid w:val="000475FE"/>
    <w:rPr>
      <w:u w:val="single"/>
    </w:rPr>
  </w:style>
  <w:style w:type="paragraph" w:customStyle="1" w:styleId="TableBodyTextRight">
    <w:name w:val="Table Body Text Right"/>
    <w:basedOn w:val="TableBodyText"/>
    <w:rsid w:val="000475FE"/>
    <w:pPr>
      <w:widowControl w:val="0"/>
      <w:autoSpaceDE w:val="0"/>
      <w:autoSpaceDN w:val="0"/>
      <w:adjustRightInd w:val="0"/>
      <w:jc w:val="right"/>
    </w:pPr>
    <w:rPr>
      <w:rFonts w:cs="Arial"/>
      <w:szCs w:val="18"/>
    </w:rPr>
  </w:style>
  <w:style w:type="paragraph" w:customStyle="1" w:styleId="CopyrightText">
    <w:name w:val="Copyright Text"/>
    <w:basedOn w:val="BodyText"/>
    <w:rsid w:val="000475FE"/>
    <w:rPr>
      <w:sz w:val="18"/>
    </w:rPr>
  </w:style>
  <w:style w:type="paragraph" w:customStyle="1" w:styleId="BodySmallRight">
    <w:name w:val="Body Small Right"/>
    <w:basedOn w:val="BodyTextRight"/>
    <w:rsid w:val="000475FE"/>
    <w:rPr>
      <w:sz w:val="18"/>
      <w:szCs w:val="18"/>
    </w:rPr>
  </w:style>
  <w:style w:type="paragraph" w:customStyle="1" w:styleId="MarginEdition">
    <w:name w:val="Margin Edition"/>
    <w:basedOn w:val="MarginNote"/>
    <w:rsid w:val="000475FE"/>
    <w:pPr>
      <w:spacing w:before="0" w:after="0"/>
    </w:pPr>
    <w:rPr>
      <w:rFonts w:ascii="Times New Roman" w:hAnsi="Times New Roman"/>
      <w:color w:val="999999"/>
    </w:rPr>
  </w:style>
  <w:style w:type="paragraph" w:customStyle="1" w:styleId="Spacer">
    <w:name w:val="Spacer"/>
    <w:basedOn w:val="Normal"/>
    <w:rsid w:val="000475FE"/>
    <w:rPr>
      <w:sz w:val="2"/>
      <w:szCs w:val="2"/>
    </w:rPr>
  </w:style>
  <w:style w:type="character" w:customStyle="1" w:styleId="Small">
    <w:name w:val="Small"/>
    <w:basedOn w:val="DefaultParagraphFont"/>
    <w:rsid w:val="000475FE"/>
    <w:rPr>
      <w:sz w:val="16"/>
    </w:rPr>
  </w:style>
  <w:style w:type="paragraph" w:customStyle="1" w:styleId="WideTable">
    <w:name w:val="Wide Table"/>
    <w:basedOn w:val="Normal"/>
    <w:rsid w:val="000475FE"/>
    <w:pPr>
      <w:ind w:left="-1418"/>
    </w:pPr>
    <w:rPr>
      <w:sz w:val="2"/>
      <w:szCs w:val="2"/>
    </w:rPr>
  </w:style>
  <w:style w:type="character" w:styleId="PageNumber">
    <w:name w:val="page number"/>
    <w:basedOn w:val="DefaultParagraphFont"/>
    <w:rsid w:val="000475FE"/>
  </w:style>
  <w:style w:type="paragraph" w:styleId="Quote">
    <w:name w:val="Quote"/>
    <w:basedOn w:val="Heading1"/>
    <w:link w:val="QuoteChar"/>
    <w:qFormat/>
    <w:rsid w:val="000475FE"/>
    <w:rPr>
      <w:b w:val="0"/>
      <w:sz w:val="72"/>
      <w:szCs w:val="72"/>
      <w:lang w:val="en-NZ"/>
    </w:rPr>
  </w:style>
  <w:style w:type="character" w:customStyle="1" w:styleId="QuoteChar">
    <w:name w:val="Quote Char"/>
    <w:basedOn w:val="DefaultParagraphFont"/>
    <w:link w:val="Quote"/>
    <w:rsid w:val="00047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5FE"/>
    <w:pPr>
      <w:pageBreakBefore/>
    </w:pPr>
  </w:style>
  <w:style w:type="paragraph" w:customStyle="1" w:styleId="Border">
    <w:name w:val="Border"/>
    <w:basedOn w:val="Normal"/>
    <w:qFormat/>
    <w:rsid w:val="00047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5FE"/>
    <w:rPr>
      <w:b/>
      <w:bCs/>
      <w:i/>
      <w:iCs/>
      <w:color w:val="auto"/>
    </w:rPr>
  </w:style>
  <w:style w:type="paragraph" w:styleId="IntenseQuote">
    <w:name w:val="Intense Quote"/>
    <w:basedOn w:val="Normal"/>
    <w:next w:val="Normal"/>
    <w:link w:val="IntenseQuoteChar"/>
    <w:uiPriority w:val="30"/>
    <w:qFormat/>
    <w:rsid w:val="00047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5FE"/>
    <w:rPr>
      <w:smallCaps/>
      <w:color w:val="auto"/>
      <w:u w:val="single"/>
    </w:rPr>
  </w:style>
  <w:style w:type="character" w:styleId="IntenseReference">
    <w:name w:val="Intense Reference"/>
    <w:basedOn w:val="DefaultParagraphFont"/>
    <w:uiPriority w:val="32"/>
    <w:qFormat/>
    <w:rsid w:val="000475FE"/>
    <w:rPr>
      <w:b/>
      <w:bCs/>
      <w:smallCaps/>
      <w:color w:val="auto"/>
      <w:spacing w:val="5"/>
      <w:u w:val="single"/>
    </w:rPr>
  </w:style>
  <w:style w:type="paragraph" w:customStyle="1" w:styleId="2ColumnHeading">
    <w:name w:val="2Column Heading"/>
    <w:basedOn w:val="BodyText"/>
    <w:qFormat/>
    <w:rsid w:val="000475FE"/>
    <w:pPr>
      <w:spacing w:after="60"/>
      <w:ind w:left="-2268"/>
    </w:pPr>
    <w:rPr>
      <w:b/>
    </w:rPr>
  </w:style>
  <w:style w:type="paragraph" w:customStyle="1" w:styleId="Heading1TOC">
    <w:name w:val="Heading1 TOC"/>
    <w:basedOn w:val="Normal"/>
    <w:qFormat/>
    <w:rsid w:val="000475FE"/>
    <w:pPr>
      <w:spacing w:before="240" w:after="120"/>
    </w:pPr>
    <w:rPr>
      <w:rFonts w:ascii="Times New Roman" w:hAnsi="Times New Roman"/>
      <w:b/>
      <w:sz w:val="32"/>
    </w:rPr>
  </w:style>
  <w:style w:type="paragraph" w:customStyle="1" w:styleId="Heading2TOC">
    <w:name w:val="Heading2 TOC"/>
    <w:basedOn w:val="Normal"/>
    <w:qFormat/>
    <w:rsid w:val="000475FE"/>
    <w:pPr>
      <w:spacing w:before="240" w:after="60"/>
    </w:pPr>
    <w:rPr>
      <w:rFonts w:ascii="Times New Roman" w:hAnsi="Times New Roman"/>
      <w:b/>
      <w:sz w:val="28"/>
    </w:rPr>
  </w:style>
  <w:style w:type="character" w:customStyle="1" w:styleId="Underline">
    <w:name w:val="Underline"/>
    <w:basedOn w:val="DefaultParagraphFont"/>
    <w:qFormat/>
    <w:rsid w:val="000475FE"/>
    <w:rPr>
      <w:u w:val="single"/>
    </w:rPr>
  </w:style>
  <w:style w:type="paragraph" w:styleId="BalloonText">
    <w:name w:val="Balloon Text"/>
    <w:basedOn w:val="Normal"/>
    <w:link w:val="BalloonTextChar"/>
    <w:rsid w:val="000475FE"/>
    <w:rPr>
      <w:rFonts w:ascii="Tahoma" w:hAnsi="Tahoma" w:cs="Tahoma"/>
      <w:sz w:val="16"/>
      <w:szCs w:val="16"/>
    </w:rPr>
  </w:style>
  <w:style w:type="character" w:customStyle="1" w:styleId="BalloonTextChar">
    <w:name w:val="Balloon Text Char"/>
    <w:basedOn w:val="DefaultParagraphFont"/>
    <w:link w:val="BalloonText"/>
    <w:rsid w:val="00047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5FE"/>
    <w:rPr>
      <w:b/>
      <w:color w:val="660033"/>
      <w:spacing w:val="0"/>
    </w:rPr>
  </w:style>
  <w:style w:type="paragraph" w:customStyle="1" w:styleId="Nameditemlist">
    <w:name w:val="Named item list"/>
    <w:basedOn w:val="BodyText"/>
    <w:qFormat/>
    <w:rsid w:val="000475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1139</Words>
  <Characters>7016</Characters>
  <Application>Microsoft Office Word</Application>
  <DocSecurity>0</DocSecurity>
  <Lines>266</Lines>
  <Paragraphs>144</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MARH3004A Use wheelhouse equipment for safe navigation</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2013-06-06T05:00:00Z</dcterms:created>
  <dcterms:modified xsi:type="dcterms:W3CDTF">2013-06-06T05:00:00Z</dcterms:modified>
</cp:coreProperties>
</file>