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0347" w:rsidP="00510347">
      <w:pPr>
        <w:pStyle w:val="Title"/>
      </w:pPr>
      <w:r>
        <w:fldChar w:fldCharType="begin"/>
      </w:r>
      <w:r>
        <w:instrText xml:space="preserve"> TITLE   \* MERGEFORMAT </w:instrText>
      </w:r>
      <w:r>
        <w:fldChar w:fldCharType="separate"/>
      </w:r>
      <w:r>
        <w:t>MARF4001A Manage firefighting and fire prevention activities on board a vessel</w:t>
      </w:r>
      <w:r>
        <w:fldChar w:fldCharType="end"/>
      </w:r>
    </w:p>
    <w:p w:rsidR="00510347" w:rsidP="00510347">
      <w:pPr>
        <w:pStyle w:val="Version"/>
        <w:sectPr w:rsidSect="00B0272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02720" w:rsidP="00B02720">
      <w:pPr>
        <w:pStyle w:val="SuperHeading"/>
      </w:pPr>
      <w:r w:rsidRPr="00B02720">
        <w:t>MARF4001A Manage firefighting and fire prevention activities on board a vessel</w:t>
      </w:r>
    </w:p>
    <w:p w:rsidR="00000000" w:rsidRPr="00B02720" w:rsidP="00B02720">
      <w:pPr>
        <w:pStyle w:val="Heading1"/>
      </w:pPr>
      <w:bookmarkStart w:id="1" w:name="O_537046"/>
      <w:bookmarkEnd w:id="1"/>
      <w:r w:rsidRPr="00B02720">
        <w:t>Modification History</w:t>
      </w:r>
    </w:p>
    <w:p w:rsidR="00000000" w:rsidRPr="00B02720" w:rsidP="00B02720">
      <w:pPr>
        <w:pStyle w:val="BodyText"/>
      </w:pPr>
      <w:r w:rsidRPr="00B02720">
        <w:t>Release 1</w:t>
      </w:r>
    </w:p>
    <w:p w:rsidR="00000000" w:rsidRPr="00B02720" w:rsidP="00B02720">
      <w:pPr>
        <w:pStyle w:val="BodyText"/>
      </w:pPr>
      <w:r w:rsidRPr="00B02720">
        <w:t>This is the first release of this unit.</w:t>
      </w:r>
    </w:p>
    <w:p w:rsidR="00000000" w:rsidRPr="00B02720" w:rsidP="00B02720">
      <w:pPr>
        <w:pStyle w:val="BodyText"/>
      </w:pPr>
      <w:r w:rsidRPr="00B02720">
        <w:t>This unit replaces and is equivalent to TDMMF6107A Manage marine fire fighting and prevention activities on board a vessel.</w:t>
      </w:r>
    </w:p>
    <w:p w:rsidR="00000000" w:rsidRPr="00B02720" w:rsidP="00B02720">
      <w:pPr>
        <w:pStyle w:val="AllowPageBreak"/>
      </w:pPr>
    </w:p>
    <w:p w:rsidR="00000000" w:rsidRPr="00B02720" w:rsidP="00B02720">
      <w:pPr>
        <w:pStyle w:val="Heading1"/>
      </w:pPr>
      <w:bookmarkStart w:id="2" w:name="O_537058"/>
      <w:bookmarkEnd w:id="2"/>
      <w:r w:rsidRPr="00B02720">
        <w:t>Unit Descriptor</w:t>
      </w:r>
    </w:p>
    <w:p w:rsidR="00000000" w:rsidRPr="00B02720" w:rsidP="00B02720">
      <w:pPr>
        <w:pStyle w:val="BodyText"/>
      </w:pPr>
      <w:r w:rsidRPr="00B02720">
        <w:t>This unit involves the skills and knowledge required to manage firefighting and fire prevention act</w:t>
      </w:r>
      <w:r w:rsidRPr="00B02720">
        <w:t>ivities on board a vessel.</w:t>
      </w:r>
    </w:p>
    <w:p w:rsidR="00000000" w:rsidRPr="00B02720" w:rsidP="00B02720">
      <w:pPr>
        <w:pStyle w:val="AllowPageBreak"/>
      </w:pPr>
    </w:p>
    <w:p w:rsidR="00000000" w:rsidRPr="00B02720" w:rsidP="00B02720">
      <w:pPr>
        <w:pStyle w:val="Heading1"/>
      </w:pPr>
      <w:bookmarkStart w:id="3" w:name="O_537057"/>
      <w:bookmarkEnd w:id="3"/>
      <w:r w:rsidRPr="00B02720">
        <w:t>Application of the Unit</w:t>
      </w:r>
    </w:p>
    <w:p w:rsidR="00000000" w:rsidRPr="00B02720" w:rsidP="00B02720">
      <w:pPr>
        <w:pStyle w:val="BodyText"/>
      </w:pPr>
      <w:r w:rsidRPr="00B02720">
        <w:t>This unit applies to deck and engine officers who are required by Marine Order 3 to be in charge of firefighting activities on board a vessel.</w:t>
      </w:r>
    </w:p>
    <w:p w:rsidR="00000000" w:rsidRPr="00B02720" w:rsidP="00B02720">
      <w:pPr>
        <w:pStyle w:val="AllowPageBreak"/>
      </w:pPr>
    </w:p>
    <w:p w:rsidR="00000000" w:rsidRPr="00B02720" w:rsidP="00B02720">
      <w:pPr>
        <w:pStyle w:val="Heading1"/>
      </w:pPr>
      <w:bookmarkStart w:id="4" w:name="O_537056"/>
      <w:bookmarkEnd w:id="4"/>
      <w:r w:rsidRPr="00B02720">
        <w:t>Licensing/Regulatory Informa</w:t>
      </w:r>
      <w:r w:rsidRPr="00B02720">
        <w:t>tion</w:t>
      </w:r>
    </w:p>
    <w:p w:rsidR="00000000" w:rsidRPr="00B02720" w:rsidP="00B02720">
      <w:pPr>
        <w:pStyle w:val="BodyText"/>
      </w:pPr>
      <w:r w:rsidRPr="00B02720">
        <w:t>Not applicable.</w:t>
      </w:r>
    </w:p>
    <w:p w:rsidR="00000000" w:rsidRPr="00B02720" w:rsidP="00B02720">
      <w:pPr>
        <w:pStyle w:val="AllowPageBreak"/>
      </w:pPr>
    </w:p>
    <w:p w:rsidR="00000000" w:rsidRPr="00B02720" w:rsidP="00B02720">
      <w:pPr>
        <w:pStyle w:val="Heading1"/>
      </w:pPr>
      <w:bookmarkStart w:id="5" w:name="O_537055"/>
      <w:bookmarkEnd w:id="5"/>
      <w:r w:rsidRPr="00B02720">
        <w:t>Pre-Requisites</w:t>
      </w:r>
    </w:p>
    <w:p w:rsidR="00000000" w:rsidRPr="00B02720" w:rsidP="00B02720">
      <w:pPr>
        <w:pStyle w:val="BodyText"/>
      </w:pPr>
      <w:r w:rsidRPr="00B02720">
        <w:t>Not applicable.</w:t>
      </w:r>
    </w:p>
    <w:p w:rsidR="00000000" w:rsidRPr="00B02720" w:rsidP="00B02720">
      <w:pPr>
        <w:pStyle w:val="AllowPageBreak"/>
      </w:pPr>
    </w:p>
    <w:p w:rsidR="00000000" w:rsidRPr="00B02720" w:rsidP="00B02720">
      <w:pPr>
        <w:pStyle w:val="Heading1"/>
      </w:pPr>
      <w:bookmarkStart w:id="6" w:name="O_537054"/>
      <w:bookmarkEnd w:id="6"/>
      <w:r w:rsidRPr="00B02720">
        <w:t>Employability Skills Information</w:t>
      </w:r>
    </w:p>
    <w:p w:rsidR="00000000" w:rsidRPr="00B02720" w:rsidP="00B02720">
      <w:pPr>
        <w:pStyle w:val="BodyText"/>
      </w:pPr>
      <w:r w:rsidRPr="00B02720">
        <w:t>This unit contains employability skills.</w:t>
      </w:r>
    </w:p>
    <w:p w:rsidR="00000000" w:rsidRPr="00B02720" w:rsidP="00B02720">
      <w:pPr>
        <w:pStyle w:val="AllowPageBreak"/>
      </w:pPr>
    </w:p>
    <w:p w:rsidR="00000000" w:rsidRPr="00B02720" w:rsidP="00B02720">
      <w:pPr>
        <w:pStyle w:val="Heading1"/>
      </w:pPr>
      <w:bookmarkStart w:id="7" w:name="O_537053"/>
      <w:bookmarkEnd w:id="7"/>
      <w:r w:rsidRPr="00B02720">
        <w:t>Elements and Performance Criteria Pre-Content</w:t>
      </w:r>
    </w:p>
    <w:tbl>
      <w:tblPr>
        <w:tblW w:w="9640" w:type="dxa"/>
        <w:tblLayout w:type="fixed"/>
        <w:tblCellMar>
          <w:left w:w="62" w:type="dxa"/>
          <w:right w:w="62" w:type="dxa"/>
        </w:tblCellMar>
        <w:tblLook w:val="0000"/>
      </w:tblPr>
      <w:tblGrid>
        <w:gridCol w:w="2776"/>
        <w:gridCol w:w="6864"/>
      </w:tblGrid>
      <w:tr w:rsidTr="00510347">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B02720">
            <w:pPr>
              <w:pStyle w:val="BodyText"/>
              <w:rPr>
                <w:lang w:val="en-NZ"/>
              </w:rPr>
            </w:pPr>
            <w:r w:rsidRPr="00B02720">
              <w:t>Elements describe the essential o</w:t>
            </w:r>
            <w:r w:rsidRPr="00B02720">
              <w:t>utcomes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B02720" w:rsidP="00B02720">
            <w:pPr>
              <w:pStyle w:val="BodyText"/>
            </w:pPr>
            <w:r w:rsidRPr="00B02720">
              <w:t>Performance criteria describe the required performance needed to demonstrate achievement of the element. Assessment of performance is to be consistent with the evidence guide.</w:t>
            </w:r>
          </w:p>
        </w:tc>
      </w:tr>
    </w:tbl>
    <w:p w:rsidR="00000000" w:rsidRPr="00B02720" w:rsidP="00B02720">
      <w:pPr>
        <w:pStyle w:val="BodyText"/>
      </w:pPr>
    </w:p>
    <w:p w:rsidR="00000000" w:rsidRPr="00B02720" w:rsidP="00B02720">
      <w:pPr>
        <w:pStyle w:val="AllowPageBreak"/>
      </w:pPr>
    </w:p>
    <w:p w:rsidR="00000000" w:rsidRPr="00B02720" w:rsidP="00B02720">
      <w:pPr>
        <w:pStyle w:val="Heading1"/>
      </w:pPr>
      <w:bookmarkStart w:id="8" w:name="O_537052"/>
      <w:bookmarkEnd w:id="8"/>
      <w:r w:rsidRPr="00B02720">
        <w:t>Elements and Performance Criteria</w:t>
      </w:r>
    </w:p>
    <w:tbl>
      <w:tblPr>
        <w:tblW w:w="9640" w:type="dxa"/>
        <w:tblLayout w:type="fixed"/>
        <w:tblCellMar>
          <w:left w:w="62" w:type="dxa"/>
          <w:right w:w="62" w:type="dxa"/>
        </w:tblCellMar>
        <w:tblLook w:val="0000"/>
      </w:tblPr>
      <w:tblGrid>
        <w:gridCol w:w="293"/>
        <w:gridCol w:w="1899"/>
        <w:gridCol w:w="584"/>
        <w:gridCol w:w="6864"/>
      </w:tblGrid>
      <w:tr w:rsidTr="00510347">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B02720" w:rsidP="00B02720">
            <w:pPr>
              <w:pStyle w:val="BodyText"/>
            </w:pPr>
            <w:r w:rsidRPr="00B02720">
              <w:rPr>
                <w:rStyle w:val="SpecialBold"/>
              </w:rPr>
              <w:t>1</w:t>
            </w:r>
          </w:p>
        </w:tc>
        <w:tc>
          <w:tcPr>
            <w:tcW w:w="1899" w:type="dxa"/>
            <w:vMerge w:val="restart"/>
            <w:tcBorders>
              <w:top w:val="nil"/>
              <w:left w:val="nil"/>
              <w:bottom w:val="nil"/>
              <w:right w:val="nil"/>
            </w:tcBorders>
            <w:tcMar>
              <w:top w:w="0" w:type="dxa"/>
              <w:left w:w="62" w:type="dxa"/>
              <w:bottom w:w="0" w:type="dxa"/>
              <w:right w:w="62" w:type="dxa"/>
            </w:tcMar>
          </w:tcPr>
          <w:p w:rsidR="00000000" w:rsidP="00B02720">
            <w:pPr>
              <w:pStyle w:val="BodyText"/>
              <w:rPr>
                <w:lang w:val="en-NZ"/>
              </w:rPr>
            </w:pPr>
            <w:r w:rsidRPr="00B02720">
              <w:rPr>
                <w:rStyle w:val="SpecialBold"/>
              </w:rPr>
              <w:t>Manage fire prevention activities</w:t>
            </w:r>
          </w:p>
        </w:tc>
        <w:tc>
          <w:tcPr>
            <w:tcW w:w="584" w:type="dxa"/>
            <w:tcBorders>
              <w:top w:val="nil"/>
              <w:left w:val="nil"/>
              <w:bottom w:val="nil"/>
              <w:right w:val="nil"/>
            </w:tcBorders>
            <w:tcMar>
              <w:top w:w="0" w:type="dxa"/>
              <w:left w:w="62" w:type="dxa"/>
              <w:bottom w:w="0" w:type="dxa"/>
              <w:right w:w="62" w:type="dxa"/>
            </w:tcMar>
          </w:tcPr>
          <w:p w:rsidR="00000000" w:rsidRPr="00B02720" w:rsidP="00B02720">
            <w:pPr>
              <w:pStyle w:val="BodyText"/>
            </w:pPr>
            <w:r w:rsidRPr="00B02720">
              <w:t>1.1</w:t>
            </w:r>
          </w:p>
        </w:tc>
        <w:tc>
          <w:tcPr>
            <w:tcW w:w="6864" w:type="dxa"/>
            <w:tcBorders>
              <w:top w:val="nil"/>
              <w:left w:val="nil"/>
              <w:bottom w:val="nil"/>
              <w:right w:val="nil"/>
            </w:tcBorders>
            <w:tcMar>
              <w:top w:w="0" w:type="dxa"/>
              <w:left w:w="62" w:type="dxa"/>
              <w:bottom w:w="0" w:type="dxa"/>
              <w:right w:w="62" w:type="dxa"/>
            </w:tcMar>
          </w:tcPr>
          <w:p w:rsidR="00000000" w:rsidP="00B02720">
            <w:pPr>
              <w:pStyle w:val="BodyText"/>
              <w:rPr>
                <w:lang w:val="en-NZ"/>
              </w:rPr>
            </w:pPr>
            <w:r w:rsidRPr="00B02720">
              <w:rPr>
                <w:rStyle w:val="BoldandItalics"/>
              </w:rPr>
              <w:t xml:space="preserve">Hazards </w:t>
            </w:r>
            <w:r w:rsidRPr="00B02720">
              <w:t>including dangerous goods on board a vessel are identified and appropriate action is implemented as determined by industry standard documentation</w:t>
            </w:r>
          </w:p>
        </w:tc>
      </w:tr>
      <w:tr w:rsidTr="00510347">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B02720">
            <w:pPr>
              <w:pStyle w:val="BodyText"/>
              <w:rPr>
                <w:lang w:val="en-NZ"/>
              </w:rPr>
            </w:pPr>
            <w:r w:rsidRPr="00B02720">
              <w:t>1.2</w:t>
            </w:r>
          </w:p>
        </w:tc>
        <w:tc>
          <w:tcPr>
            <w:tcW w:w="6864" w:type="dxa"/>
            <w:tcBorders>
              <w:top w:val="nil"/>
              <w:left w:val="nil"/>
              <w:bottom w:val="nil"/>
              <w:right w:val="nil"/>
            </w:tcBorders>
            <w:tcMar>
              <w:top w:w="0" w:type="dxa"/>
              <w:left w:w="62" w:type="dxa"/>
              <w:bottom w:w="0" w:type="dxa"/>
              <w:right w:w="62" w:type="dxa"/>
            </w:tcMar>
          </w:tcPr>
          <w:p w:rsidR="00000000" w:rsidP="00B02720">
            <w:pPr>
              <w:pStyle w:val="BodyText"/>
              <w:rPr>
                <w:lang w:val="en-NZ"/>
              </w:rPr>
            </w:pPr>
            <w:r w:rsidRPr="00B02720">
              <w:t>Legislative requireme</w:t>
            </w:r>
            <w:r w:rsidRPr="00B02720">
              <w:t>nts and current industry standards relating to the maintenance and operation of</w:t>
            </w:r>
            <w:r w:rsidRPr="00B02720">
              <w:rPr>
                <w:rStyle w:val="BoldandItalics"/>
              </w:rPr>
              <w:t xml:space="preserve"> fire detection, firefighting equipment </w:t>
            </w:r>
            <w:r w:rsidRPr="00B02720">
              <w:t xml:space="preserve">and </w:t>
            </w:r>
            <w:r w:rsidRPr="00B02720">
              <w:rPr>
                <w:rStyle w:val="BoldandItalics"/>
              </w:rPr>
              <w:t xml:space="preserve">systems </w:t>
            </w:r>
            <w:r w:rsidRPr="00B02720">
              <w:t>on board are met and complied with</w:t>
            </w:r>
          </w:p>
        </w:tc>
      </w:tr>
      <w:tr w:rsidTr="00510347">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B02720">
            <w:pPr>
              <w:pStyle w:val="BodyText"/>
              <w:rPr>
                <w:lang w:val="en-NZ"/>
              </w:rPr>
            </w:pPr>
            <w:r w:rsidRPr="00B02720">
              <w:t>1.3</w:t>
            </w:r>
          </w:p>
        </w:tc>
        <w:tc>
          <w:tcPr>
            <w:tcW w:w="6864" w:type="dxa"/>
            <w:tcBorders>
              <w:top w:val="nil"/>
              <w:left w:val="nil"/>
              <w:bottom w:val="nil"/>
              <w:right w:val="nil"/>
            </w:tcBorders>
            <w:tcMar>
              <w:top w:w="0" w:type="dxa"/>
              <w:left w:w="62" w:type="dxa"/>
              <w:bottom w:w="0" w:type="dxa"/>
              <w:right w:w="62" w:type="dxa"/>
            </w:tcMar>
          </w:tcPr>
          <w:p w:rsidR="00000000" w:rsidP="00B02720">
            <w:pPr>
              <w:pStyle w:val="BodyText"/>
              <w:rPr>
                <w:lang w:val="en-NZ"/>
              </w:rPr>
            </w:pPr>
            <w:r w:rsidRPr="00B02720">
              <w:t>Inductions or other educational activities are organised to ensure awareness of causal factors of on-board fires, prevention methods and standard operating procedures when fire alarms are activated</w:t>
            </w:r>
          </w:p>
        </w:tc>
      </w:tr>
      <w:tr w:rsidTr="00510347">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B02720" w:rsidP="00B02720">
            <w:pPr>
              <w:pStyle w:val="BodyText"/>
            </w:pPr>
            <w:r w:rsidRPr="00B02720">
              <w:rPr>
                <w:rStyle w:val="SpecialBold"/>
              </w:rPr>
              <w:t>2</w:t>
            </w:r>
          </w:p>
        </w:tc>
        <w:tc>
          <w:tcPr>
            <w:tcW w:w="1899" w:type="dxa"/>
            <w:vMerge w:val="restart"/>
            <w:tcBorders>
              <w:top w:val="nil"/>
              <w:left w:val="nil"/>
              <w:bottom w:val="nil"/>
              <w:right w:val="nil"/>
            </w:tcBorders>
            <w:tcMar>
              <w:top w:w="0" w:type="dxa"/>
              <w:left w:w="62" w:type="dxa"/>
              <w:bottom w:w="0" w:type="dxa"/>
              <w:right w:w="62" w:type="dxa"/>
            </w:tcMar>
          </w:tcPr>
          <w:p w:rsidR="00000000" w:rsidP="00B02720">
            <w:pPr>
              <w:pStyle w:val="BodyText"/>
              <w:rPr>
                <w:lang w:val="en-NZ"/>
              </w:rPr>
            </w:pPr>
            <w:r w:rsidRPr="00B02720">
              <w:rPr>
                <w:rStyle w:val="SpecialBold"/>
              </w:rPr>
              <w:t>Plan for fire emergencies</w:t>
            </w:r>
          </w:p>
        </w:tc>
        <w:tc>
          <w:tcPr>
            <w:tcW w:w="584" w:type="dxa"/>
            <w:tcBorders>
              <w:top w:val="nil"/>
              <w:left w:val="nil"/>
              <w:bottom w:val="nil"/>
              <w:right w:val="nil"/>
            </w:tcBorders>
            <w:tcMar>
              <w:top w:w="0" w:type="dxa"/>
              <w:left w:w="62" w:type="dxa"/>
              <w:bottom w:w="0" w:type="dxa"/>
              <w:right w:w="62" w:type="dxa"/>
            </w:tcMar>
          </w:tcPr>
          <w:p w:rsidR="00000000" w:rsidP="00B02720">
            <w:pPr>
              <w:pStyle w:val="BodyText"/>
              <w:rPr>
                <w:lang w:val="en-NZ"/>
              </w:rPr>
            </w:pPr>
            <w:r w:rsidRPr="00B02720">
              <w:t>2.1</w:t>
            </w:r>
          </w:p>
        </w:tc>
        <w:tc>
          <w:tcPr>
            <w:tcW w:w="6864" w:type="dxa"/>
            <w:tcBorders>
              <w:top w:val="nil"/>
              <w:left w:val="nil"/>
              <w:bottom w:val="nil"/>
              <w:right w:val="nil"/>
            </w:tcBorders>
            <w:tcMar>
              <w:top w:w="0" w:type="dxa"/>
              <w:left w:w="62" w:type="dxa"/>
              <w:bottom w:w="0" w:type="dxa"/>
              <w:right w:w="62" w:type="dxa"/>
            </w:tcMar>
          </w:tcPr>
          <w:p w:rsidR="00000000" w:rsidP="00B02720">
            <w:pPr>
              <w:pStyle w:val="BodyText"/>
              <w:rPr>
                <w:lang w:val="en-NZ"/>
              </w:rPr>
            </w:pPr>
            <w:r w:rsidRPr="00B02720">
              <w:t xml:space="preserve">Vessel </w:t>
            </w:r>
            <w:r w:rsidRPr="00B02720">
              <w:rPr>
                <w:rStyle w:val="BoldandItalics"/>
              </w:rPr>
              <w:t>fire control plan</w:t>
            </w:r>
            <w:r w:rsidRPr="00B02720">
              <w:t xml:space="preserve"> </w:t>
            </w:r>
            <w:r w:rsidRPr="00B02720">
              <w:t>is consulted to review and develop appropriate response to any fire</w:t>
            </w:r>
          </w:p>
        </w:tc>
      </w:tr>
      <w:tr w:rsidTr="00510347">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RPr="00B02720" w:rsidP="00B02720">
            <w:pPr>
              <w:pStyle w:val="BodyText"/>
            </w:pPr>
            <w:r w:rsidRPr="00B02720">
              <w:t>2.2</w:t>
            </w:r>
          </w:p>
        </w:tc>
        <w:tc>
          <w:tcPr>
            <w:tcW w:w="6864" w:type="dxa"/>
            <w:tcBorders>
              <w:top w:val="nil"/>
              <w:left w:val="nil"/>
              <w:bottom w:val="nil"/>
              <w:right w:val="nil"/>
            </w:tcBorders>
            <w:tcMar>
              <w:top w:w="0" w:type="dxa"/>
              <w:left w:w="62" w:type="dxa"/>
              <w:bottom w:w="0" w:type="dxa"/>
              <w:right w:w="62" w:type="dxa"/>
            </w:tcMar>
          </w:tcPr>
          <w:p w:rsidR="00000000" w:rsidP="00B02720">
            <w:pPr>
              <w:pStyle w:val="BodyText"/>
              <w:rPr>
                <w:lang w:val="en-NZ"/>
              </w:rPr>
            </w:pPr>
            <w:r w:rsidRPr="00B02720">
              <w:rPr>
                <w:rStyle w:val="BoldandItalics"/>
              </w:rPr>
              <w:t xml:space="preserve">Contingencies </w:t>
            </w:r>
            <w:r w:rsidRPr="00B02720">
              <w:t>are anticipated, planned for and practised</w:t>
            </w:r>
          </w:p>
        </w:tc>
      </w:tr>
      <w:tr w:rsidTr="00510347">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B02720">
            <w:pPr>
              <w:pStyle w:val="BodyText"/>
              <w:rPr>
                <w:lang w:val="en-NZ"/>
              </w:rPr>
            </w:pPr>
            <w:r w:rsidRPr="00B02720">
              <w:t>2.3</w:t>
            </w:r>
          </w:p>
        </w:tc>
        <w:tc>
          <w:tcPr>
            <w:tcW w:w="6864" w:type="dxa"/>
            <w:tcBorders>
              <w:top w:val="nil"/>
              <w:left w:val="nil"/>
              <w:bottom w:val="nil"/>
              <w:right w:val="nil"/>
            </w:tcBorders>
            <w:tcMar>
              <w:top w:w="0" w:type="dxa"/>
              <w:left w:w="62" w:type="dxa"/>
              <w:bottom w:w="0" w:type="dxa"/>
              <w:right w:w="62" w:type="dxa"/>
            </w:tcMar>
          </w:tcPr>
          <w:p w:rsidR="00000000" w:rsidP="00B02720">
            <w:pPr>
              <w:pStyle w:val="BodyText"/>
              <w:rPr>
                <w:lang w:val="en-NZ"/>
              </w:rPr>
            </w:pPr>
            <w:r w:rsidRPr="00B02720">
              <w:t>Evacuations are prepared for and practised according to regulatory requirements</w:t>
            </w:r>
          </w:p>
        </w:tc>
      </w:tr>
      <w:tr w:rsidTr="00510347">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B02720">
            <w:pPr>
              <w:pStyle w:val="BodyText"/>
              <w:rPr>
                <w:lang w:val="en-NZ"/>
              </w:rPr>
            </w:pPr>
            <w:r w:rsidRPr="00B02720">
              <w:t>2.4</w:t>
            </w:r>
          </w:p>
        </w:tc>
        <w:tc>
          <w:tcPr>
            <w:tcW w:w="6864" w:type="dxa"/>
            <w:tcBorders>
              <w:top w:val="nil"/>
              <w:left w:val="nil"/>
              <w:bottom w:val="nil"/>
              <w:right w:val="nil"/>
            </w:tcBorders>
            <w:tcMar>
              <w:top w:w="0" w:type="dxa"/>
              <w:left w:w="62" w:type="dxa"/>
              <w:bottom w:w="0" w:type="dxa"/>
              <w:right w:w="62" w:type="dxa"/>
            </w:tcMar>
          </w:tcPr>
          <w:p w:rsidR="00000000" w:rsidP="00B02720">
            <w:pPr>
              <w:pStyle w:val="BodyText"/>
              <w:rPr>
                <w:lang w:val="en-NZ"/>
              </w:rPr>
            </w:pPr>
            <w:r w:rsidRPr="00B02720">
              <w:t>Roles/functions of command and firefighting team members, as related to fire prevention and suppression, are established and reviewed according to regulatory and organisational requirements</w:t>
            </w:r>
          </w:p>
        </w:tc>
      </w:tr>
      <w:tr w:rsidTr="00510347">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B02720">
            <w:pPr>
              <w:pStyle w:val="BodyText"/>
              <w:rPr>
                <w:lang w:val="en-NZ"/>
              </w:rPr>
            </w:pPr>
            <w:r w:rsidRPr="00B02720">
              <w:t>2.5</w:t>
            </w:r>
          </w:p>
        </w:tc>
        <w:tc>
          <w:tcPr>
            <w:tcW w:w="6864" w:type="dxa"/>
            <w:tcBorders>
              <w:top w:val="nil"/>
              <w:left w:val="nil"/>
              <w:bottom w:val="nil"/>
              <w:right w:val="nil"/>
            </w:tcBorders>
            <w:tcMar>
              <w:top w:w="0" w:type="dxa"/>
              <w:left w:w="62" w:type="dxa"/>
              <w:bottom w:w="0" w:type="dxa"/>
              <w:right w:w="62" w:type="dxa"/>
            </w:tcMar>
          </w:tcPr>
          <w:p w:rsidR="00000000" w:rsidP="00B02720">
            <w:pPr>
              <w:pStyle w:val="BodyText"/>
              <w:rPr>
                <w:lang w:val="en-NZ"/>
              </w:rPr>
            </w:pPr>
            <w:r w:rsidRPr="00B02720">
              <w:t>Firefighting training exercises are developed and implement</w:t>
            </w:r>
            <w:r w:rsidRPr="00B02720">
              <w:t>ed according to regulatory and organisational requirements</w:t>
            </w:r>
          </w:p>
        </w:tc>
      </w:tr>
      <w:tr w:rsidTr="00510347">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B02720">
            <w:pPr>
              <w:pStyle w:val="BodyText"/>
              <w:rPr>
                <w:lang w:val="en-NZ"/>
              </w:rPr>
            </w:pPr>
            <w:r w:rsidRPr="00B02720">
              <w:t>2.6</w:t>
            </w:r>
          </w:p>
        </w:tc>
        <w:tc>
          <w:tcPr>
            <w:tcW w:w="6864" w:type="dxa"/>
            <w:tcBorders>
              <w:top w:val="nil"/>
              <w:left w:val="nil"/>
              <w:bottom w:val="nil"/>
              <w:right w:val="nil"/>
            </w:tcBorders>
            <w:tcMar>
              <w:top w:w="0" w:type="dxa"/>
              <w:left w:w="62" w:type="dxa"/>
              <w:bottom w:w="0" w:type="dxa"/>
              <w:right w:w="62" w:type="dxa"/>
            </w:tcMar>
          </w:tcPr>
          <w:p w:rsidR="00000000" w:rsidP="00B02720">
            <w:pPr>
              <w:pStyle w:val="BodyText"/>
              <w:rPr>
                <w:lang w:val="en-NZ"/>
              </w:rPr>
            </w:pPr>
            <w:r w:rsidRPr="00B02720">
              <w:t>Training exercises are prepared, practised and debriefed according to regulatory and organisational requirements, to ensure readiness for any fire emergency</w:t>
            </w:r>
          </w:p>
        </w:tc>
      </w:tr>
      <w:tr w:rsidTr="00510347">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B02720" w:rsidP="00B02720">
            <w:pPr>
              <w:pStyle w:val="BodyText"/>
            </w:pPr>
            <w:r w:rsidRPr="00B02720">
              <w:rPr>
                <w:rStyle w:val="SpecialBold"/>
              </w:rPr>
              <w:t>3</w:t>
            </w:r>
          </w:p>
        </w:tc>
        <w:tc>
          <w:tcPr>
            <w:tcW w:w="1899" w:type="dxa"/>
            <w:vMerge w:val="restart"/>
            <w:tcBorders>
              <w:top w:val="nil"/>
              <w:left w:val="nil"/>
              <w:bottom w:val="nil"/>
              <w:right w:val="nil"/>
            </w:tcBorders>
            <w:tcMar>
              <w:top w:w="0" w:type="dxa"/>
              <w:left w:w="62" w:type="dxa"/>
              <w:bottom w:w="0" w:type="dxa"/>
              <w:right w:w="62" w:type="dxa"/>
            </w:tcMar>
          </w:tcPr>
          <w:p w:rsidR="00000000" w:rsidP="00B02720">
            <w:pPr>
              <w:pStyle w:val="BodyText"/>
              <w:rPr>
                <w:lang w:val="en-NZ"/>
              </w:rPr>
            </w:pPr>
            <w:r w:rsidRPr="00B02720">
              <w:rPr>
                <w:rStyle w:val="SpecialBold"/>
              </w:rPr>
              <w:t>Coordinate tactical fir</w:t>
            </w:r>
            <w:r w:rsidRPr="00B02720">
              <w:rPr>
                <w:rStyle w:val="SpecialBold"/>
              </w:rPr>
              <w:t>efighting activities in response to a fire emergency</w:t>
            </w:r>
          </w:p>
        </w:tc>
        <w:tc>
          <w:tcPr>
            <w:tcW w:w="584" w:type="dxa"/>
            <w:tcBorders>
              <w:top w:val="nil"/>
              <w:left w:val="nil"/>
              <w:bottom w:val="nil"/>
              <w:right w:val="nil"/>
            </w:tcBorders>
            <w:tcMar>
              <w:top w:w="0" w:type="dxa"/>
              <w:left w:w="62" w:type="dxa"/>
              <w:bottom w:w="0" w:type="dxa"/>
              <w:right w:w="62" w:type="dxa"/>
            </w:tcMar>
          </w:tcPr>
          <w:p w:rsidR="00000000" w:rsidP="00B02720">
            <w:pPr>
              <w:pStyle w:val="BodyText"/>
              <w:rPr>
                <w:lang w:val="en-NZ"/>
              </w:rPr>
            </w:pPr>
            <w:r w:rsidRPr="00B02720">
              <w:t>3.1</w:t>
            </w:r>
          </w:p>
        </w:tc>
        <w:tc>
          <w:tcPr>
            <w:tcW w:w="6864" w:type="dxa"/>
            <w:tcBorders>
              <w:top w:val="nil"/>
              <w:left w:val="nil"/>
              <w:bottom w:val="nil"/>
              <w:right w:val="nil"/>
            </w:tcBorders>
            <w:tcMar>
              <w:top w:w="0" w:type="dxa"/>
              <w:left w:w="62" w:type="dxa"/>
              <w:bottom w:w="0" w:type="dxa"/>
              <w:right w:w="62" w:type="dxa"/>
            </w:tcMar>
          </w:tcPr>
          <w:p w:rsidR="00000000" w:rsidP="00B02720">
            <w:pPr>
              <w:pStyle w:val="BodyText"/>
              <w:rPr>
                <w:lang w:val="en-NZ"/>
              </w:rPr>
            </w:pPr>
            <w:r w:rsidRPr="00B02720">
              <w:t>Gathering of full and accurate information on the nature and extent of the fire by the command team is overseen</w:t>
            </w:r>
          </w:p>
        </w:tc>
      </w:tr>
      <w:tr w:rsidTr="00510347">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B02720">
            <w:pPr>
              <w:pStyle w:val="BodyText"/>
              <w:rPr>
                <w:lang w:val="en-NZ"/>
              </w:rPr>
            </w:pPr>
            <w:r w:rsidRPr="00B02720">
              <w:t>3.2</w:t>
            </w:r>
          </w:p>
        </w:tc>
        <w:tc>
          <w:tcPr>
            <w:tcW w:w="6864" w:type="dxa"/>
            <w:tcBorders>
              <w:top w:val="nil"/>
              <w:left w:val="nil"/>
              <w:bottom w:val="nil"/>
              <w:right w:val="nil"/>
            </w:tcBorders>
            <w:tcMar>
              <w:top w:w="0" w:type="dxa"/>
              <w:left w:w="62" w:type="dxa"/>
              <w:bottom w:w="0" w:type="dxa"/>
              <w:right w:w="62" w:type="dxa"/>
            </w:tcMar>
          </w:tcPr>
          <w:p w:rsidR="00000000" w:rsidP="00B02720">
            <w:pPr>
              <w:pStyle w:val="BodyText"/>
              <w:rPr>
                <w:lang w:val="en-NZ"/>
              </w:rPr>
            </w:pPr>
            <w:r w:rsidRPr="00B02720">
              <w:t>Order of priority and sequence of actions appropriate to the requirements of the</w:t>
            </w:r>
            <w:r w:rsidRPr="00B02720">
              <w:t xml:space="preserve"> incident is determined and communicated to the responding crew clearly and accurately</w:t>
            </w:r>
          </w:p>
        </w:tc>
      </w:tr>
      <w:tr w:rsidTr="00510347">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B02720">
            <w:pPr>
              <w:pStyle w:val="BodyText"/>
              <w:rPr>
                <w:lang w:val="en-NZ"/>
              </w:rPr>
            </w:pPr>
            <w:r w:rsidRPr="00B02720">
              <w:t>3.3</w:t>
            </w:r>
          </w:p>
        </w:tc>
        <w:tc>
          <w:tcPr>
            <w:tcW w:w="6864" w:type="dxa"/>
            <w:tcBorders>
              <w:top w:val="nil"/>
              <w:left w:val="nil"/>
              <w:bottom w:val="nil"/>
              <w:right w:val="nil"/>
            </w:tcBorders>
            <w:tcMar>
              <w:top w:w="0" w:type="dxa"/>
              <w:left w:w="62" w:type="dxa"/>
              <w:bottom w:w="0" w:type="dxa"/>
              <w:right w:w="62" w:type="dxa"/>
            </w:tcMar>
          </w:tcPr>
          <w:p w:rsidR="00000000" w:rsidP="00B02720">
            <w:pPr>
              <w:pStyle w:val="BodyText"/>
              <w:rPr>
                <w:lang w:val="en-NZ"/>
              </w:rPr>
            </w:pPr>
            <w:r w:rsidRPr="00B02720">
              <w:t>Evacuation of personnel, if appropriate, is conducted according to regulatory requirements</w:t>
            </w:r>
          </w:p>
        </w:tc>
      </w:tr>
      <w:tr w:rsidTr="00510347">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B02720">
            <w:pPr>
              <w:pStyle w:val="BodyText"/>
              <w:rPr>
                <w:lang w:val="en-NZ"/>
              </w:rPr>
            </w:pPr>
            <w:r w:rsidRPr="00B02720">
              <w:t>3.4</w:t>
            </w:r>
          </w:p>
        </w:tc>
        <w:tc>
          <w:tcPr>
            <w:tcW w:w="6864" w:type="dxa"/>
            <w:tcBorders>
              <w:top w:val="nil"/>
              <w:left w:val="nil"/>
              <w:bottom w:val="nil"/>
              <w:right w:val="nil"/>
            </w:tcBorders>
            <w:tcMar>
              <w:top w:w="0" w:type="dxa"/>
              <w:left w:w="62" w:type="dxa"/>
              <w:bottom w:w="0" w:type="dxa"/>
              <w:right w:w="62" w:type="dxa"/>
            </w:tcMar>
          </w:tcPr>
          <w:p w:rsidR="00000000" w:rsidP="00B02720">
            <w:pPr>
              <w:pStyle w:val="BodyText"/>
              <w:rPr>
                <w:lang w:val="en-NZ"/>
              </w:rPr>
            </w:pPr>
            <w:r w:rsidRPr="00B02720">
              <w:t>Search and rescue operations are conducted using established marine firefighting best practice</w:t>
            </w:r>
          </w:p>
        </w:tc>
      </w:tr>
      <w:tr w:rsidTr="00510347">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B02720">
            <w:pPr>
              <w:pStyle w:val="BodyText"/>
              <w:rPr>
                <w:lang w:val="en-NZ"/>
              </w:rPr>
            </w:pPr>
            <w:r w:rsidRPr="00B02720">
              <w:t>3.5</w:t>
            </w:r>
          </w:p>
        </w:tc>
        <w:tc>
          <w:tcPr>
            <w:tcW w:w="6864" w:type="dxa"/>
            <w:tcBorders>
              <w:top w:val="nil"/>
              <w:left w:val="nil"/>
              <w:bottom w:val="nil"/>
              <w:right w:val="nil"/>
            </w:tcBorders>
            <w:tcMar>
              <w:top w:w="0" w:type="dxa"/>
              <w:left w:w="62" w:type="dxa"/>
              <w:bottom w:w="0" w:type="dxa"/>
              <w:right w:w="62" w:type="dxa"/>
            </w:tcMar>
          </w:tcPr>
          <w:p w:rsidR="00000000" w:rsidP="00B02720">
            <w:pPr>
              <w:pStyle w:val="BodyText"/>
              <w:rPr>
                <w:lang w:val="en-NZ"/>
              </w:rPr>
            </w:pPr>
            <w:r w:rsidRPr="00B02720">
              <w:t>Controlled ventilation techniques are correctly applied during fire suppression and rescue operations</w:t>
            </w:r>
          </w:p>
        </w:tc>
      </w:tr>
      <w:tr w:rsidTr="00510347">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B02720">
            <w:pPr>
              <w:pStyle w:val="BodyText"/>
              <w:rPr>
                <w:lang w:val="en-NZ"/>
              </w:rPr>
            </w:pPr>
            <w:r w:rsidRPr="00B02720">
              <w:t>3.6</w:t>
            </w:r>
          </w:p>
        </w:tc>
        <w:tc>
          <w:tcPr>
            <w:tcW w:w="6864" w:type="dxa"/>
            <w:tcBorders>
              <w:top w:val="nil"/>
              <w:left w:val="nil"/>
              <w:bottom w:val="nil"/>
              <w:right w:val="nil"/>
            </w:tcBorders>
            <w:tcMar>
              <w:top w:w="0" w:type="dxa"/>
              <w:left w:w="62" w:type="dxa"/>
              <w:bottom w:w="0" w:type="dxa"/>
              <w:right w:w="62" w:type="dxa"/>
            </w:tcMar>
          </w:tcPr>
          <w:p w:rsidR="00000000" w:rsidP="00B02720">
            <w:pPr>
              <w:pStyle w:val="BodyText"/>
              <w:rPr>
                <w:lang w:val="en-NZ"/>
              </w:rPr>
            </w:pPr>
            <w:r w:rsidRPr="00B02720">
              <w:t xml:space="preserve">Treatment of injured personnel is timely and </w:t>
            </w:r>
            <w:r w:rsidRPr="00B02720">
              <w:t xml:space="preserve">according to current best </w:t>
            </w:r>
            <w:r w:rsidRPr="00B02720">
              <w:t>casualty management practice</w:t>
            </w:r>
          </w:p>
        </w:tc>
      </w:tr>
      <w:tr w:rsidTr="00510347">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B02720">
            <w:pPr>
              <w:pStyle w:val="BodyText"/>
              <w:rPr>
                <w:lang w:val="en-NZ"/>
              </w:rPr>
            </w:pPr>
            <w:r w:rsidRPr="00B02720">
              <w:t>3.7</w:t>
            </w:r>
          </w:p>
        </w:tc>
        <w:tc>
          <w:tcPr>
            <w:tcW w:w="6864" w:type="dxa"/>
            <w:tcBorders>
              <w:top w:val="nil"/>
              <w:left w:val="nil"/>
              <w:bottom w:val="nil"/>
              <w:right w:val="nil"/>
            </w:tcBorders>
            <w:tcMar>
              <w:top w:w="0" w:type="dxa"/>
              <w:left w:w="62" w:type="dxa"/>
              <w:bottom w:w="0" w:type="dxa"/>
              <w:right w:w="62" w:type="dxa"/>
            </w:tcMar>
          </w:tcPr>
          <w:p w:rsidR="00000000" w:rsidP="00B02720">
            <w:pPr>
              <w:pStyle w:val="BodyText"/>
              <w:rPr>
                <w:lang w:val="en-NZ"/>
              </w:rPr>
            </w:pPr>
            <w:r w:rsidRPr="00B02720">
              <w:t>Operational tactics are monitored for their effectiveness and adjusted when required to ensure best outcomes</w:t>
            </w:r>
          </w:p>
        </w:tc>
      </w:tr>
      <w:tr w:rsidTr="00510347">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B02720">
            <w:pPr>
              <w:pStyle w:val="BodyText"/>
              <w:rPr>
                <w:lang w:val="en-NZ"/>
              </w:rPr>
            </w:pPr>
            <w:r w:rsidRPr="00B02720">
              <w:t>3.8</w:t>
            </w:r>
          </w:p>
        </w:tc>
        <w:tc>
          <w:tcPr>
            <w:tcW w:w="6864" w:type="dxa"/>
            <w:tcBorders>
              <w:top w:val="nil"/>
              <w:left w:val="nil"/>
              <w:bottom w:val="nil"/>
              <w:right w:val="nil"/>
            </w:tcBorders>
            <w:tcMar>
              <w:top w:w="0" w:type="dxa"/>
              <w:left w:w="62" w:type="dxa"/>
              <w:bottom w:w="0" w:type="dxa"/>
              <w:right w:w="62" w:type="dxa"/>
            </w:tcMar>
          </w:tcPr>
          <w:p w:rsidR="00000000" w:rsidP="00B02720">
            <w:pPr>
              <w:pStyle w:val="BodyText"/>
              <w:rPr>
                <w:lang w:val="en-NZ"/>
              </w:rPr>
            </w:pPr>
            <w:r w:rsidRPr="00B02720">
              <w:t>Operational tactics are monitored to ensure vessel stability and integrity is maintained</w:t>
            </w:r>
          </w:p>
        </w:tc>
      </w:tr>
      <w:tr w:rsidTr="00510347">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B02720">
            <w:pPr>
              <w:pStyle w:val="BodyText"/>
              <w:rPr>
                <w:lang w:val="en-NZ"/>
              </w:rPr>
            </w:pPr>
            <w:r w:rsidRPr="00B02720">
              <w:t>3.9</w:t>
            </w:r>
          </w:p>
        </w:tc>
        <w:tc>
          <w:tcPr>
            <w:tcW w:w="6864" w:type="dxa"/>
            <w:tcBorders>
              <w:top w:val="nil"/>
              <w:left w:val="nil"/>
              <w:bottom w:val="nil"/>
              <w:right w:val="nil"/>
            </w:tcBorders>
            <w:tcMar>
              <w:top w:w="0" w:type="dxa"/>
              <w:left w:w="62" w:type="dxa"/>
              <w:bottom w:w="0" w:type="dxa"/>
              <w:right w:w="62" w:type="dxa"/>
            </w:tcMar>
          </w:tcPr>
          <w:p w:rsidR="00000000" w:rsidP="00B02720">
            <w:pPr>
              <w:pStyle w:val="BodyText"/>
              <w:rPr>
                <w:lang w:val="en-NZ"/>
              </w:rPr>
            </w:pPr>
            <w:r w:rsidRPr="00B02720">
              <w:t>All shore-side involvement in an on-board fire emergency is coordinated and monitored effectively</w:t>
            </w:r>
          </w:p>
        </w:tc>
      </w:tr>
      <w:tr w:rsidTr="00510347">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B02720" w:rsidP="00B02720">
            <w:pPr>
              <w:pStyle w:val="BodyText"/>
            </w:pPr>
            <w:r w:rsidRPr="00B02720">
              <w:rPr>
                <w:rStyle w:val="SpecialBold"/>
              </w:rPr>
              <w:t>4</w:t>
            </w:r>
          </w:p>
        </w:tc>
        <w:tc>
          <w:tcPr>
            <w:tcW w:w="1899" w:type="dxa"/>
            <w:vMerge w:val="restart"/>
            <w:tcBorders>
              <w:top w:val="nil"/>
              <w:left w:val="nil"/>
              <w:bottom w:val="nil"/>
              <w:right w:val="nil"/>
            </w:tcBorders>
            <w:tcMar>
              <w:top w:w="0" w:type="dxa"/>
              <w:left w:w="62" w:type="dxa"/>
              <w:bottom w:w="0" w:type="dxa"/>
              <w:right w:w="62" w:type="dxa"/>
            </w:tcMar>
          </w:tcPr>
          <w:p w:rsidR="00000000" w:rsidP="00B02720">
            <w:pPr>
              <w:pStyle w:val="BodyText"/>
              <w:rPr>
                <w:lang w:val="en-NZ"/>
              </w:rPr>
            </w:pPr>
            <w:r w:rsidRPr="00B02720">
              <w:rPr>
                <w:rStyle w:val="SpecialBold"/>
              </w:rPr>
              <w:t>Manage post-fire activities</w:t>
            </w:r>
          </w:p>
        </w:tc>
        <w:tc>
          <w:tcPr>
            <w:tcW w:w="584" w:type="dxa"/>
            <w:tcBorders>
              <w:top w:val="nil"/>
              <w:left w:val="nil"/>
              <w:bottom w:val="nil"/>
              <w:right w:val="nil"/>
            </w:tcBorders>
            <w:tcMar>
              <w:top w:w="0" w:type="dxa"/>
              <w:left w:w="62" w:type="dxa"/>
              <w:bottom w:w="0" w:type="dxa"/>
              <w:right w:w="62" w:type="dxa"/>
            </w:tcMar>
          </w:tcPr>
          <w:p w:rsidR="00000000" w:rsidP="00B02720">
            <w:pPr>
              <w:pStyle w:val="BodyText"/>
              <w:rPr>
                <w:lang w:val="en-NZ"/>
              </w:rPr>
            </w:pPr>
            <w:r w:rsidRPr="00B02720">
              <w:t>4.1</w:t>
            </w:r>
          </w:p>
        </w:tc>
        <w:tc>
          <w:tcPr>
            <w:tcW w:w="6864" w:type="dxa"/>
            <w:tcBorders>
              <w:top w:val="nil"/>
              <w:left w:val="nil"/>
              <w:bottom w:val="nil"/>
              <w:right w:val="nil"/>
            </w:tcBorders>
            <w:tcMar>
              <w:top w:w="0" w:type="dxa"/>
              <w:left w:w="62" w:type="dxa"/>
              <w:bottom w:w="0" w:type="dxa"/>
              <w:right w:w="62" w:type="dxa"/>
            </w:tcMar>
          </w:tcPr>
          <w:p w:rsidR="00000000" w:rsidP="00B02720">
            <w:pPr>
              <w:pStyle w:val="BodyText"/>
              <w:rPr>
                <w:lang w:val="en-NZ"/>
              </w:rPr>
            </w:pPr>
            <w:r w:rsidRPr="00B02720">
              <w:t>Fire watch is coordinated t</w:t>
            </w:r>
            <w:r w:rsidRPr="00B02720">
              <w:t>o prevent re-ignition</w:t>
            </w:r>
          </w:p>
        </w:tc>
      </w:tr>
      <w:tr w:rsidTr="00510347">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B02720">
            <w:pPr>
              <w:pStyle w:val="BodyText"/>
              <w:rPr>
                <w:lang w:val="en-NZ"/>
              </w:rPr>
            </w:pPr>
            <w:r w:rsidRPr="00B02720">
              <w:t>4.2</w:t>
            </w:r>
          </w:p>
        </w:tc>
        <w:tc>
          <w:tcPr>
            <w:tcW w:w="6864" w:type="dxa"/>
            <w:tcBorders>
              <w:top w:val="nil"/>
              <w:left w:val="nil"/>
              <w:bottom w:val="nil"/>
              <w:right w:val="nil"/>
            </w:tcBorders>
            <w:tcMar>
              <w:top w:w="0" w:type="dxa"/>
              <w:left w:w="62" w:type="dxa"/>
              <w:bottom w:w="0" w:type="dxa"/>
              <w:right w:w="62" w:type="dxa"/>
            </w:tcMar>
          </w:tcPr>
          <w:p w:rsidR="00000000" w:rsidP="00B02720">
            <w:pPr>
              <w:pStyle w:val="BodyText"/>
              <w:rPr>
                <w:lang w:val="en-NZ"/>
              </w:rPr>
            </w:pPr>
            <w:r w:rsidRPr="00B02720">
              <w:t>Fire affected area is secured prior to investigation according to regulatory and organisational requirements</w:t>
            </w:r>
          </w:p>
        </w:tc>
      </w:tr>
      <w:tr w:rsidTr="00510347">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B02720">
            <w:pPr>
              <w:pStyle w:val="BodyText"/>
              <w:rPr>
                <w:lang w:val="en-NZ"/>
              </w:rPr>
            </w:pPr>
            <w:r w:rsidRPr="00B02720">
              <w:t>4.3</w:t>
            </w:r>
          </w:p>
        </w:tc>
        <w:tc>
          <w:tcPr>
            <w:tcW w:w="6864" w:type="dxa"/>
            <w:tcBorders>
              <w:top w:val="nil"/>
              <w:left w:val="nil"/>
              <w:bottom w:val="nil"/>
              <w:right w:val="nil"/>
            </w:tcBorders>
            <w:tcMar>
              <w:top w:w="0" w:type="dxa"/>
              <w:left w:w="62" w:type="dxa"/>
              <w:bottom w:w="0" w:type="dxa"/>
              <w:right w:w="62" w:type="dxa"/>
            </w:tcMar>
          </w:tcPr>
          <w:p w:rsidR="00000000" w:rsidP="00B02720">
            <w:pPr>
              <w:pStyle w:val="BodyText"/>
              <w:rPr>
                <w:lang w:val="en-NZ"/>
              </w:rPr>
            </w:pPr>
            <w:r w:rsidRPr="00B02720">
              <w:t xml:space="preserve">Equipment is </w:t>
            </w:r>
            <w:r w:rsidRPr="00B02720">
              <w:rPr>
                <w:rStyle w:val="BoldandItalics"/>
              </w:rPr>
              <w:t xml:space="preserve">restored </w:t>
            </w:r>
            <w:r w:rsidRPr="00B02720">
              <w:t>to operational condition where applicable</w:t>
            </w:r>
          </w:p>
        </w:tc>
      </w:tr>
      <w:tr w:rsidTr="00510347">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B02720">
            <w:pPr>
              <w:pStyle w:val="BodyText"/>
              <w:rPr>
                <w:lang w:val="en-NZ"/>
              </w:rPr>
            </w:pPr>
            <w:r w:rsidRPr="00B02720">
              <w:t>4.4</w:t>
            </w:r>
          </w:p>
        </w:tc>
        <w:tc>
          <w:tcPr>
            <w:tcW w:w="6864" w:type="dxa"/>
            <w:tcBorders>
              <w:top w:val="nil"/>
              <w:left w:val="nil"/>
              <w:bottom w:val="nil"/>
              <w:right w:val="nil"/>
            </w:tcBorders>
            <w:tcMar>
              <w:top w:w="0" w:type="dxa"/>
              <w:left w:w="62" w:type="dxa"/>
              <w:bottom w:w="0" w:type="dxa"/>
              <w:right w:w="62" w:type="dxa"/>
            </w:tcMar>
          </w:tcPr>
          <w:p w:rsidR="00000000" w:rsidP="00B02720">
            <w:pPr>
              <w:pStyle w:val="BodyText"/>
              <w:rPr>
                <w:lang w:val="en-NZ"/>
              </w:rPr>
            </w:pPr>
            <w:r w:rsidRPr="00B02720">
              <w:t>Cause of the fire is investigated and determined according to regulatory and organisational requirements</w:t>
            </w:r>
          </w:p>
        </w:tc>
      </w:tr>
      <w:tr w:rsidTr="00510347">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B02720">
            <w:pPr>
              <w:pStyle w:val="BodyText"/>
              <w:rPr>
                <w:lang w:val="en-NZ"/>
              </w:rPr>
            </w:pPr>
            <w:r w:rsidRPr="00B02720">
              <w:t>4.5</w:t>
            </w:r>
          </w:p>
        </w:tc>
        <w:tc>
          <w:tcPr>
            <w:tcW w:w="6864" w:type="dxa"/>
            <w:tcBorders>
              <w:top w:val="nil"/>
              <w:left w:val="nil"/>
              <w:bottom w:val="nil"/>
              <w:right w:val="nil"/>
            </w:tcBorders>
            <w:tcMar>
              <w:top w:w="0" w:type="dxa"/>
              <w:left w:w="62" w:type="dxa"/>
              <w:bottom w:w="0" w:type="dxa"/>
              <w:right w:w="62" w:type="dxa"/>
            </w:tcMar>
          </w:tcPr>
          <w:p w:rsidR="00000000" w:rsidRPr="00B02720" w:rsidP="00B02720">
            <w:pPr>
              <w:pStyle w:val="BodyText"/>
            </w:pPr>
            <w:r w:rsidRPr="00B02720">
              <w:t>Incident reports are completed according to regulatory and organisational requirements</w:t>
            </w:r>
          </w:p>
        </w:tc>
      </w:tr>
    </w:tbl>
    <w:p w:rsidR="00000000" w:rsidRPr="00B02720" w:rsidP="00B02720">
      <w:pPr>
        <w:pStyle w:val="BodyText"/>
      </w:pPr>
    </w:p>
    <w:p w:rsidR="00000000" w:rsidRPr="00B02720" w:rsidP="00B02720">
      <w:pPr>
        <w:pStyle w:val="AllowPageBreak"/>
      </w:pPr>
    </w:p>
    <w:p w:rsidR="00000000" w:rsidRPr="00B02720" w:rsidP="00B02720">
      <w:pPr>
        <w:pStyle w:val="Heading1"/>
      </w:pPr>
      <w:bookmarkStart w:id="9" w:name="O_537051"/>
      <w:bookmarkEnd w:id="9"/>
      <w:r w:rsidRPr="00B02720">
        <w:t>Required Skills and Knowledge</w:t>
      </w:r>
    </w:p>
    <w:tbl>
      <w:tblPr>
        <w:tblW w:w="0" w:type="auto"/>
        <w:tblCellMar>
          <w:left w:w="62" w:type="dxa"/>
          <w:right w:w="62" w:type="dxa"/>
        </w:tblCellMar>
        <w:tblLook w:val="0000"/>
      </w:tblPr>
      <w:tblGrid>
        <w:gridCol w:w="9196"/>
      </w:tblGrid>
      <w:tr w:rsidTr="0051034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2720">
            <w:pPr>
              <w:pStyle w:val="BodyText"/>
              <w:rPr>
                <w:lang w:val="en-NZ"/>
              </w:rPr>
            </w:pPr>
            <w:r w:rsidRPr="00B02720">
              <w:t>This section describes the skills and knowledge required for this unit.</w:t>
            </w:r>
          </w:p>
        </w:tc>
      </w:tr>
      <w:tr w:rsidTr="0051034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2720">
            <w:pPr>
              <w:pStyle w:val="BodyText"/>
              <w:rPr>
                <w:lang w:val="en-NZ"/>
              </w:rPr>
            </w:pPr>
            <w:r w:rsidRPr="00B02720">
              <w:rPr>
                <w:rStyle w:val="SpecialBold"/>
              </w:rPr>
              <w:t>Required Skills:</w:t>
            </w:r>
          </w:p>
        </w:tc>
      </w:tr>
      <w:tr w:rsidTr="0051034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2720">
            <w:pPr>
              <w:pStyle w:val="ListBullet"/>
              <w:rPr>
                <w:lang w:val="en-NZ"/>
              </w:rPr>
            </w:pPr>
            <w:r w:rsidRPr="00B02720">
              <w:t>Communicate effectively with crew and passengers during fire emergencies</w:t>
            </w:r>
          </w:p>
        </w:tc>
      </w:tr>
      <w:tr w:rsidTr="0051034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2720">
            <w:pPr>
              <w:pStyle w:val="ListBullet"/>
              <w:rPr>
                <w:lang w:val="en-NZ"/>
              </w:rPr>
            </w:pPr>
            <w:r w:rsidRPr="00B02720">
              <w:t>Determine the type and extent of the fire and initiate appropriate, timely, actions</w:t>
            </w:r>
          </w:p>
        </w:tc>
      </w:tr>
      <w:tr w:rsidTr="0051034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2720">
            <w:pPr>
              <w:pStyle w:val="ListBullet"/>
              <w:rPr>
                <w:lang w:val="en-NZ"/>
              </w:rPr>
            </w:pPr>
            <w:r w:rsidRPr="00B02720">
              <w:t>Evaluate effectiveness of firefighting activities and tactics during a fire emergency</w:t>
            </w:r>
          </w:p>
        </w:tc>
      </w:tr>
      <w:tr w:rsidTr="0051034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2720">
            <w:pPr>
              <w:pStyle w:val="ListBullet"/>
              <w:rPr>
                <w:lang w:val="en-NZ"/>
              </w:rPr>
            </w:pPr>
            <w:r w:rsidRPr="00B02720">
              <w:t>Initiate appropriate action and provide solutions to problems with firefighting equipment and operations during a fire emergency</w:t>
            </w:r>
          </w:p>
        </w:tc>
      </w:tr>
      <w:tr w:rsidTr="0051034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2720">
            <w:pPr>
              <w:pStyle w:val="ListBullet"/>
              <w:rPr>
                <w:lang w:val="en-NZ"/>
              </w:rPr>
            </w:pPr>
            <w:r w:rsidRPr="00B02720">
              <w:t>Liaise with shore-based emergency org</w:t>
            </w:r>
            <w:r w:rsidRPr="00B02720">
              <w:t xml:space="preserve">anisations during a fire emergency </w:t>
            </w:r>
          </w:p>
        </w:tc>
      </w:tr>
      <w:tr w:rsidTr="0051034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2720">
            <w:pPr>
              <w:pStyle w:val="ListBullet"/>
              <w:rPr>
                <w:lang w:val="en-NZ"/>
              </w:rPr>
            </w:pPr>
            <w:r w:rsidRPr="00B02720">
              <w:t>Manage fire prevention and suppression activities on a vessel</w:t>
            </w:r>
          </w:p>
        </w:tc>
      </w:tr>
      <w:tr w:rsidTr="0051034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2720">
            <w:pPr>
              <w:pStyle w:val="ListBullet"/>
              <w:rPr>
                <w:lang w:val="en-NZ"/>
              </w:rPr>
            </w:pPr>
            <w:r w:rsidRPr="00B02720">
              <w:t>Manage on-board firefighting training for shipboard firefighting teams</w:t>
            </w:r>
          </w:p>
        </w:tc>
      </w:tr>
      <w:tr w:rsidTr="0051034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2720">
            <w:pPr>
              <w:pStyle w:val="ListBullet"/>
              <w:rPr>
                <w:lang w:val="en-NZ"/>
              </w:rPr>
            </w:pPr>
            <w:r w:rsidRPr="00B02720">
              <w:t>Manage shipboard firefighting teams and their tactical activities during a fire e</w:t>
            </w:r>
            <w:r w:rsidRPr="00B02720">
              <w:t>mergency</w:t>
            </w:r>
          </w:p>
        </w:tc>
      </w:tr>
      <w:tr w:rsidTr="0051034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2720">
            <w:pPr>
              <w:pStyle w:val="ListBullet"/>
              <w:rPr>
                <w:lang w:val="en-NZ"/>
              </w:rPr>
            </w:pPr>
            <w:r w:rsidRPr="00B02720">
              <w:t>Manage the maintenance of firefighting equipment and systems</w:t>
            </w:r>
          </w:p>
        </w:tc>
      </w:tr>
      <w:tr w:rsidTr="0051034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2720">
            <w:pPr>
              <w:pStyle w:val="ListBullet"/>
              <w:rPr>
                <w:lang w:val="en-NZ"/>
              </w:rPr>
            </w:pPr>
            <w:r w:rsidRPr="00B02720">
              <w:t>Provide leadership to shipboard personnel and passengers during a fire emergency</w:t>
            </w:r>
          </w:p>
        </w:tc>
      </w:tr>
      <w:tr w:rsidTr="00510347">
        <w:tblPrEx>
          <w:tblW w:w="0" w:type="auto"/>
          <w:tblCellMar>
            <w:left w:w="62" w:type="dxa"/>
            <w:right w:w="62" w:type="dxa"/>
          </w:tblCellMar>
          <w:tblLook w:val="0000"/>
        </w:tblPrEx>
        <w:trPr>
          <w:trHeight w:val="268"/>
        </w:trPr>
        <w:tc>
          <w:tcPr>
            <w:tcW w:w="0" w:type="auto"/>
            <w:tcBorders>
              <w:top w:val="nil"/>
              <w:left w:val="nil"/>
              <w:bottom w:val="nil"/>
              <w:right w:val="nil"/>
            </w:tcBorders>
            <w:tcMar>
              <w:top w:w="0" w:type="dxa"/>
              <w:left w:w="62" w:type="dxa"/>
              <w:bottom w:w="0" w:type="dxa"/>
              <w:right w:w="62" w:type="dxa"/>
            </w:tcMar>
          </w:tcPr>
          <w:p w:rsidR="00000000" w:rsidRPr="00B02720" w:rsidP="00B02720">
            <w:pPr>
              <w:pStyle w:val="ListBullet"/>
            </w:pPr>
            <w:r w:rsidRPr="00B02720">
              <w:t>Recognise and interpret fire alarms and initiate appropriate response</w:t>
            </w:r>
          </w:p>
        </w:tc>
      </w:tr>
    </w:tbl>
    <w:p w:rsidR="00000000" w:rsidRPr="00B02720" w:rsidP="00B02720">
      <w:pPr>
        <w:pStyle w:val="BodyText"/>
      </w:pPr>
    </w:p>
    <w:tbl>
      <w:tblPr>
        <w:tblW w:w="0" w:type="auto"/>
        <w:tblCellMar>
          <w:left w:w="62" w:type="dxa"/>
          <w:right w:w="62" w:type="dxa"/>
        </w:tblCellMar>
        <w:tblLook w:val="0000"/>
      </w:tblPr>
      <w:tblGrid>
        <w:gridCol w:w="9196"/>
      </w:tblGrid>
      <w:tr w:rsidTr="0051034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2720">
            <w:pPr>
              <w:pStyle w:val="BodyText"/>
              <w:rPr>
                <w:lang w:val="en-NZ"/>
              </w:rPr>
            </w:pPr>
            <w:r w:rsidRPr="00B02720">
              <w:rPr>
                <w:rStyle w:val="SpecialBold"/>
              </w:rPr>
              <w:t>Required Knowledge:</w:t>
            </w:r>
          </w:p>
        </w:tc>
      </w:tr>
      <w:tr w:rsidTr="0051034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2720">
            <w:pPr>
              <w:pStyle w:val="ListBullet"/>
              <w:rPr>
                <w:lang w:val="en-NZ"/>
              </w:rPr>
            </w:pPr>
            <w:r w:rsidRPr="00B02720">
              <w:t>Assessment of cause of incidents involving fire</w:t>
            </w:r>
          </w:p>
        </w:tc>
      </w:tr>
      <w:tr w:rsidTr="0051034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2720">
            <w:pPr>
              <w:pStyle w:val="ListBullet"/>
              <w:rPr>
                <w:lang w:val="en-NZ"/>
              </w:rPr>
            </w:pPr>
            <w:r w:rsidRPr="00B02720">
              <w:t>Chemistry of fire and its relationship to combustible materials typically found on vessels</w:t>
            </w:r>
          </w:p>
        </w:tc>
      </w:tr>
      <w:tr w:rsidTr="0051034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2720">
            <w:pPr>
              <w:pStyle w:val="ListBullet"/>
              <w:rPr>
                <w:lang w:val="en-NZ"/>
              </w:rPr>
            </w:pPr>
            <w:r w:rsidRPr="00B02720">
              <w:t>Communication and coordination during firefighting operations</w:t>
            </w:r>
          </w:p>
        </w:tc>
      </w:tr>
      <w:tr w:rsidTr="0051034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2720">
            <w:pPr>
              <w:pStyle w:val="ListBullet"/>
              <w:rPr>
                <w:lang w:val="en-NZ"/>
              </w:rPr>
            </w:pPr>
            <w:r w:rsidRPr="00B02720">
              <w:t>Composition and allocation of personnel to fire parties</w:t>
            </w:r>
          </w:p>
        </w:tc>
      </w:tr>
      <w:tr w:rsidTr="0051034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2720">
            <w:pPr>
              <w:pStyle w:val="ListBullet"/>
              <w:rPr>
                <w:lang w:val="en-NZ"/>
              </w:rPr>
            </w:pPr>
            <w:r w:rsidRPr="00B02720">
              <w:t>Control of fuel and electrical systems</w:t>
            </w:r>
          </w:p>
        </w:tc>
      </w:tr>
      <w:tr w:rsidTr="0051034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2720">
            <w:pPr>
              <w:pStyle w:val="ListBullet"/>
              <w:rPr>
                <w:lang w:val="en-NZ"/>
              </w:rPr>
            </w:pPr>
            <w:r w:rsidRPr="00B02720">
              <w:t>Different classes of fire and the most appropriate extinguishing agents, application equipment and methods of extinguishment for each</w:t>
            </w:r>
          </w:p>
        </w:tc>
      </w:tr>
      <w:tr w:rsidTr="0051034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2720">
            <w:pPr>
              <w:pStyle w:val="ListBullet"/>
              <w:rPr>
                <w:lang w:val="en-NZ"/>
              </w:rPr>
            </w:pPr>
            <w:r w:rsidRPr="00B02720">
              <w:t>Fire-detection system</w:t>
            </w:r>
            <w:r w:rsidRPr="00B02720">
              <w:t>s: fixed fire-extinguishing systems; portable and mobile fire-extinguishing systems, including appliances, pumps and rescue, salvage, life-support, personal protective and communication equipment</w:t>
            </w:r>
          </w:p>
        </w:tc>
      </w:tr>
      <w:tr w:rsidTr="0051034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2720">
            <w:pPr>
              <w:pStyle w:val="ListBullet"/>
              <w:rPr>
                <w:lang w:val="en-NZ"/>
              </w:rPr>
            </w:pPr>
            <w:r w:rsidRPr="00B02720">
              <w:t>Fire precautions and hazards associated with the storage a</w:t>
            </w:r>
            <w:r w:rsidRPr="00B02720">
              <w:t>nd handling of materials (paints etc.)</w:t>
            </w:r>
          </w:p>
        </w:tc>
      </w:tr>
      <w:tr w:rsidTr="0051034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2720">
            <w:pPr>
              <w:pStyle w:val="ListBullet"/>
              <w:rPr>
                <w:lang w:val="en-NZ"/>
              </w:rPr>
            </w:pPr>
            <w:r w:rsidRPr="00B02720">
              <w:t>Firefighting procedures at sea and in port, with particular emphasis on organisation, tactics and command</w:t>
            </w:r>
          </w:p>
        </w:tc>
      </w:tr>
      <w:tr w:rsidTr="0051034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2720">
            <w:pPr>
              <w:pStyle w:val="ListBullet"/>
              <w:rPr>
                <w:lang w:val="en-NZ"/>
              </w:rPr>
            </w:pPr>
            <w:r w:rsidRPr="00B02720">
              <w:t>Firefighting process hazards (dry distillation, chemical reactions, boiler uptake fires etc.)</w:t>
            </w:r>
          </w:p>
        </w:tc>
      </w:tr>
      <w:tr w:rsidTr="0051034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2720">
            <w:pPr>
              <w:pStyle w:val="ListBullet"/>
              <w:rPr>
                <w:lang w:val="en-NZ"/>
              </w:rPr>
            </w:pPr>
            <w:r w:rsidRPr="00B02720">
              <w:t>Firefighting involving dangerous goods</w:t>
            </w:r>
          </w:p>
        </w:tc>
      </w:tr>
      <w:tr w:rsidTr="0051034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2720">
            <w:pPr>
              <w:pStyle w:val="ListBullet"/>
              <w:rPr>
                <w:lang w:val="en-NZ"/>
              </w:rPr>
            </w:pPr>
            <w:r w:rsidRPr="00B02720">
              <w:t>Implications of shipboard firefighting management in port and the procedures that must be followed to comply with port and state regulations</w:t>
            </w:r>
          </w:p>
        </w:tc>
      </w:tr>
      <w:tr w:rsidTr="0051034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2720">
            <w:pPr>
              <w:pStyle w:val="ListBullet"/>
              <w:rPr>
                <w:lang w:val="en-NZ"/>
              </w:rPr>
            </w:pPr>
            <w:r w:rsidRPr="00B02720">
              <w:t>Importance of maintenance of fire detection and firefighting equipment o</w:t>
            </w:r>
            <w:r w:rsidRPr="00B02720">
              <w:t>n board vessels</w:t>
            </w:r>
          </w:p>
        </w:tc>
      </w:tr>
      <w:tr w:rsidTr="0051034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2720">
            <w:pPr>
              <w:pStyle w:val="ListBullet"/>
              <w:rPr>
                <w:lang w:val="en-NZ"/>
              </w:rPr>
            </w:pPr>
            <w:r w:rsidRPr="00B02720">
              <w:t>Life and health risks associated with fires on vessels</w:t>
            </w:r>
          </w:p>
        </w:tc>
      </w:tr>
      <w:tr w:rsidTr="0051034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2720">
            <w:pPr>
              <w:pStyle w:val="ListBullet"/>
              <w:rPr>
                <w:lang w:val="en-NZ"/>
              </w:rPr>
            </w:pPr>
            <w:r w:rsidRPr="00B02720">
              <w:t>Management and control of injured persons</w:t>
            </w:r>
          </w:p>
        </w:tc>
      </w:tr>
      <w:tr w:rsidTr="0051034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2720">
            <w:pPr>
              <w:pStyle w:val="ListBullet"/>
              <w:rPr>
                <w:lang w:val="en-NZ"/>
              </w:rPr>
            </w:pPr>
            <w:r w:rsidRPr="00B02720">
              <w:t>Maritime communication techniques applicable to the management of fire prevention and firefighting activities on board a vessel</w:t>
            </w:r>
          </w:p>
        </w:tc>
      </w:tr>
      <w:tr w:rsidTr="0051034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2720">
            <w:pPr>
              <w:pStyle w:val="ListBullet"/>
              <w:rPr>
                <w:lang w:val="en-NZ"/>
              </w:rPr>
            </w:pPr>
            <w:r w:rsidRPr="00B02720">
              <w:t>Methods</w:t>
            </w:r>
            <w:r w:rsidRPr="00B02720">
              <w:t xml:space="preserve"> for checking and replacing consumable materials in fire detection, fire-fighting equipment and systems on board vessels</w:t>
            </w:r>
          </w:p>
        </w:tc>
      </w:tr>
      <w:tr w:rsidTr="0051034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2720">
            <w:pPr>
              <w:pStyle w:val="ListBullet"/>
              <w:rPr>
                <w:lang w:val="en-NZ"/>
              </w:rPr>
            </w:pPr>
            <w:r w:rsidRPr="00B02720">
              <w:t>Preparation of contingency plans</w:t>
            </w:r>
          </w:p>
        </w:tc>
      </w:tr>
      <w:tr w:rsidTr="0051034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2720">
            <w:pPr>
              <w:pStyle w:val="ListBullet"/>
              <w:rPr>
                <w:lang w:val="en-NZ"/>
              </w:rPr>
            </w:pPr>
            <w:r w:rsidRPr="00B02720">
              <w:t>Principle of operation of fixed fire suppression systems</w:t>
            </w:r>
          </w:p>
        </w:tc>
      </w:tr>
      <w:tr w:rsidTr="0051034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2720">
            <w:pPr>
              <w:pStyle w:val="ListBullet"/>
              <w:rPr>
                <w:lang w:val="en-NZ"/>
              </w:rPr>
            </w:pPr>
            <w:r w:rsidRPr="00B02720">
              <w:t>Principles underlying the spread of fire and its extinguishment</w:t>
            </w:r>
          </w:p>
        </w:tc>
      </w:tr>
      <w:tr w:rsidTr="0051034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2720">
            <w:pPr>
              <w:pStyle w:val="ListBullet"/>
              <w:rPr>
                <w:lang w:val="en-NZ"/>
              </w:rPr>
            </w:pPr>
            <w:r w:rsidRPr="00B02720">
              <w:t>Problems likely to be encountered during the management of a shipboard fire and related tactics and solutions that can be applied</w:t>
            </w:r>
          </w:p>
        </w:tc>
      </w:tr>
      <w:tr w:rsidTr="0051034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2720">
            <w:pPr>
              <w:pStyle w:val="ListBullet"/>
              <w:rPr>
                <w:lang w:val="en-NZ"/>
              </w:rPr>
            </w:pPr>
            <w:r w:rsidRPr="00B02720">
              <w:t>Procedure for safe activation of fixed firefighting system</w:t>
            </w:r>
            <w:r w:rsidRPr="00B02720">
              <w:t>s</w:t>
            </w:r>
          </w:p>
        </w:tc>
      </w:tr>
      <w:tr w:rsidTr="0051034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2720">
            <w:pPr>
              <w:pStyle w:val="ListBullet"/>
              <w:rPr>
                <w:lang w:val="en-NZ"/>
              </w:rPr>
            </w:pPr>
            <w:r w:rsidRPr="00B02720">
              <w:t>Procedures for coordination of shore-based firefighters</w:t>
            </w:r>
          </w:p>
        </w:tc>
      </w:tr>
      <w:tr w:rsidTr="0051034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2720">
            <w:pPr>
              <w:pStyle w:val="ListBullet"/>
              <w:rPr>
                <w:lang w:val="en-NZ"/>
              </w:rPr>
            </w:pPr>
            <w:r w:rsidRPr="00B02720">
              <w:t>Relevant regulations, codes of practice, policies and procedures relating to the maintenance of fire detection, firefighting equipment and systems on board vessels</w:t>
            </w:r>
          </w:p>
        </w:tc>
      </w:tr>
      <w:tr w:rsidTr="0051034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2720">
            <w:pPr>
              <w:pStyle w:val="ListBullet"/>
              <w:rPr>
                <w:lang w:val="en-NZ"/>
              </w:rPr>
            </w:pPr>
            <w:r w:rsidRPr="00B02720">
              <w:t>Requirements for on-board fi</w:t>
            </w:r>
            <w:r w:rsidRPr="00B02720">
              <w:t>refighting training</w:t>
            </w:r>
          </w:p>
        </w:tc>
      </w:tr>
      <w:tr w:rsidTr="0051034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2720">
            <w:pPr>
              <w:pStyle w:val="ListBullet"/>
              <w:rPr>
                <w:lang w:val="en-NZ"/>
              </w:rPr>
            </w:pPr>
            <w:r w:rsidRPr="00B02720">
              <w:t>Requirements for statutory and classification surveys</w:t>
            </w:r>
          </w:p>
        </w:tc>
      </w:tr>
      <w:tr w:rsidTr="0051034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2720">
            <w:pPr>
              <w:pStyle w:val="ListBullet"/>
              <w:rPr>
                <w:lang w:val="en-NZ"/>
              </w:rPr>
            </w:pPr>
            <w:r w:rsidRPr="00B02720">
              <w:t>Safety data sheets/material safety data sheets relevant to the various products and substances carried on vessels</w:t>
            </w:r>
          </w:p>
        </w:tc>
      </w:tr>
      <w:tr w:rsidTr="0051034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2720">
            <w:pPr>
              <w:pStyle w:val="ListBullet"/>
              <w:rPr>
                <w:lang w:val="en-NZ"/>
              </w:rPr>
            </w:pPr>
            <w:r w:rsidRPr="00B02720">
              <w:t>Strategies and tactics for control of fires in various parts of the vessel</w:t>
            </w:r>
          </w:p>
        </w:tc>
      </w:tr>
      <w:tr w:rsidTr="0051034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2720">
            <w:pPr>
              <w:pStyle w:val="ListBullet"/>
              <w:rPr>
                <w:lang w:val="en-NZ"/>
              </w:rPr>
            </w:pPr>
            <w:r w:rsidRPr="00B02720">
              <w:t>Strategies for rapid briefing of shore-based emergency organisations using the vessel fire control plan</w:t>
            </w:r>
          </w:p>
        </w:tc>
      </w:tr>
      <w:tr w:rsidTr="0051034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2720">
            <w:pPr>
              <w:pStyle w:val="ListBullet"/>
              <w:rPr>
                <w:lang w:val="en-NZ"/>
              </w:rPr>
            </w:pPr>
            <w:r w:rsidRPr="00B02720">
              <w:t>Types of fire detection, firefighting equipment and systems used on vesse</w:t>
            </w:r>
            <w:r w:rsidRPr="00B02720">
              <w:t>ls, their features, principles of operation, the procedures for their use and remediating problems that can occur during use</w:t>
            </w:r>
          </w:p>
        </w:tc>
      </w:tr>
      <w:tr w:rsidTr="0051034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2720">
            <w:pPr>
              <w:pStyle w:val="ListBullet"/>
              <w:rPr>
                <w:lang w:val="en-NZ"/>
              </w:rPr>
            </w:pPr>
            <w:r w:rsidRPr="00B02720">
              <w:t>Typical actions of passengers in a shipboard fire</w:t>
            </w:r>
          </w:p>
        </w:tc>
      </w:tr>
      <w:tr w:rsidTr="0051034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2720">
            <w:pPr>
              <w:pStyle w:val="ListBullet"/>
              <w:rPr>
                <w:lang w:val="en-NZ"/>
              </w:rPr>
            </w:pPr>
            <w:r w:rsidRPr="00B02720">
              <w:t>Use of water for fire extinguishing, the effect on ship stability, precaution</w:t>
            </w:r>
            <w:r w:rsidRPr="00B02720">
              <w:t>s and corrective procedures</w:t>
            </w:r>
          </w:p>
        </w:tc>
      </w:tr>
      <w:tr w:rsidTr="0051034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2720">
            <w:pPr>
              <w:pStyle w:val="ListBullet"/>
              <w:rPr>
                <w:lang w:val="en-NZ"/>
              </w:rPr>
            </w:pPr>
            <w:r w:rsidRPr="00B02720">
              <w:t>Ventilation control, including smoke extraction</w:t>
            </w:r>
          </w:p>
        </w:tc>
      </w:tr>
      <w:tr w:rsidTr="0051034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02720" w:rsidP="00B02720">
            <w:pPr>
              <w:pStyle w:val="ListBullet"/>
            </w:pPr>
            <w:r w:rsidRPr="00B02720">
              <w:t>Work health and safety (WHS)/occupational health and safety (OHS) requirements and safe work practices</w:t>
            </w:r>
          </w:p>
        </w:tc>
      </w:tr>
    </w:tbl>
    <w:p w:rsidR="00510347" w:rsidP="00B02720">
      <w:pPr>
        <w:pStyle w:val="BodyText"/>
      </w:pPr>
    </w:p>
    <w:p w:rsidR="00510347" w:rsidP="00B02720">
      <w:pPr>
        <w:pStyle w:val="BodyText"/>
      </w:pPr>
    </w:p>
    <w:p w:rsidR="00000000" w:rsidRPr="00B02720" w:rsidP="00B02720">
      <w:pPr>
        <w:pStyle w:val="Heading1"/>
      </w:pPr>
      <w:bookmarkStart w:id="10" w:name="O_537050"/>
      <w:bookmarkEnd w:id="10"/>
      <w:r w:rsidRPr="00B02720">
        <w:t>Evidence Guide</w:t>
      </w:r>
    </w:p>
    <w:tbl>
      <w:tblPr>
        <w:tblW w:w="9499" w:type="dxa"/>
        <w:tblLayout w:type="fixed"/>
        <w:tblCellMar>
          <w:left w:w="62" w:type="dxa"/>
          <w:right w:w="62" w:type="dxa"/>
        </w:tblCellMar>
        <w:tblLook w:val="0000"/>
      </w:tblPr>
      <w:tblGrid>
        <w:gridCol w:w="3340"/>
        <w:gridCol w:w="6159"/>
      </w:tblGrid>
      <w:tr w:rsidTr="00B02720">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B02720">
            <w:pPr>
              <w:pStyle w:val="BodyText"/>
              <w:rPr>
                <w:lang w:val="en-NZ"/>
              </w:rPr>
            </w:pPr>
            <w:r w:rsidRPr="00B02720">
              <w:t>The evidence guide provides advice on assessment and must be read in conjunction with the performance criteria, the required skills and knowledge, the range statement and the Assessment Guidelines for the Training Package.</w:t>
            </w:r>
          </w:p>
        </w:tc>
      </w:tr>
      <w:tr w:rsidTr="00B02720">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B02720">
            <w:pPr>
              <w:pStyle w:val="BodyText"/>
              <w:rPr>
                <w:lang w:val="en-NZ"/>
              </w:rPr>
            </w:pPr>
            <w:r w:rsidRPr="00B02720">
              <w:rPr>
                <w:rStyle w:val="SpecialBold"/>
              </w:rPr>
              <w:t>Critical aspects for assessment</w:t>
            </w:r>
            <w:r w:rsidRPr="00B02720">
              <w:rPr>
                <w:rStyle w:val="SpecialBold"/>
              </w:rPr>
              <w:t xml:space="preserve"> and evidence required to demonstrate competency in this unit</w:t>
            </w:r>
          </w:p>
        </w:tc>
        <w:tc>
          <w:tcPr>
            <w:tcW w:w="6159" w:type="dxa"/>
            <w:tcBorders>
              <w:top w:val="nil"/>
              <w:left w:val="nil"/>
              <w:bottom w:val="nil"/>
              <w:right w:val="nil"/>
            </w:tcBorders>
            <w:tcMar>
              <w:top w:w="0" w:type="dxa"/>
              <w:left w:w="62" w:type="dxa"/>
              <w:bottom w:w="0" w:type="dxa"/>
              <w:right w:w="62" w:type="dxa"/>
            </w:tcMar>
          </w:tcPr>
          <w:p w:rsidR="00000000" w:rsidRPr="00B02720" w:rsidP="00B02720">
            <w:pPr>
              <w:pStyle w:val="BodyText"/>
            </w:pPr>
            <w:r w:rsidRPr="00B02720">
              <w:t>The evidence required to demonstrate competence in this unit must be relevant to and satisfy all of the requirements of the Elements, Performance Criteria, Required Skills, Required Knowledge an</w:t>
            </w:r>
            <w:r w:rsidRPr="00B02720">
              <w:t>d include:</w:t>
            </w:r>
          </w:p>
          <w:p w:rsidR="00000000" w:rsidRPr="00B02720" w:rsidP="00B02720">
            <w:pPr>
              <w:pStyle w:val="ListBullet"/>
            </w:pPr>
            <w:r w:rsidRPr="00B02720">
              <w:t>safeguarding personal safety during fire control activities at all times</w:t>
            </w:r>
          </w:p>
          <w:p w:rsidR="00000000" w:rsidRPr="00B02720" w:rsidP="00B02720">
            <w:pPr>
              <w:pStyle w:val="ListBullet"/>
            </w:pPr>
            <w:r w:rsidRPr="00B02720">
              <w:t>taking actions to control fires based on a full and accurate assessment of the incident, using all available sources of information</w:t>
            </w:r>
          </w:p>
          <w:p w:rsidR="00000000" w:rsidRPr="00B02720" w:rsidP="00B02720">
            <w:pPr>
              <w:pStyle w:val="ListBullet"/>
            </w:pPr>
            <w:r w:rsidRPr="00B02720">
              <w:t>transmitting information promptly, accu</w:t>
            </w:r>
            <w:r w:rsidRPr="00B02720">
              <w:t>rately, completely and clearly</w:t>
            </w:r>
          </w:p>
          <w:p w:rsidR="00000000" w:rsidP="00B02720">
            <w:pPr>
              <w:pStyle w:val="ListBullet"/>
              <w:rPr>
                <w:lang w:val="en-NZ"/>
              </w:rPr>
            </w:pPr>
            <w:r w:rsidRPr="00B02720">
              <w:t xml:space="preserve">ensuring order of priority, timing and sequence of actions are appropriate to the overall requirements of the incident and </w:t>
            </w:r>
            <w:r w:rsidRPr="00B02720">
              <w:t>minimise damage and potential damage to the vessel, injuries to personnel, and impairment of the opera</w:t>
            </w:r>
            <w:r w:rsidRPr="00B02720">
              <w:t>tional effectiveness of the vessel.</w:t>
            </w:r>
          </w:p>
        </w:tc>
      </w:tr>
      <w:tr w:rsidTr="00B02720">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B02720">
            <w:pPr>
              <w:pStyle w:val="BodyText"/>
              <w:rPr>
                <w:lang w:val="en-NZ"/>
              </w:rPr>
            </w:pPr>
            <w:r w:rsidRPr="00B02720">
              <w:rPr>
                <w:rStyle w:val="SpecialBold"/>
              </w:rPr>
              <w:t>Context of and specific resources for assessment</w:t>
            </w:r>
          </w:p>
        </w:tc>
        <w:tc>
          <w:tcPr>
            <w:tcW w:w="6159" w:type="dxa"/>
            <w:tcBorders>
              <w:top w:val="nil"/>
              <w:left w:val="nil"/>
              <w:bottom w:val="nil"/>
              <w:right w:val="nil"/>
            </w:tcBorders>
            <w:tcMar>
              <w:top w:w="0" w:type="dxa"/>
              <w:left w:w="62" w:type="dxa"/>
              <w:bottom w:w="0" w:type="dxa"/>
              <w:right w:w="62" w:type="dxa"/>
            </w:tcMar>
          </w:tcPr>
          <w:p w:rsidR="00000000" w:rsidRPr="00B02720" w:rsidP="00B02720">
            <w:pPr>
              <w:pStyle w:val="BodyText"/>
            </w:pPr>
            <w:r w:rsidRPr="00B02720">
              <w:t>Performance is demonstrated consistently over time and in a suitable range of contexts.</w:t>
            </w:r>
          </w:p>
          <w:p w:rsidR="00000000" w:rsidRPr="00B02720" w:rsidP="00B02720">
            <w:pPr>
              <w:pStyle w:val="BodyText"/>
            </w:pPr>
            <w:r w:rsidRPr="00B02720">
              <w:t>Resources for assessment include access to:</w:t>
            </w:r>
          </w:p>
          <w:p w:rsidR="00000000" w:rsidRPr="00B02720" w:rsidP="00B02720">
            <w:pPr>
              <w:pStyle w:val="ListBullet"/>
            </w:pPr>
            <w:r w:rsidRPr="00B02720">
              <w:t>industry-approved site where managing teams fighting and extinguishing fires in a simulated environment using live fire and smoke can be conducted</w:t>
            </w:r>
          </w:p>
          <w:p w:rsidR="00000000" w:rsidRPr="00B02720" w:rsidP="00B02720">
            <w:pPr>
              <w:pStyle w:val="ListBullet"/>
            </w:pPr>
            <w:r w:rsidRPr="00B02720">
              <w:t>tools, equipment and personal protective equipment currently used in industry</w:t>
            </w:r>
          </w:p>
          <w:p w:rsidR="00000000" w:rsidRPr="00B02720" w:rsidP="00B02720">
            <w:pPr>
              <w:pStyle w:val="ListBullet"/>
            </w:pPr>
            <w:r w:rsidRPr="00B02720">
              <w:t>relevant regulatory and equipme</w:t>
            </w:r>
            <w:r w:rsidRPr="00B02720">
              <w:t>nt documentation that impacts on work activities</w:t>
            </w:r>
          </w:p>
          <w:p w:rsidR="00000000" w:rsidRPr="00B02720" w:rsidP="00B02720">
            <w:pPr>
              <w:pStyle w:val="ListBullet"/>
            </w:pPr>
            <w:r w:rsidRPr="00B02720">
              <w:t>range of relevant exercises, case studies and/or other simulated practical and knowledge assessments</w:t>
            </w:r>
          </w:p>
          <w:p w:rsidR="00000000" w:rsidRPr="00B02720" w:rsidP="00B02720">
            <w:pPr>
              <w:pStyle w:val="ListBullet"/>
            </w:pPr>
            <w:r w:rsidRPr="00B02720">
              <w:t>appropriate range of relevant operational situations in the workplace.</w:t>
            </w:r>
          </w:p>
          <w:p w:rsidR="00000000" w:rsidRPr="00B02720" w:rsidP="00B02720">
            <w:pPr>
              <w:pStyle w:val="BodyText"/>
            </w:pPr>
            <w:r w:rsidRPr="00B02720">
              <w:t>In both real and simulated environm</w:t>
            </w:r>
            <w:r w:rsidRPr="00B02720">
              <w:t>ents, access is required to:</w:t>
            </w:r>
          </w:p>
          <w:p w:rsidR="00000000" w:rsidRPr="00B02720" w:rsidP="00B02720">
            <w:pPr>
              <w:pStyle w:val="ListBullet"/>
            </w:pPr>
            <w:r w:rsidRPr="00B02720">
              <w:t>relevant and appropriate materials and equipment</w:t>
            </w:r>
          </w:p>
          <w:p w:rsidR="00000000" w:rsidP="00B02720">
            <w:pPr>
              <w:pStyle w:val="ListBullet"/>
              <w:rPr>
                <w:lang w:val="en-NZ"/>
              </w:rPr>
            </w:pPr>
            <w:r w:rsidRPr="00B02720">
              <w:t>applicable documentation including workplace procedures, regulations, codes of practice and operation manuals.</w:t>
            </w:r>
          </w:p>
        </w:tc>
      </w:tr>
      <w:tr w:rsidTr="00B02720">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B02720">
            <w:pPr>
              <w:pStyle w:val="BodyText"/>
              <w:rPr>
                <w:lang w:val="en-NZ"/>
              </w:rPr>
            </w:pPr>
            <w:r w:rsidRPr="00B02720">
              <w:rPr>
                <w:rStyle w:val="SpecialBold"/>
              </w:rPr>
              <w:t>Method of assessment</w:t>
            </w:r>
          </w:p>
        </w:tc>
        <w:tc>
          <w:tcPr>
            <w:tcW w:w="6159" w:type="dxa"/>
            <w:tcBorders>
              <w:top w:val="nil"/>
              <w:left w:val="nil"/>
              <w:bottom w:val="nil"/>
              <w:right w:val="nil"/>
            </w:tcBorders>
            <w:tcMar>
              <w:top w:w="0" w:type="dxa"/>
              <w:left w:w="62" w:type="dxa"/>
              <w:bottom w:w="0" w:type="dxa"/>
              <w:right w:w="62" w:type="dxa"/>
            </w:tcMar>
          </w:tcPr>
          <w:p w:rsidR="00000000" w:rsidRPr="00B02720" w:rsidP="00B02720">
            <w:pPr>
              <w:pStyle w:val="BodyText"/>
            </w:pPr>
            <w:r w:rsidRPr="00B02720">
              <w:t>Practical assessment must occur in an:</w:t>
            </w:r>
          </w:p>
          <w:p w:rsidR="00000000" w:rsidRPr="00B02720" w:rsidP="00B02720">
            <w:pPr>
              <w:pStyle w:val="ListBullet"/>
            </w:pPr>
            <w:r w:rsidRPr="00B02720">
              <w:t>appr</w:t>
            </w:r>
            <w:r w:rsidRPr="00B02720">
              <w:t>opriately simulated workplace environment and/or</w:t>
            </w:r>
          </w:p>
          <w:p w:rsidR="00000000" w:rsidRPr="00B02720" w:rsidP="00B02720">
            <w:pPr>
              <w:pStyle w:val="ListBullet"/>
            </w:pPr>
            <w:r w:rsidRPr="00B02720">
              <w:t>appropriate range of situations in the workplace.</w:t>
            </w:r>
          </w:p>
          <w:p w:rsidR="00000000" w:rsidRPr="00B02720" w:rsidP="00B02720">
            <w:pPr>
              <w:pStyle w:val="BodyText"/>
            </w:pPr>
            <w:r w:rsidRPr="00B02720">
              <w:t>A range of assessment methods should be used to assess practical skills and knowledge. The following examples are appropriate to this unit:</w:t>
            </w:r>
          </w:p>
          <w:p w:rsidR="00000000" w:rsidRPr="00B02720" w:rsidP="00B02720">
            <w:pPr>
              <w:pStyle w:val="ListBullet"/>
            </w:pPr>
            <w:r w:rsidRPr="00B02720">
              <w:t>direct observation of the candidate managing firefighting and fire prevention activities on board a vessel</w:t>
            </w:r>
          </w:p>
          <w:p w:rsidR="00000000" w:rsidP="00B02720">
            <w:pPr>
              <w:pStyle w:val="ListBullet"/>
              <w:rPr>
                <w:lang w:val="en-NZ"/>
              </w:rPr>
            </w:pPr>
            <w:r w:rsidRPr="00B02720">
              <w:t>direct observation of the candidate applying relevant WHS/OHS requirements and safe work practices.</w:t>
            </w:r>
          </w:p>
        </w:tc>
      </w:tr>
      <w:tr w:rsidTr="00B02720">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B02720">
            <w:pPr>
              <w:pStyle w:val="BodyText"/>
              <w:rPr>
                <w:lang w:val="en-NZ"/>
              </w:rPr>
            </w:pPr>
            <w:r w:rsidRPr="00B02720">
              <w:rPr>
                <w:rStyle w:val="SpecialBold"/>
              </w:rPr>
              <w:t>Guidance information for assessment</w:t>
            </w:r>
          </w:p>
        </w:tc>
        <w:tc>
          <w:tcPr>
            <w:tcW w:w="6159" w:type="dxa"/>
            <w:tcBorders>
              <w:top w:val="nil"/>
              <w:left w:val="nil"/>
              <w:bottom w:val="nil"/>
              <w:right w:val="nil"/>
            </w:tcBorders>
            <w:tcMar>
              <w:top w:w="0" w:type="dxa"/>
              <w:left w:w="62" w:type="dxa"/>
              <w:bottom w:w="0" w:type="dxa"/>
              <w:right w:w="62" w:type="dxa"/>
            </w:tcMar>
          </w:tcPr>
          <w:p w:rsidR="00000000" w:rsidRPr="00B02720" w:rsidP="00B02720">
            <w:pPr>
              <w:pStyle w:val="BodyText"/>
            </w:pPr>
            <w:r w:rsidRPr="00B02720">
              <w:t>Holistic ass</w:t>
            </w:r>
            <w:r w:rsidRPr="00B02720">
              <w:t>essment with other units relevant to the industry sector, workplace and job role is recommended.</w:t>
            </w:r>
          </w:p>
          <w:p w:rsidR="00000000" w:rsidRPr="00B02720" w:rsidP="00B02720">
            <w:pPr>
              <w:pStyle w:val="BodyText"/>
            </w:pPr>
            <w:r w:rsidRPr="00B02720">
              <w:t>In all cases where practical assessment is used it should be combined with targeted questioning to assess Required Knowledge.</w:t>
            </w:r>
          </w:p>
          <w:p w:rsidR="00000000" w:rsidRPr="00B02720" w:rsidP="00B02720">
            <w:pPr>
              <w:pStyle w:val="BodyText"/>
            </w:pPr>
            <w:r w:rsidRPr="00B02720">
              <w:t>Assessment processes and techniqu</w:t>
            </w:r>
            <w:r w:rsidRPr="00B02720">
              <w:t>es must be appropriate to the language and literacy requirements of the work being performed and the capacity of the candidate.</w:t>
            </w:r>
          </w:p>
        </w:tc>
      </w:tr>
    </w:tbl>
    <w:p w:rsidR="00000000" w:rsidRPr="00B02720" w:rsidP="00B02720">
      <w:pPr>
        <w:pStyle w:val="BodyText"/>
      </w:pPr>
    </w:p>
    <w:p w:rsidR="00000000" w:rsidRPr="00B02720" w:rsidP="00B02720">
      <w:pPr>
        <w:pStyle w:val="AllowPageBreak"/>
      </w:pPr>
    </w:p>
    <w:p w:rsidR="00000000" w:rsidRPr="00B02720" w:rsidP="00B02720">
      <w:pPr>
        <w:pStyle w:val="Heading1"/>
      </w:pPr>
      <w:bookmarkStart w:id="11" w:name="O_537049"/>
      <w:bookmarkEnd w:id="11"/>
      <w:r w:rsidRPr="00B02720">
        <w:t>Range Statement</w:t>
      </w:r>
    </w:p>
    <w:tbl>
      <w:tblPr>
        <w:tblW w:w="0" w:type="auto"/>
        <w:tblCellMar>
          <w:left w:w="62" w:type="dxa"/>
          <w:right w:w="62" w:type="dxa"/>
        </w:tblCellMar>
        <w:tblLook w:val="0000"/>
      </w:tblPr>
      <w:tblGrid>
        <w:gridCol w:w="2586"/>
        <w:gridCol w:w="6610"/>
      </w:tblGrid>
      <w:tr w:rsidTr="0051034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02720">
            <w:pPr>
              <w:pStyle w:val="BodyText"/>
              <w:rPr>
                <w:lang w:val="en-NZ"/>
              </w:rPr>
            </w:pPr>
            <w:r w:rsidRPr="00B02720">
              <w:t>The range statement relates to the unit of competency as a whole. It allows for different wor</w:t>
            </w:r>
            <w:r w:rsidRPr="00B02720">
              <w:t>k environments and situations that may affect performance. Bold italicised wording, if used in the performance criteria, is detailed below.</w:t>
            </w:r>
          </w:p>
        </w:tc>
      </w:tr>
      <w:tr w:rsidTr="0051034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2720">
            <w:pPr>
              <w:pStyle w:val="BodyText"/>
              <w:rPr>
                <w:lang w:val="en-NZ"/>
              </w:rPr>
            </w:pPr>
            <w:r w:rsidRPr="00B02720">
              <w:t>Hazards must include:</w:t>
            </w:r>
          </w:p>
        </w:tc>
        <w:tc>
          <w:tcPr>
            <w:tcW w:w="0" w:type="auto"/>
            <w:tcBorders>
              <w:top w:val="nil"/>
              <w:left w:val="nil"/>
              <w:bottom w:val="nil"/>
              <w:right w:val="nil"/>
            </w:tcBorders>
            <w:tcMar>
              <w:top w:w="0" w:type="dxa"/>
              <w:left w:w="62" w:type="dxa"/>
              <w:bottom w:w="0" w:type="dxa"/>
              <w:right w:w="62" w:type="dxa"/>
            </w:tcMar>
          </w:tcPr>
          <w:p w:rsidR="00000000" w:rsidRPr="00B02720" w:rsidP="00B02720">
            <w:pPr>
              <w:pStyle w:val="ListBullet"/>
            </w:pPr>
            <w:r w:rsidRPr="00B02720">
              <w:t>Contents of adjacent spaces</w:t>
            </w:r>
          </w:p>
          <w:p w:rsidR="00000000" w:rsidRPr="00B02720" w:rsidP="00B02720">
            <w:pPr>
              <w:pStyle w:val="ListBullet"/>
            </w:pPr>
            <w:r w:rsidRPr="00B02720">
              <w:t>Dangerous goods</w:t>
            </w:r>
          </w:p>
          <w:p w:rsidR="00000000" w:rsidRPr="00B02720" w:rsidP="00B02720">
            <w:pPr>
              <w:pStyle w:val="ListBullet"/>
            </w:pPr>
            <w:r w:rsidRPr="00B02720">
              <w:t>Electricity and wiring systems</w:t>
            </w:r>
          </w:p>
          <w:p w:rsidR="00000000" w:rsidRPr="00B02720" w:rsidP="00B02720">
            <w:pPr>
              <w:pStyle w:val="ListBullet"/>
            </w:pPr>
            <w:r w:rsidRPr="00B02720">
              <w:t>Flammable or explosive atmospheres</w:t>
            </w:r>
          </w:p>
          <w:p w:rsidR="00000000" w:rsidRPr="00B02720" w:rsidP="00B02720">
            <w:pPr>
              <w:pStyle w:val="ListBullet"/>
            </w:pPr>
            <w:r w:rsidRPr="00B02720">
              <w:t>Oxygen deficiency or enrichment</w:t>
            </w:r>
          </w:p>
          <w:p w:rsidR="00000000" w:rsidRPr="00B02720" w:rsidP="00B02720">
            <w:pPr>
              <w:pStyle w:val="ListBullet"/>
            </w:pPr>
            <w:r w:rsidRPr="00B02720">
              <w:t xml:space="preserve">Physical obstructions </w:t>
            </w:r>
          </w:p>
          <w:p w:rsidR="00000000" w:rsidRPr="00B02720" w:rsidP="00B02720">
            <w:pPr>
              <w:pStyle w:val="ListBullet"/>
            </w:pPr>
            <w:r w:rsidRPr="00B02720">
              <w:t>Poor visibility</w:t>
            </w:r>
          </w:p>
          <w:p w:rsidR="00000000" w:rsidRPr="00B02720" w:rsidP="00B02720">
            <w:pPr>
              <w:pStyle w:val="ListBullet"/>
            </w:pPr>
            <w:r w:rsidRPr="00B02720">
              <w:t>Restricted access</w:t>
            </w:r>
          </w:p>
          <w:p w:rsidR="00000000" w:rsidP="00B02720">
            <w:pPr>
              <w:pStyle w:val="ListBullet"/>
              <w:rPr>
                <w:lang w:val="en-NZ"/>
              </w:rPr>
            </w:pPr>
            <w:r w:rsidRPr="00B02720">
              <w:t>Toxic liquids, solids, gases, vapours and dusts</w:t>
            </w:r>
          </w:p>
        </w:tc>
      </w:tr>
      <w:tr w:rsidTr="0051034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2720">
            <w:pPr>
              <w:pStyle w:val="BodyText"/>
              <w:rPr>
                <w:lang w:val="en-NZ"/>
              </w:rPr>
            </w:pPr>
            <w:r w:rsidRPr="00B02720">
              <w:t>Fire detection, firefighting equipment and systems may include:</w:t>
            </w:r>
          </w:p>
        </w:tc>
        <w:tc>
          <w:tcPr>
            <w:tcW w:w="0" w:type="auto"/>
            <w:tcBorders>
              <w:top w:val="nil"/>
              <w:left w:val="nil"/>
              <w:bottom w:val="nil"/>
              <w:right w:val="nil"/>
            </w:tcBorders>
            <w:tcMar>
              <w:top w:w="0" w:type="dxa"/>
              <w:left w:w="62" w:type="dxa"/>
              <w:bottom w:w="0" w:type="dxa"/>
              <w:right w:w="62" w:type="dxa"/>
            </w:tcMar>
          </w:tcPr>
          <w:p w:rsidR="00000000" w:rsidRPr="00B02720" w:rsidP="00B02720">
            <w:pPr>
              <w:pStyle w:val="ListBullet"/>
            </w:pPr>
            <w:r w:rsidRPr="00B02720">
              <w:t xml:space="preserve">Common on board suppression systems </w:t>
            </w:r>
          </w:p>
          <w:p w:rsidR="00000000" w:rsidRPr="00B02720" w:rsidP="00B02720">
            <w:pPr>
              <w:pStyle w:val="ListBullet"/>
            </w:pPr>
            <w:r w:rsidRPr="00B02720">
              <w:t>Hoses and nozzles</w:t>
            </w:r>
          </w:p>
          <w:p w:rsidR="00000000" w:rsidRPr="00B02720" w:rsidP="00B02720">
            <w:pPr>
              <w:pStyle w:val="ListBullet"/>
            </w:pPr>
            <w:r w:rsidRPr="00B02720">
              <w:t>Pumps</w:t>
            </w:r>
          </w:p>
          <w:p w:rsidR="00000000" w:rsidRPr="00B02720" w:rsidP="00B02720">
            <w:pPr>
              <w:pStyle w:val="ListBullet"/>
            </w:pPr>
            <w:r w:rsidRPr="00B02720">
              <w:t>Rescue equipment</w:t>
            </w:r>
          </w:p>
          <w:p w:rsidR="00000000" w:rsidRPr="00B02720" w:rsidP="00B02720">
            <w:pPr>
              <w:pStyle w:val="ListBullet"/>
            </w:pPr>
            <w:r w:rsidRPr="00B02720">
              <w:t>Self contained breathing apparatus (SCBA)</w:t>
            </w:r>
          </w:p>
          <w:p w:rsidR="00000000" w:rsidP="00B02720">
            <w:pPr>
              <w:pStyle w:val="ListBullet"/>
              <w:rPr>
                <w:lang w:val="en-NZ"/>
              </w:rPr>
            </w:pPr>
            <w:r w:rsidRPr="00B02720">
              <w:t>Thermal and smoke detectors</w:t>
            </w:r>
          </w:p>
        </w:tc>
      </w:tr>
      <w:tr w:rsidTr="0051034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2720">
            <w:pPr>
              <w:pStyle w:val="BodyText"/>
              <w:rPr>
                <w:lang w:val="en-NZ"/>
              </w:rPr>
            </w:pPr>
            <w:r w:rsidRPr="00B02720">
              <w:t>Fire control plan must include:</w:t>
            </w:r>
          </w:p>
        </w:tc>
        <w:tc>
          <w:tcPr>
            <w:tcW w:w="0" w:type="auto"/>
            <w:tcBorders>
              <w:top w:val="nil"/>
              <w:left w:val="nil"/>
              <w:bottom w:val="nil"/>
              <w:right w:val="nil"/>
            </w:tcBorders>
            <w:tcMar>
              <w:top w:w="0" w:type="dxa"/>
              <w:left w:w="62" w:type="dxa"/>
              <w:bottom w:w="0" w:type="dxa"/>
              <w:right w:w="62" w:type="dxa"/>
            </w:tcMar>
          </w:tcPr>
          <w:p w:rsidR="00000000" w:rsidRPr="00B02720" w:rsidP="00B02720">
            <w:pPr>
              <w:pStyle w:val="ListBullet"/>
            </w:pPr>
            <w:r w:rsidRPr="00B02720">
              <w:t>Applications of the BC Code</w:t>
            </w:r>
          </w:p>
          <w:p w:rsidR="00000000" w:rsidRPr="00B02720" w:rsidP="00B02720">
            <w:pPr>
              <w:pStyle w:val="ListBullet"/>
            </w:pPr>
            <w:r w:rsidRPr="00B02720">
              <w:t>Applications of the IMDG Code</w:t>
            </w:r>
          </w:p>
          <w:p w:rsidR="00000000" w:rsidRPr="00B02720" w:rsidP="00B02720">
            <w:pPr>
              <w:pStyle w:val="ListBullet"/>
            </w:pPr>
            <w:r w:rsidRPr="00B02720">
              <w:t>Communication st</w:t>
            </w:r>
            <w:r w:rsidRPr="00B02720">
              <w:t>rategy</w:t>
            </w:r>
          </w:p>
          <w:p w:rsidR="00000000" w:rsidRPr="00B02720" w:rsidP="00B02720">
            <w:pPr>
              <w:pStyle w:val="ListBullet"/>
            </w:pPr>
            <w:r w:rsidRPr="00B02720">
              <w:t>Contingency plans for fires involving hazardous materials</w:t>
            </w:r>
          </w:p>
          <w:p w:rsidR="00000000" w:rsidRPr="00B02720" w:rsidP="00B02720">
            <w:pPr>
              <w:pStyle w:val="ListBullet"/>
            </w:pPr>
            <w:r w:rsidRPr="00B02720">
              <w:t>Evacuation plan</w:t>
            </w:r>
          </w:p>
          <w:p w:rsidR="00000000" w:rsidRPr="00B02720" w:rsidP="00B02720">
            <w:pPr>
              <w:pStyle w:val="ListBullet"/>
            </w:pPr>
            <w:r w:rsidRPr="00B02720">
              <w:t>Handling and treatment of injured personnel</w:t>
            </w:r>
          </w:p>
          <w:p w:rsidR="00000000" w:rsidRPr="00B02720" w:rsidP="00B02720">
            <w:pPr>
              <w:pStyle w:val="ListBullet"/>
            </w:pPr>
            <w:r w:rsidRPr="00B02720">
              <w:t>Hazard control strategies</w:t>
            </w:r>
          </w:p>
          <w:p w:rsidR="00000000" w:rsidRPr="00B02720" w:rsidP="00B02720">
            <w:pPr>
              <w:pStyle w:val="ListBullet"/>
            </w:pPr>
            <w:r w:rsidRPr="00B02720">
              <w:t>Search and rescue operations</w:t>
            </w:r>
          </w:p>
          <w:p w:rsidR="00000000" w:rsidRPr="00B02720" w:rsidP="00B02720">
            <w:pPr>
              <w:pStyle w:val="ListBullet"/>
            </w:pPr>
            <w:r w:rsidRPr="00B02720">
              <w:t>Strategies for liaison with shore-based agencies (such as environmental protection agencies, fire services, medical teams, port authorities)</w:t>
            </w:r>
          </w:p>
          <w:p w:rsidR="00000000" w:rsidRPr="00B02720" w:rsidP="00B02720">
            <w:pPr>
              <w:pStyle w:val="ListBullet"/>
            </w:pPr>
            <w:r w:rsidRPr="00B02720">
              <w:t>Strategies for shipboard firefighting management in port</w:t>
            </w:r>
          </w:p>
          <w:p w:rsidR="00000000" w:rsidRPr="00B02720" w:rsidP="00B02720">
            <w:pPr>
              <w:pStyle w:val="ListBullet"/>
            </w:pPr>
            <w:r w:rsidRPr="00B02720">
              <w:t>Tactical methods for fighting fires involving hazardous ma</w:t>
            </w:r>
            <w:r w:rsidRPr="00B02720">
              <w:t>terials</w:t>
            </w:r>
          </w:p>
          <w:p w:rsidR="00000000" w:rsidP="00B02720">
            <w:pPr>
              <w:pStyle w:val="ListBullet"/>
              <w:rPr>
                <w:lang w:val="en-NZ"/>
              </w:rPr>
            </w:pPr>
            <w:r w:rsidRPr="00B02720">
              <w:t>Tactical plan of action</w:t>
            </w:r>
          </w:p>
        </w:tc>
      </w:tr>
      <w:tr w:rsidTr="0051034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2720">
            <w:pPr>
              <w:pStyle w:val="BodyText"/>
              <w:rPr>
                <w:lang w:val="en-NZ"/>
              </w:rPr>
            </w:pPr>
            <w:r w:rsidRPr="00B02720">
              <w:t>Contingencies may include:</w:t>
            </w:r>
          </w:p>
        </w:tc>
        <w:tc>
          <w:tcPr>
            <w:tcW w:w="0" w:type="auto"/>
            <w:tcBorders>
              <w:top w:val="nil"/>
              <w:left w:val="nil"/>
              <w:bottom w:val="nil"/>
              <w:right w:val="nil"/>
            </w:tcBorders>
            <w:tcMar>
              <w:top w:w="0" w:type="dxa"/>
              <w:left w:w="62" w:type="dxa"/>
              <w:bottom w:w="0" w:type="dxa"/>
              <w:right w:w="62" w:type="dxa"/>
            </w:tcMar>
          </w:tcPr>
          <w:p w:rsidR="00000000" w:rsidRPr="00B02720" w:rsidP="00B02720">
            <w:pPr>
              <w:pStyle w:val="ListBullet"/>
            </w:pPr>
            <w:r w:rsidRPr="00B02720">
              <w:t>Change in fire behaviour or extent</w:t>
            </w:r>
          </w:p>
          <w:p w:rsidR="00000000" w:rsidRPr="00B02720" w:rsidP="00B02720">
            <w:pPr>
              <w:pStyle w:val="ListBullet"/>
            </w:pPr>
            <w:r w:rsidRPr="00B02720">
              <w:t>Equipment failure or unavailability</w:t>
            </w:r>
          </w:p>
          <w:p w:rsidR="00000000" w:rsidP="00B02720">
            <w:pPr>
              <w:pStyle w:val="ListBullet"/>
              <w:rPr>
                <w:lang w:val="en-NZ"/>
              </w:rPr>
            </w:pPr>
            <w:r w:rsidRPr="00B02720">
              <w:t>Unexpected personnel involvement</w:t>
            </w:r>
          </w:p>
        </w:tc>
      </w:tr>
      <w:tr w:rsidTr="0051034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2720">
            <w:pPr>
              <w:pStyle w:val="BodyText"/>
              <w:rPr>
                <w:lang w:val="en-NZ"/>
              </w:rPr>
            </w:pPr>
            <w:r w:rsidRPr="00B02720">
              <w:t>Restored must include:</w:t>
            </w:r>
          </w:p>
        </w:tc>
        <w:tc>
          <w:tcPr>
            <w:tcW w:w="0" w:type="auto"/>
            <w:tcBorders>
              <w:top w:val="nil"/>
              <w:left w:val="nil"/>
              <w:bottom w:val="nil"/>
              <w:right w:val="nil"/>
            </w:tcBorders>
            <w:tcMar>
              <w:top w:w="0" w:type="dxa"/>
              <w:left w:w="62" w:type="dxa"/>
              <w:bottom w:w="0" w:type="dxa"/>
              <w:right w:w="62" w:type="dxa"/>
            </w:tcMar>
          </w:tcPr>
          <w:p w:rsidR="00000000" w:rsidRPr="00B02720" w:rsidP="00B02720">
            <w:pPr>
              <w:pStyle w:val="ListBullet"/>
            </w:pPr>
            <w:r w:rsidRPr="00B02720">
              <w:t xml:space="preserve">After use, maintaining SCBA to industry standards </w:t>
            </w:r>
          </w:p>
          <w:p w:rsidR="00000000" w:rsidRPr="00B02720" w:rsidP="00B02720">
            <w:pPr>
              <w:pStyle w:val="ListBullet"/>
            </w:pPr>
            <w:r w:rsidRPr="00B02720">
              <w:t>Cleaning</w:t>
            </w:r>
          </w:p>
          <w:p w:rsidR="00000000" w:rsidRPr="00B02720" w:rsidP="00B02720">
            <w:pPr>
              <w:pStyle w:val="ListBullet"/>
            </w:pPr>
            <w:r w:rsidRPr="00B02720">
              <w:t>Recharging extinguishers according to Australian Standards</w:t>
            </w:r>
          </w:p>
          <w:p w:rsidR="00000000" w:rsidRPr="00B02720" w:rsidP="00B02720">
            <w:pPr>
              <w:pStyle w:val="ListBullet"/>
            </w:pPr>
            <w:r w:rsidRPr="00B02720">
              <w:t>Re-stowing</w:t>
            </w:r>
          </w:p>
          <w:p w:rsidR="00000000" w:rsidRPr="00B02720" w:rsidP="00B02720">
            <w:pPr>
              <w:pStyle w:val="ListBullet"/>
            </w:pPr>
            <w:r w:rsidRPr="00B02720">
              <w:t>Servicing</w:t>
            </w:r>
          </w:p>
        </w:tc>
      </w:tr>
    </w:tbl>
    <w:p w:rsidR="00000000" w:rsidRPr="00B02720" w:rsidP="00B02720">
      <w:pPr>
        <w:pStyle w:val="BodyText"/>
      </w:pPr>
    </w:p>
    <w:p w:rsidR="00000000" w:rsidRPr="00B02720" w:rsidP="00B02720">
      <w:pPr>
        <w:pStyle w:val="AllowPageBreak"/>
      </w:pPr>
    </w:p>
    <w:p w:rsidR="00000000" w:rsidRPr="00B02720" w:rsidP="00B02720">
      <w:pPr>
        <w:pStyle w:val="Heading1"/>
      </w:pPr>
      <w:bookmarkStart w:id="12" w:name="O_537048"/>
      <w:bookmarkEnd w:id="12"/>
      <w:r w:rsidRPr="00B02720">
        <w:t>Unit Sector(s)</w:t>
      </w:r>
    </w:p>
    <w:p w:rsidR="00000000" w:rsidRPr="00B02720" w:rsidP="00B02720">
      <w:pPr>
        <w:pStyle w:val="BodyText"/>
      </w:pPr>
      <w:r w:rsidRPr="00B02720">
        <w:t>Not applicable.</w:t>
      </w:r>
    </w:p>
    <w:p w:rsidR="00000000" w:rsidRPr="00B02720" w:rsidP="00B02720">
      <w:pPr>
        <w:pStyle w:val="AllowPageBreak"/>
      </w:pPr>
    </w:p>
    <w:p w:rsidR="00000000" w:rsidRPr="00B02720" w:rsidP="00B02720">
      <w:pPr>
        <w:pStyle w:val="Heading1"/>
      </w:pPr>
      <w:bookmarkStart w:id="13" w:name="O_537047"/>
      <w:bookmarkEnd w:id="13"/>
      <w:r w:rsidRPr="00B02720">
        <w:t>Competency Field</w:t>
      </w:r>
    </w:p>
    <w:p w:rsidR="00000000" w:rsidRPr="00B02720" w:rsidP="00B02720">
      <w:pPr>
        <w:pStyle w:val="BodyText"/>
      </w:pPr>
      <w:r w:rsidRPr="00B02720">
        <w:t>Operational Quality and Safety</w:t>
      </w:r>
    </w:p>
    <w:p w:rsidR="00000000" w:rsidRPr="00B02720" w:rsidP="00B02720"/>
    <w:sectPr w:rsidSect="00B0272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72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720" w:rsidRPr="00510347" w:rsidP="0051034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72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347" w:rsidP="00B0272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10</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510347" w:rsidP="00B02720">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510347" w:rsidP="00B0272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72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720" w:rsidRPr="00510347" w:rsidP="0051034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72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347" w:rsidRPr="002D2AF8" w:rsidP="00B02720">
    <w:pPr>
      <w:pStyle w:val="Header"/>
      <w:framePr w:wrap="around"/>
    </w:pPr>
    <w:r>
      <w:fldChar w:fldCharType="begin"/>
    </w:r>
    <w:r>
      <w:instrText xml:space="preserve"> TITLE   \* MERGEFORMAT </w:instrText>
    </w:r>
    <w:r>
      <w:fldChar w:fldCharType="separate"/>
    </w:r>
    <w:r>
      <w:t>MARF4001A Manage firefighting and fire prevention activities on board a vessel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June 2013</w:t>
    </w:r>
    <w:r>
      <w:fldChar w:fldCharType="end"/>
    </w:r>
  </w:p>
  <w:p w:rsidR="00510347" w:rsidP="00B0272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10CA26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E58AFE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272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02720"/>
    <w:pPr>
      <w:spacing w:before="360" w:after="60"/>
      <w:outlineLvl w:val="0"/>
    </w:pPr>
    <w:rPr>
      <w:sz w:val="32"/>
    </w:rPr>
  </w:style>
  <w:style w:type="paragraph" w:styleId="Heading2">
    <w:name w:val="heading 2"/>
    <w:basedOn w:val="HeadingBase"/>
    <w:next w:val="BodyText"/>
    <w:link w:val="Heading2Char"/>
    <w:qFormat/>
    <w:rsid w:val="00B02720"/>
    <w:pPr>
      <w:keepLines/>
      <w:spacing w:before="240" w:after="120"/>
      <w:outlineLvl w:val="1"/>
    </w:pPr>
    <w:rPr>
      <w:sz w:val="28"/>
      <w:szCs w:val="40"/>
    </w:rPr>
  </w:style>
  <w:style w:type="paragraph" w:styleId="Heading3">
    <w:name w:val="heading 3"/>
    <w:basedOn w:val="HeadingBase"/>
    <w:next w:val="BodyText"/>
    <w:link w:val="Heading3Char"/>
    <w:qFormat/>
    <w:rsid w:val="00B02720"/>
    <w:pPr>
      <w:spacing w:before="180" w:after="120"/>
      <w:outlineLvl w:val="2"/>
    </w:pPr>
    <w:rPr>
      <w:spacing w:val="-10"/>
      <w:kern w:val="32"/>
    </w:rPr>
  </w:style>
  <w:style w:type="paragraph" w:styleId="Heading4">
    <w:name w:val="heading 4"/>
    <w:basedOn w:val="HeadingBase"/>
    <w:next w:val="BodyText"/>
    <w:link w:val="Heading4Char"/>
    <w:qFormat/>
    <w:rsid w:val="00B02720"/>
    <w:pPr>
      <w:spacing w:before="160" w:after="120"/>
      <w:outlineLvl w:val="3"/>
    </w:pPr>
    <w:rPr>
      <w:sz w:val="22"/>
    </w:rPr>
  </w:style>
  <w:style w:type="paragraph" w:styleId="Heading5">
    <w:name w:val="heading 5"/>
    <w:basedOn w:val="HeadingBase"/>
    <w:next w:val="Normal"/>
    <w:link w:val="Heading5Char"/>
    <w:qFormat/>
    <w:rsid w:val="00B02720"/>
    <w:pPr>
      <w:spacing w:before="80"/>
      <w:outlineLvl w:val="4"/>
    </w:pPr>
    <w:rPr>
      <w:color w:val="918585"/>
      <w:sz w:val="20"/>
    </w:rPr>
  </w:style>
  <w:style w:type="paragraph" w:styleId="Heading6">
    <w:name w:val="heading 6"/>
    <w:basedOn w:val="HeadingBase"/>
    <w:next w:val="Normal"/>
    <w:link w:val="Heading6Char"/>
    <w:qFormat/>
    <w:rsid w:val="00B02720"/>
    <w:pPr>
      <w:spacing w:before="60"/>
      <w:outlineLvl w:val="5"/>
    </w:pPr>
    <w:rPr>
      <w:color w:val="918585"/>
      <w:sz w:val="20"/>
    </w:rPr>
  </w:style>
  <w:style w:type="paragraph" w:styleId="Heading7">
    <w:name w:val="heading 7"/>
    <w:basedOn w:val="Normal"/>
    <w:next w:val="Normal"/>
    <w:link w:val="Heading7Char"/>
    <w:qFormat/>
    <w:rsid w:val="00B02720"/>
    <w:pPr>
      <w:ind w:left="720"/>
      <w:outlineLvl w:val="6"/>
    </w:pPr>
    <w:rPr>
      <w:i/>
    </w:rPr>
  </w:style>
  <w:style w:type="paragraph" w:styleId="Heading8">
    <w:name w:val="heading 8"/>
    <w:basedOn w:val="Normal"/>
    <w:next w:val="Normal"/>
    <w:link w:val="Heading8Char"/>
    <w:qFormat/>
    <w:rsid w:val="00B02720"/>
    <w:pPr>
      <w:ind w:left="720"/>
      <w:outlineLvl w:val="7"/>
    </w:pPr>
    <w:rPr>
      <w:i/>
    </w:rPr>
  </w:style>
  <w:style w:type="paragraph" w:styleId="Heading9">
    <w:name w:val="heading 9"/>
    <w:basedOn w:val="Normal"/>
    <w:next w:val="Normal"/>
    <w:link w:val="Heading9Char"/>
    <w:qFormat/>
    <w:rsid w:val="00B02720"/>
    <w:pPr>
      <w:ind w:left="720"/>
      <w:outlineLvl w:val="8"/>
    </w:pPr>
    <w:rPr>
      <w:i/>
    </w:rPr>
  </w:style>
  <w:style w:type="character" w:default="1" w:styleId="DefaultParagraphFont">
    <w:name w:val="Default Paragraph Font"/>
    <w:uiPriority w:val="1"/>
    <w:unhideWhenUsed/>
    <w:rsid w:val="00B027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02720"/>
  </w:style>
  <w:style w:type="character" w:customStyle="1" w:styleId="Heading1Char">
    <w:name w:val="Heading 1 Char"/>
    <w:basedOn w:val="DefaultParagraphFont"/>
    <w:link w:val="Heading1"/>
    <w:rsid w:val="00B02720"/>
    <w:rPr>
      <w:rFonts w:ascii="Times New Roman" w:eastAsia="Times New Roman" w:hAnsi="Times New Roman" w:cs="Times New Roman"/>
      <w:b/>
      <w:sz w:val="32"/>
      <w:szCs w:val="20"/>
      <w:lang w:eastAsia="en-US"/>
    </w:rPr>
  </w:style>
  <w:style w:type="paragraph" w:styleId="BodyText">
    <w:name w:val="Body Text"/>
    <w:basedOn w:val="Normal"/>
    <w:link w:val="BodyTextChar"/>
    <w:rsid w:val="00B0272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02720"/>
    <w:rPr>
      <w:rFonts w:ascii="Times New Roman" w:eastAsia="Times New Roman" w:hAnsi="Times New Roman" w:cs="Times New Roman"/>
      <w:sz w:val="24"/>
      <w:lang w:eastAsia="en-US"/>
    </w:rPr>
  </w:style>
  <w:style w:type="paragraph" w:styleId="ListBullet">
    <w:name w:val="List Bullet"/>
    <w:basedOn w:val="List"/>
    <w:rsid w:val="00B02720"/>
    <w:pPr>
      <w:numPr>
        <w:numId w:val="12"/>
      </w:numPr>
      <w:tabs>
        <w:tab w:val="clear" w:pos="340"/>
      </w:tabs>
      <w:spacing w:before="40" w:after="40"/>
    </w:pPr>
  </w:style>
  <w:style w:type="character" w:customStyle="1" w:styleId="SpecialBold">
    <w:name w:val="Special Bold"/>
    <w:basedOn w:val="DefaultParagraphFont"/>
    <w:rsid w:val="00B02720"/>
    <w:rPr>
      <w:b/>
      <w:spacing w:val="0"/>
    </w:rPr>
  </w:style>
  <w:style w:type="paragraph" w:customStyle="1" w:styleId="SuperHeading">
    <w:name w:val="SuperHeading"/>
    <w:basedOn w:val="Normal"/>
    <w:rsid w:val="00B02720"/>
    <w:pPr>
      <w:spacing w:before="240" w:after="120"/>
      <w:outlineLvl w:val="0"/>
    </w:pPr>
    <w:rPr>
      <w:rFonts w:ascii="Times New Roman" w:hAnsi="Times New Roman"/>
      <w:b/>
      <w:sz w:val="32"/>
    </w:rPr>
  </w:style>
  <w:style w:type="paragraph" w:customStyle="1" w:styleId="AllowPageBreak">
    <w:name w:val="AllowPageBreak"/>
    <w:rsid w:val="00B0272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02720"/>
    <w:rPr>
      <w:b/>
      <w:i/>
      <w:u w:val="none"/>
    </w:rPr>
  </w:style>
  <w:style w:type="character" w:customStyle="1" w:styleId="Heading2Char">
    <w:name w:val="Heading 2 Char"/>
    <w:basedOn w:val="DefaultParagraphFont"/>
    <w:link w:val="Heading2"/>
    <w:rsid w:val="00B0272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0272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0272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0272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027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0272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0272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02720"/>
    <w:rPr>
      <w:rFonts w:ascii="Courier New" w:eastAsia="Times New Roman" w:hAnsi="Courier New" w:cs="Times New Roman"/>
      <w:i/>
      <w:szCs w:val="20"/>
      <w:lang w:eastAsia="en-US"/>
    </w:rPr>
  </w:style>
  <w:style w:type="paragraph" w:customStyle="1" w:styleId="HeadingBase">
    <w:name w:val="Heading Base"/>
    <w:rsid w:val="00B027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02720"/>
    <w:pPr>
      <w:tabs>
        <w:tab w:val="right" w:leader="dot" w:pos="9072"/>
      </w:tabs>
      <w:ind w:left="567"/>
    </w:pPr>
    <w:rPr>
      <w:szCs w:val="22"/>
    </w:rPr>
  </w:style>
  <w:style w:type="paragraph" w:customStyle="1" w:styleId="TOCBase">
    <w:name w:val="TOC Base"/>
    <w:rsid w:val="00B027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02720"/>
    <w:pPr>
      <w:tabs>
        <w:tab w:val="right" w:leader="dot" w:pos="9072"/>
      </w:tabs>
      <w:spacing w:before="40" w:after="40"/>
      <w:ind w:left="284"/>
    </w:pPr>
    <w:rPr>
      <w:rFonts w:ascii="Times New Roman" w:hAnsi="Times New Roman"/>
    </w:rPr>
  </w:style>
  <w:style w:type="paragraph" w:styleId="TOC1">
    <w:name w:val="toc 1"/>
    <w:basedOn w:val="TOCBase"/>
    <w:next w:val="Normal"/>
    <w:rsid w:val="00B0272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027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02720"/>
    <w:rPr>
      <w:rFonts w:ascii="Times New Roman" w:eastAsia="Times New Roman" w:hAnsi="Times New Roman" w:cs="Times New Roman"/>
      <w:sz w:val="16"/>
      <w:lang w:eastAsia="en-US"/>
    </w:rPr>
  </w:style>
  <w:style w:type="paragraph" w:styleId="Title">
    <w:name w:val="Title"/>
    <w:basedOn w:val="HeadingBase"/>
    <w:link w:val="TitleChar"/>
    <w:qFormat/>
    <w:rsid w:val="00B02720"/>
    <w:pPr>
      <w:spacing w:before="5040"/>
      <w:jc w:val="center"/>
    </w:pPr>
    <w:rPr>
      <w:sz w:val="48"/>
      <w:szCs w:val="72"/>
      <w:lang w:val="en-US"/>
    </w:rPr>
  </w:style>
  <w:style w:type="character" w:customStyle="1" w:styleId="TitleChar">
    <w:name w:val="Title Char"/>
    <w:basedOn w:val="DefaultParagraphFont"/>
    <w:link w:val="Title"/>
    <w:rsid w:val="00B027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02720"/>
    <w:pPr>
      <w:tabs>
        <w:tab w:val="left" w:pos="3600"/>
        <w:tab w:val="left" w:pos="3958"/>
      </w:tabs>
    </w:pPr>
  </w:style>
  <w:style w:type="paragraph" w:styleId="List">
    <w:name w:val="List"/>
    <w:basedOn w:val="BodyText"/>
    <w:next w:val="BodyText"/>
    <w:rsid w:val="00B02720"/>
    <w:pPr>
      <w:tabs>
        <w:tab w:val="left" w:pos="340"/>
      </w:tabs>
      <w:spacing w:before="60" w:after="60"/>
      <w:ind w:left="340" w:hanging="340"/>
    </w:pPr>
  </w:style>
  <w:style w:type="paragraph" w:customStyle="1" w:styleId="Note">
    <w:name w:val="Note"/>
    <w:basedOn w:val="BodyText"/>
    <w:rsid w:val="00B0272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02720"/>
    <w:pPr>
      <w:framePr w:wrap="auto" w:hAnchor="text" w:y="6049"/>
    </w:pPr>
    <w:rPr>
      <w:color w:val="000000"/>
      <w:sz w:val="40"/>
    </w:rPr>
  </w:style>
  <w:style w:type="paragraph" w:customStyle="1" w:styleId="TOCTitle">
    <w:name w:val="TOCTitle"/>
    <w:basedOn w:val="Heading1"/>
    <w:rsid w:val="00B02720"/>
    <w:pPr>
      <w:spacing w:after="240"/>
      <w:jc w:val="center"/>
      <w:outlineLvl w:val="9"/>
    </w:pPr>
    <w:rPr>
      <w:caps/>
    </w:rPr>
  </w:style>
  <w:style w:type="paragraph" w:customStyle="1" w:styleId="Version">
    <w:name w:val="Version"/>
    <w:rsid w:val="00B0272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02720"/>
    <w:pPr>
      <w:numPr>
        <w:numId w:val="13"/>
      </w:numPr>
      <w:tabs>
        <w:tab w:val="clear" w:pos="680"/>
      </w:tabs>
    </w:pPr>
  </w:style>
  <w:style w:type="paragraph" w:styleId="Index1">
    <w:name w:val="index 1"/>
    <w:basedOn w:val="Normal"/>
    <w:next w:val="Normal"/>
    <w:semiHidden/>
    <w:rsid w:val="00B02720"/>
    <w:pPr>
      <w:keepNext w:val="0"/>
      <w:tabs>
        <w:tab w:val="right" w:pos="4176"/>
      </w:tabs>
      <w:ind w:left="198" w:hanging="198"/>
    </w:pPr>
    <w:rPr>
      <w:rFonts w:ascii="Garamond" w:hAnsi="Garamond"/>
    </w:rPr>
  </w:style>
  <w:style w:type="paragraph" w:styleId="IndexHeading">
    <w:name w:val="index heading"/>
    <w:basedOn w:val="Normal"/>
    <w:next w:val="Index1"/>
    <w:semiHidden/>
    <w:rsid w:val="00B02720"/>
    <w:pPr>
      <w:spacing w:before="120" w:after="120"/>
    </w:pPr>
    <w:rPr>
      <w:rFonts w:ascii="Arial" w:hAnsi="Arial"/>
      <w:b/>
      <w:color w:val="918585"/>
      <w:sz w:val="24"/>
    </w:rPr>
  </w:style>
  <w:style w:type="paragraph" w:styleId="Header">
    <w:name w:val="header"/>
    <w:basedOn w:val="Normal"/>
    <w:link w:val="HeaderChar"/>
    <w:rsid w:val="00B027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02720"/>
    <w:rPr>
      <w:rFonts w:ascii="Times New Roman" w:eastAsia="Times New Roman" w:hAnsi="Times New Roman" w:cs="Times New Roman"/>
      <w:sz w:val="16"/>
      <w:szCs w:val="20"/>
      <w:lang w:val="en-GB" w:eastAsia="en-US"/>
    </w:rPr>
  </w:style>
  <w:style w:type="paragraph" w:customStyle="1" w:styleId="Chapter">
    <w:name w:val="Chapter"/>
    <w:basedOn w:val="Normal"/>
    <w:rsid w:val="00B02720"/>
    <w:pPr>
      <w:spacing w:before="240"/>
    </w:pPr>
    <w:rPr>
      <w:rFonts w:ascii="Times New Roman" w:hAnsi="Times New Roman"/>
      <w:smallCaps/>
      <w:spacing w:val="80"/>
      <w:sz w:val="28"/>
    </w:rPr>
  </w:style>
  <w:style w:type="paragraph" w:customStyle="1" w:styleId="InChapter">
    <w:name w:val="InChapter"/>
    <w:basedOn w:val="Heading3"/>
    <w:rsid w:val="00B02720"/>
    <w:pPr>
      <w:spacing w:after="240"/>
      <w:outlineLvl w:val="9"/>
    </w:pPr>
    <w:rPr>
      <w:noProof/>
    </w:rPr>
  </w:style>
  <w:style w:type="paragraph" w:styleId="Index2">
    <w:name w:val="index 2"/>
    <w:basedOn w:val="Normal"/>
    <w:next w:val="Normal"/>
    <w:semiHidden/>
    <w:rsid w:val="00B02720"/>
    <w:pPr>
      <w:tabs>
        <w:tab w:val="right" w:pos="4176"/>
      </w:tabs>
      <w:ind w:left="568" w:hanging="284"/>
    </w:pPr>
    <w:rPr>
      <w:rFonts w:ascii="Garamond" w:hAnsi="Garamond"/>
    </w:rPr>
  </w:style>
  <w:style w:type="paragraph" w:customStyle="1" w:styleId="Byline">
    <w:name w:val="Byline"/>
    <w:rsid w:val="00B027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02720"/>
    <w:pPr>
      <w:tabs>
        <w:tab w:val="clear" w:pos="3600"/>
        <w:tab w:val="clear" w:pos="3958"/>
      </w:tabs>
      <w:jc w:val="right"/>
    </w:pPr>
  </w:style>
  <w:style w:type="character" w:styleId="Emphasis">
    <w:name w:val="Emphasis"/>
    <w:basedOn w:val="DefaultParagraphFont"/>
    <w:qFormat/>
    <w:rsid w:val="00B02720"/>
    <w:rPr>
      <w:i/>
    </w:rPr>
  </w:style>
  <w:style w:type="paragraph" w:styleId="Caption">
    <w:name w:val="caption"/>
    <w:basedOn w:val="BodyText"/>
    <w:next w:val="Normal"/>
    <w:qFormat/>
    <w:rsid w:val="00B02720"/>
    <w:pPr>
      <w:framePr w:w="2268" w:hSpace="181" w:vSpace="181" w:wrap="around" w:vAnchor="text" w:hAnchor="page" w:x="1135" w:y="285" w:anchorLock="1"/>
    </w:pPr>
    <w:rPr>
      <w:i/>
    </w:rPr>
  </w:style>
  <w:style w:type="paragraph" w:customStyle="1" w:styleId="MiniTOCTitle">
    <w:name w:val="MiniTOCTitle"/>
    <w:basedOn w:val="Heading4"/>
    <w:rsid w:val="00B02720"/>
    <w:pPr>
      <w:spacing w:before="240"/>
      <w:outlineLvl w:val="9"/>
    </w:pPr>
    <w:rPr>
      <w:noProof/>
      <w:sz w:val="24"/>
    </w:rPr>
  </w:style>
  <w:style w:type="paragraph" w:customStyle="1" w:styleId="MiniTOCItem">
    <w:name w:val="MiniTOCItem"/>
    <w:basedOn w:val="ListBullet"/>
    <w:rsid w:val="00B02720"/>
    <w:pPr>
      <w:numPr>
        <w:numId w:val="0"/>
      </w:numPr>
      <w:tabs>
        <w:tab w:val="right" w:leader="dot" w:pos="6521"/>
      </w:tabs>
      <w:spacing w:before="0" w:after="0"/>
    </w:pPr>
  </w:style>
  <w:style w:type="paragraph" w:customStyle="1" w:styleId="TOFTitle">
    <w:name w:val="TOFTitle"/>
    <w:basedOn w:val="TOCTitle"/>
    <w:rsid w:val="00B02720"/>
  </w:style>
  <w:style w:type="paragraph" w:styleId="TableofFigures">
    <w:name w:val="table of figures"/>
    <w:basedOn w:val="Normal"/>
    <w:next w:val="Normal"/>
    <w:semiHidden/>
    <w:rsid w:val="00B02720"/>
    <w:pPr>
      <w:tabs>
        <w:tab w:val="right" w:leader="dot" w:pos="9072"/>
      </w:tabs>
      <w:ind w:left="970" w:hanging="403"/>
    </w:pPr>
    <w:rPr>
      <w:rFonts w:ascii="Times New Roman" w:hAnsi="Times New Roman"/>
      <w:b/>
    </w:rPr>
  </w:style>
  <w:style w:type="paragraph" w:styleId="ListNumber">
    <w:name w:val="List Number"/>
    <w:basedOn w:val="List"/>
    <w:rsid w:val="00B02720"/>
    <w:pPr>
      <w:numPr>
        <w:numId w:val="10"/>
      </w:numPr>
    </w:pPr>
  </w:style>
  <w:style w:type="character" w:customStyle="1" w:styleId="WingdingSymbols">
    <w:name w:val="Wingding Symbols"/>
    <w:rsid w:val="00B02720"/>
    <w:rPr>
      <w:rFonts w:ascii="Wingdings" w:hAnsi="Wingdings"/>
    </w:rPr>
  </w:style>
  <w:style w:type="paragraph" w:customStyle="1" w:styleId="TableHeading">
    <w:name w:val="Table Heading"/>
    <w:basedOn w:val="HeadingBase"/>
    <w:rsid w:val="00B02720"/>
    <w:pPr>
      <w:keepLines/>
      <w:pBdr>
        <w:bottom w:val="single" w:sz="6" w:space="1" w:color="918585"/>
      </w:pBdr>
      <w:spacing w:before="240"/>
    </w:pPr>
  </w:style>
  <w:style w:type="character" w:customStyle="1" w:styleId="HotSpot">
    <w:name w:val="HotSpot"/>
    <w:rsid w:val="00B02720"/>
    <w:rPr>
      <w:color w:val="0033CC"/>
      <w:u w:val="none"/>
    </w:rPr>
  </w:style>
  <w:style w:type="paragraph" w:customStyle="1" w:styleId="BodyTextRight">
    <w:name w:val="Body Text Right"/>
    <w:basedOn w:val="BodyText"/>
    <w:rsid w:val="00B02720"/>
    <w:pPr>
      <w:spacing w:before="0" w:after="0"/>
      <w:jc w:val="right"/>
    </w:pPr>
  </w:style>
  <w:style w:type="paragraph" w:styleId="Index3">
    <w:name w:val="index 3"/>
    <w:basedOn w:val="ListNumber2"/>
    <w:next w:val="Normal"/>
    <w:semiHidden/>
    <w:rsid w:val="00B02720"/>
    <w:pPr>
      <w:numPr>
        <w:numId w:val="0"/>
      </w:numPr>
      <w:tabs>
        <w:tab w:val="right" w:leader="dot" w:pos="4176"/>
      </w:tabs>
    </w:pPr>
  </w:style>
  <w:style w:type="paragraph" w:styleId="ListNumber2">
    <w:name w:val="List Number 2"/>
    <w:basedOn w:val="List2"/>
    <w:rsid w:val="00B02720"/>
    <w:pPr>
      <w:numPr>
        <w:numId w:val="9"/>
      </w:numPr>
      <w:tabs>
        <w:tab w:val="clear" w:pos="1060"/>
      </w:tabs>
    </w:pPr>
  </w:style>
  <w:style w:type="paragraph" w:customStyle="1" w:styleId="MarginNote">
    <w:name w:val="Margin Note"/>
    <w:basedOn w:val="BodyText"/>
    <w:rsid w:val="00B027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027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0272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02720"/>
    <w:rPr>
      <w:sz w:val="32"/>
    </w:rPr>
  </w:style>
  <w:style w:type="paragraph" w:customStyle="1" w:styleId="HeadingProcedure">
    <w:name w:val="Heading Procedure"/>
    <w:basedOn w:val="HeadingBase"/>
    <w:next w:val="Normal"/>
    <w:rsid w:val="00B02720"/>
    <w:pPr>
      <w:tabs>
        <w:tab w:val="left" w:pos="0"/>
      </w:tabs>
      <w:spacing w:before="120" w:after="60"/>
    </w:pPr>
    <w:rPr>
      <w:i/>
      <w:color w:val="918585"/>
      <w:sz w:val="22"/>
    </w:rPr>
  </w:style>
  <w:style w:type="paragraph" w:customStyle="1" w:styleId="TableBodyText">
    <w:name w:val="Table Body Text"/>
    <w:basedOn w:val="BodyText"/>
    <w:rsid w:val="00B02720"/>
    <w:pPr>
      <w:spacing w:before="60" w:after="60"/>
    </w:pPr>
  </w:style>
  <w:style w:type="paragraph" w:styleId="ListContinue">
    <w:name w:val="List Continue"/>
    <w:basedOn w:val="List"/>
    <w:rsid w:val="00B02720"/>
    <w:pPr>
      <w:ind w:firstLine="0"/>
    </w:pPr>
  </w:style>
  <w:style w:type="paragraph" w:customStyle="1" w:styleId="ListNote">
    <w:name w:val="List Note"/>
    <w:basedOn w:val="List"/>
    <w:rsid w:val="00B02720"/>
    <w:pPr>
      <w:pBdr>
        <w:top w:val="single" w:sz="6" w:space="2" w:color="918585"/>
        <w:bottom w:val="single" w:sz="6" w:space="2" w:color="918585"/>
      </w:pBdr>
      <w:tabs>
        <w:tab w:val="left" w:pos="1021"/>
      </w:tabs>
      <w:ind w:firstLine="0"/>
    </w:pPr>
  </w:style>
  <w:style w:type="paragraph" w:customStyle="1" w:styleId="Warning">
    <w:name w:val="Warning"/>
    <w:basedOn w:val="BodyText"/>
    <w:rsid w:val="00B02720"/>
    <w:pPr>
      <w:shd w:val="clear" w:color="auto" w:fill="D9D9D9"/>
      <w:tabs>
        <w:tab w:val="left" w:pos="992"/>
      </w:tabs>
      <w:ind w:left="119" w:right="119"/>
    </w:pPr>
    <w:rPr>
      <w:sz w:val="20"/>
    </w:rPr>
  </w:style>
  <w:style w:type="paragraph" w:customStyle="1" w:styleId="MarginIcons">
    <w:name w:val="Margin Icons"/>
    <w:basedOn w:val="BodyText"/>
    <w:rsid w:val="00B0272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02720"/>
    <w:rPr>
      <w:rFonts w:ascii="Courier New" w:hAnsi="Courier New"/>
    </w:rPr>
  </w:style>
  <w:style w:type="paragraph" w:customStyle="1" w:styleId="NoteBullet">
    <w:name w:val="Note Bullet"/>
    <w:basedOn w:val="Note"/>
    <w:rsid w:val="00B02720"/>
    <w:pPr>
      <w:tabs>
        <w:tab w:val="clear" w:pos="680"/>
      </w:tabs>
      <w:spacing w:before="60" w:after="60"/>
    </w:pPr>
  </w:style>
  <w:style w:type="paragraph" w:customStyle="1" w:styleId="SubHeading2">
    <w:name w:val="SubHeading2"/>
    <w:basedOn w:val="HeadingBase"/>
    <w:rsid w:val="00B02720"/>
    <w:pPr>
      <w:spacing w:before="240" w:after="60"/>
    </w:pPr>
    <w:rPr>
      <w:sz w:val="20"/>
    </w:rPr>
  </w:style>
  <w:style w:type="paragraph" w:customStyle="1" w:styleId="SubHeading1">
    <w:name w:val="SubHeading1"/>
    <w:basedOn w:val="HeadingBase"/>
    <w:rsid w:val="00B02720"/>
    <w:pPr>
      <w:spacing w:before="240" w:after="60"/>
    </w:pPr>
    <w:rPr>
      <w:color w:val="918585"/>
      <w:sz w:val="22"/>
    </w:rPr>
  </w:style>
  <w:style w:type="paragraph" w:customStyle="1" w:styleId="SideHeading">
    <w:name w:val="Side Heading"/>
    <w:basedOn w:val="HeadingBase"/>
    <w:rsid w:val="00B027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02720"/>
    <w:pPr>
      <w:tabs>
        <w:tab w:val="num" w:pos="360"/>
      </w:tabs>
    </w:pPr>
  </w:style>
  <w:style w:type="paragraph" w:styleId="PlainText">
    <w:name w:val="Plain Text"/>
    <w:basedOn w:val="Normal"/>
    <w:link w:val="PlainTextChar"/>
    <w:rsid w:val="00B02720"/>
    <w:rPr>
      <w:sz w:val="20"/>
    </w:rPr>
  </w:style>
  <w:style w:type="character" w:customStyle="1" w:styleId="PlainTextChar">
    <w:name w:val="Plain Text Char"/>
    <w:basedOn w:val="DefaultParagraphFont"/>
    <w:link w:val="PlainText"/>
    <w:rsid w:val="00B02720"/>
    <w:rPr>
      <w:rFonts w:ascii="Courier New" w:eastAsia="Times New Roman" w:hAnsi="Courier New" w:cs="Times New Roman"/>
      <w:sz w:val="20"/>
      <w:szCs w:val="20"/>
      <w:lang w:eastAsia="en-US"/>
    </w:rPr>
  </w:style>
  <w:style w:type="character" w:customStyle="1" w:styleId="MenuOption">
    <w:name w:val="Menu Option"/>
    <w:basedOn w:val="DefaultParagraphFont"/>
    <w:rsid w:val="00B02720"/>
    <w:rPr>
      <w:b/>
      <w:smallCaps/>
    </w:rPr>
  </w:style>
  <w:style w:type="paragraph" w:customStyle="1" w:styleId="TableListNumber">
    <w:name w:val="Table List Number"/>
    <w:basedOn w:val="ListNumber"/>
    <w:rsid w:val="00B02720"/>
    <w:pPr>
      <w:numPr>
        <w:numId w:val="0"/>
      </w:numPr>
    </w:pPr>
  </w:style>
  <w:style w:type="paragraph" w:styleId="TOC4">
    <w:name w:val="toc 4"/>
    <w:basedOn w:val="TOCBase"/>
    <w:next w:val="Normal"/>
    <w:semiHidden/>
    <w:rsid w:val="00B02720"/>
    <w:pPr>
      <w:tabs>
        <w:tab w:val="right" w:leader="dot" w:pos="9071"/>
      </w:tabs>
      <w:ind w:left="1701"/>
    </w:pPr>
  </w:style>
  <w:style w:type="paragraph" w:customStyle="1" w:styleId="ListAlpha">
    <w:name w:val="List Alpha"/>
    <w:basedOn w:val="List"/>
    <w:rsid w:val="00B02720"/>
    <w:pPr>
      <w:numPr>
        <w:numId w:val="8"/>
      </w:numPr>
    </w:pPr>
  </w:style>
  <w:style w:type="paragraph" w:customStyle="1" w:styleId="ListAlpha2">
    <w:name w:val="List Alpha 2"/>
    <w:basedOn w:val="List2"/>
    <w:rsid w:val="00B02720"/>
    <w:pPr>
      <w:numPr>
        <w:numId w:val="7"/>
      </w:numPr>
    </w:pPr>
  </w:style>
  <w:style w:type="paragraph" w:styleId="List2">
    <w:name w:val="List 2"/>
    <w:basedOn w:val="BodyText"/>
    <w:rsid w:val="00B02720"/>
    <w:pPr>
      <w:tabs>
        <w:tab w:val="left" w:pos="680"/>
      </w:tabs>
      <w:spacing w:before="60" w:after="60"/>
      <w:ind w:left="680" w:hanging="340"/>
    </w:pPr>
  </w:style>
  <w:style w:type="paragraph" w:styleId="List3">
    <w:name w:val="List 3"/>
    <w:basedOn w:val="BodyText"/>
    <w:rsid w:val="00B02720"/>
    <w:pPr>
      <w:tabs>
        <w:tab w:val="left" w:pos="1021"/>
      </w:tabs>
      <w:spacing w:before="60" w:after="60"/>
      <w:ind w:left="1020" w:hanging="340"/>
    </w:pPr>
  </w:style>
  <w:style w:type="paragraph" w:styleId="List4">
    <w:name w:val="List 4"/>
    <w:basedOn w:val="BodyText"/>
    <w:rsid w:val="00B02720"/>
    <w:pPr>
      <w:tabs>
        <w:tab w:val="left" w:pos="1361"/>
      </w:tabs>
      <w:spacing w:before="60" w:after="60"/>
      <w:ind w:left="1361" w:hanging="340"/>
    </w:pPr>
  </w:style>
  <w:style w:type="paragraph" w:styleId="List5">
    <w:name w:val="List 5"/>
    <w:basedOn w:val="BodyText"/>
    <w:rsid w:val="00B02720"/>
    <w:pPr>
      <w:tabs>
        <w:tab w:val="left" w:pos="1701"/>
      </w:tabs>
      <w:spacing w:before="60" w:after="60"/>
      <w:ind w:left="1701" w:hanging="340"/>
    </w:pPr>
  </w:style>
  <w:style w:type="paragraph" w:styleId="ListBullet3">
    <w:name w:val="List Bullet 3"/>
    <w:basedOn w:val="List3"/>
    <w:rsid w:val="00B02720"/>
    <w:pPr>
      <w:numPr>
        <w:numId w:val="14"/>
      </w:numPr>
      <w:tabs>
        <w:tab w:val="clear" w:pos="1021"/>
      </w:tabs>
      <w:ind w:left="1037" w:hanging="357"/>
    </w:pPr>
  </w:style>
  <w:style w:type="paragraph" w:styleId="ListBullet4">
    <w:name w:val="List Bullet 4"/>
    <w:basedOn w:val="List4"/>
    <w:rsid w:val="00B02720"/>
    <w:pPr>
      <w:numPr>
        <w:numId w:val="2"/>
      </w:numPr>
    </w:pPr>
  </w:style>
  <w:style w:type="paragraph" w:styleId="ListBullet5">
    <w:name w:val="List Bullet 5"/>
    <w:basedOn w:val="List5"/>
    <w:rsid w:val="00B02720"/>
    <w:pPr>
      <w:numPr>
        <w:numId w:val="3"/>
      </w:numPr>
    </w:pPr>
  </w:style>
  <w:style w:type="paragraph" w:styleId="ListContinue2">
    <w:name w:val="List Continue 2"/>
    <w:basedOn w:val="List2"/>
    <w:rsid w:val="00B02720"/>
    <w:pPr>
      <w:ind w:firstLine="0"/>
    </w:pPr>
  </w:style>
  <w:style w:type="paragraph" w:styleId="ListContinue3">
    <w:name w:val="List Continue 3"/>
    <w:basedOn w:val="List3"/>
    <w:rsid w:val="00B02720"/>
    <w:pPr>
      <w:ind w:left="1021" w:firstLine="0"/>
    </w:pPr>
  </w:style>
  <w:style w:type="paragraph" w:styleId="ListContinue4">
    <w:name w:val="List Continue 4"/>
    <w:basedOn w:val="List4"/>
    <w:rsid w:val="00B02720"/>
    <w:pPr>
      <w:ind w:firstLine="0"/>
    </w:pPr>
  </w:style>
  <w:style w:type="paragraph" w:styleId="ListContinue5">
    <w:name w:val="List Continue 5"/>
    <w:basedOn w:val="List5"/>
    <w:rsid w:val="00B02720"/>
    <w:pPr>
      <w:ind w:firstLine="0"/>
    </w:pPr>
  </w:style>
  <w:style w:type="paragraph" w:styleId="ListNumber3">
    <w:name w:val="List Number 3"/>
    <w:basedOn w:val="List3"/>
    <w:rsid w:val="00B02720"/>
    <w:pPr>
      <w:numPr>
        <w:numId w:val="4"/>
      </w:numPr>
    </w:pPr>
  </w:style>
  <w:style w:type="paragraph" w:styleId="ListNumber4">
    <w:name w:val="List Number 4"/>
    <w:basedOn w:val="List4"/>
    <w:rsid w:val="00B02720"/>
    <w:pPr>
      <w:numPr>
        <w:numId w:val="5"/>
      </w:numPr>
    </w:pPr>
  </w:style>
  <w:style w:type="paragraph" w:styleId="ListNumber5">
    <w:name w:val="List Number 5"/>
    <w:basedOn w:val="List5"/>
    <w:rsid w:val="00B02720"/>
    <w:pPr>
      <w:numPr>
        <w:numId w:val="6"/>
      </w:numPr>
    </w:pPr>
  </w:style>
  <w:style w:type="paragraph" w:styleId="BlockText">
    <w:name w:val="Block Text"/>
    <w:basedOn w:val="Normal"/>
    <w:rsid w:val="00B02720"/>
    <w:pPr>
      <w:spacing w:after="120"/>
      <w:ind w:left="1440" w:right="1440"/>
    </w:pPr>
  </w:style>
  <w:style w:type="character" w:customStyle="1" w:styleId="Subscript">
    <w:name w:val="Subscript"/>
    <w:basedOn w:val="DefaultParagraphFont"/>
    <w:rsid w:val="00B02720"/>
    <w:rPr>
      <w:sz w:val="16"/>
      <w:vertAlign w:val="subscript"/>
    </w:rPr>
  </w:style>
  <w:style w:type="character" w:customStyle="1" w:styleId="Superscript">
    <w:name w:val="Superscript"/>
    <w:basedOn w:val="DefaultParagraphFont"/>
    <w:rsid w:val="00B02720"/>
    <w:rPr>
      <w:sz w:val="16"/>
      <w:vertAlign w:val="superscript"/>
    </w:rPr>
  </w:style>
  <w:style w:type="character" w:customStyle="1" w:styleId="Symbols">
    <w:name w:val="Symbols"/>
    <w:basedOn w:val="DefaultParagraphFont"/>
    <w:rsid w:val="00B02720"/>
    <w:rPr>
      <w:rFonts w:ascii="Symbol" w:hAnsi="Symbol"/>
    </w:rPr>
  </w:style>
  <w:style w:type="character" w:customStyle="1" w:styleId="MenuOptions">
    <w:name w:val="Menu Options"/>
    <w:basedOn w:val="DefaultParagraphFont"/>
    <w:rsid w:val="00B02720"/>
    <w:rPr>
      <w:rFonts w:ascii="Arial Narrow" w:hAnsi="Arial Narrow"/>
      <w:smallCaps/>
    </w:rPr>
  </w:style>
  <w:style w:type="character" w:customStyle="1" w:styleId="Buttons">
    <w:name w:val="Buttons"/>
    <w:basedOn w:val="DefaultParagraphFont"/>
    <w:rsid w:val="00B02720"/>
    <w:rPr>
      <w:b/>
    </w:rPr>
  </w:style>
  <w:style w:type="character" w:customStyle="1" w:styleId="Underlined">
    <w:name w:val="Underlined"/>
    <w:basedOn w:val="DefaultParagraphFont"/>
    <w:rsid w:val="00B02720"/>
    <w:rPr>
      <w:u w:val="single"/>
    </w:rPr>
  </w:style>
  <w:style w:type="paragraph" w:customStyle="1" w:styleId="TableBodyTextRight">
    <w:name w:val="Table Body Text Right"/>
    <w:basedOn w:val="TableBodyText"/>
    <w:rsid w:val="00B02720"/>
    <w:pPr>
      <w:widowControl w:val="0"/>
      <w:autoSpaceDE w:val="0"/>
      <w:autoSpaceDN w:val="0"/>
      <w:adjustRightInd w:val="0"/>
      <w:jc w:val="right"/>
    </w:pPr>
    <w:rPr>
      <w:rFonts w:cs="Arial"/>
      <w:szCs w:val="18"/>
    </w:rPr>
  </w:style>
  <w:style w:type="paragraph" w:customStyle="1" w:styleId="CopyrightText">
    <w:name w:val="Copyright Text"/>
    <w:basedOn w:val="BodyText"/>
    <w:rsid w:val="00B02720"/>
    <w:rPr>
      <w:sz w:val="18"/>
    </w:rPr>
  </w:style>
  <w:style w:type="paragraph" w:customStyle="1" w:styleId="BodySmallRight">
    <w:name w:val="Body Small Right"/>
    <w:basedOn w:val="BodyTextRight"/>
    <w:rsid w:val="00B02720"/>
    <w:rPr>
      <w:sz w:val="18"/>
      <w:szCs w:val="18"/>
    </w:rPr>
  </w:style>
  <w:style w:type="paragraph" w:customStyle="1" w:styleId="MarginEdition">
    <w:name w:val="Margin Edition"/>
    <w:basedOn w:val="MarginNote"/>
    <w:rsid w:val="00B02720"/>
    <w:pPr>
      <w:spacing w:before="0" w:after="0"/>
    </w:pPr>
    <w:rPr>
      <w:rFonts w:ascii="Times New Roman" w:hAnsi="Times New Roman"/>
      <w:color w:val="999999"/>
    </w:rPr>
  </w:style>
  <w:style w:type="paragraph" w:customStyle="1" w:styleId="Spacer">
    <w:name w:val="Spacer"/>
    <w:basedOn w:val="Normal"/>
    <w:rsid w:val="00B02720"/>
    <w:rPr>
      <w:sz w:val="2"/>
      <w:szCs w:val="2"/>
    </w:rPr>
  </w:style>
  <w:style w:type="character" w:customStyle="1" w:styleId="Small">
    <w:name w:val="Small"/>
    <w:basedOn w:val="DefaultParagraphFont"/>
    <w:rsid w:val="00B02720"/>
    <w:rPr>
      <w:sz w:val="16"/>
    </w:rPr>
  </w:style>
  <w:style w:type="paragraph" w:customStyle="1" w:styleId="WideTable">
    <w:name w:val="Wide Table"/>
    <w:basedOn w:val="Normal"/>
    <w:rsid w:val="00B02720"/>
    <w:pPr>
      <w:ind w:left="-1418"/>
    </w:pPr>
    <w:rPr>
      <w:sz w:val="2"/>
      <w:szCs w:val="2"/>
    </w:rPr>
  </w:style>
  <w:style w:type="character" w:styleId="PageNumber">
    <w:name w:val="page number"/>
    <w:basedOn w:val="DefaultParagraphFont"/>
    <w:rsid w:val="00B02720"/>
  </w:style>
  <w:style w:type="paragraph" w:styleId="Quote">
    <w:name w:val="Quote"/>
    <w:basedOn w:val="Heading1"/>
    <w:link w:val="QuoteChar"/>
    <w:qFormat/>
    <w:rsid w:val="00B02720"/>
    <w:rPr>
      <w:b w:val="0"/>
      <w:sz w:val="72"/>
      <w:szCs w:val="72"/>
      <w:lang w:val="en-NZ"/>
    </w:rPr>
  </w:style>
  <w:style w:type="character" w:customStyle="1" w:styleId="QuoteChar">
    <w:name w:val="Quote Char"/>
    <w:basedOn w:val="DefaultParagraphFont"/>
    <w:link w:val="Quote"/>
    <w:rsid w:val="00B027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02720"/>
    <w:pPr>
      <w:pageBreakBefore/>
    </w:pPr>
  </w:style>
  <w:style w:type="paragraph" w:customStyle="1" w:styleId="Border">
    <w:name w:val="Border"/>
    <w:basedOn w:val="Normal"/>
    <w:qFormat/>
    <w:rsid w:val="00B0272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02720"/>
    <w:rPr>
      <w:b/>
      <w:bCs/>
      <w:i/>
      <w:iCs/>
      <w:color w:val="auto"/>
    </w:rPr>
  </w:style>
  <w:style w:type="paragraph" w:styleId="IntenseQuote">
    <w:name w:val="Intense Quote"/>
    <w:basedOn w:val="Normal"/>
    <w:next w:val="Normal"/>
    <w:link w:val="IntenseQuoteChar"/>
    <w:uiPriority w:val="30"/>
    <w:qFormat/>
    <w:rsid w:val="00B0272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0272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02720"/>
    <w:rPr>
      <w:smallCaps/>
      <w:color w:val="auto"/>
      <w:u w:val="single"/>
    </w:rPr>
  </w:style>
  <w:style w:type="character" w:styleId="IntenseReference">
    <w:name w:val="Intense Reference"/>
    <w:basedOn w:val="DefaultParagraphFont"/>
    <w:uiPriority w:val="32"/>
    <w:qFormat/>
    <w:rsid w:val="00B02720"/>
    <w:rPr>
      <w:b/>
      <w:bCs/>
      <w:smallCaps/>
      <w:color w:val="auto"/>
      <w:spacing w:val="5"/>
      <w:u w:val="single"/>
    </w:rPr>
  </w:style>
  <w:style w:type="paragraph" w:customStyle="1" w:styleId="2ColumnHeading">
    <w:name w:val="2Column Heading"/>
    <w:basedOn w:val="BodyText"/>
    <w:qFormat/>
    <w:rsid w:val="00B02720"/>
    <w:pPr>
      <w:spacing w:after="60"/>
      <w:ind w:left="-2268"/>
    </w:pPr>
    <w:rPr>
      <w:b/>
    </w:rPr>
  </w:style>
  <w:style w:type="paragraph" w:customStyle="1" w:styleId="Heading1TOC">
    <w:name w:val="Heading1 TOC"/>
    <w:basedOn w:val="Normal"/>
    <w:qFormat/>
    <w:rsid w:val="00B02720"/>
    <w:pPr>
      <w:spacing w:before="240" w:after="120"/>
    </w:pPr>
    <w:rPr>
      <w:rFonts w:ascii="Times New Roman" w:hAnsi="Times New Roman"/>
      <w:b/>
      <w:sz w:val="32"/>
    </w:rPr>
  </w:style>
  <w:style w:type="paragraph" w:customStyle="1" w:styleId="Heading2TOC">
    <w:name w:val="Heading2 TOC"/>
    <w:basedOn w:val="Normal"/>
    <w:qFormat/>
    <w:rsid w:val="00B02720"/>
    <w:pPr>
      <w:spacing w:before="240" w:after="60"/>
    </w:pPr>
    <w:rPr>
      <w:rFonts w:ascii="Times New Roman" w:hAnsi="Times New Roman"/>
      <w:b/>
      <w:sz w:val="28"/>
    </w:rPr>
  </w:style>
  <w:style w:type="character" w:customStyle="1" w:styleId="Underline">
    <w:name w:val="Underline"/>
    <w:basedOn w:val="DefaultParagraphFont"/>
    <w:qFormat/>
    <w:rsid w:val="00B02720"/>
    <w:rPr>
      <w:u w:val="single"/>
    </w:rPr>
  </w:style>
  <w:style w:type="paragraph" w:styleId="BalloonText">
    <w:name w:val="Balloon Text"/>
    <w:basedOn w:val="Normal"/>
    <w:link w:val="BalloonTextChar"/>
    <w:rsid w:val="00B02720"/>
    <w:rPr>
      <w:rFonts w:ascii="Tahoma" w:hAnsi="Tahoma" w:cs="Tahoma"/>
      <w:sz w:val="16"/>
      <w:szCs w:val="16"/>
    </w:rPr>
  </w:style>
  <w:style w:type="character" w:customStyle="1" w:styleId="BalloonTextChar">
    <w:name w:val="Balloon Text Char"/>
    <w:basedOn w:val="DefaultParagraphFont"/>
    <w:link w:val="BalloonText"/>
    <w:rsid w:val="00B0272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0272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0272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02720"/>
    <w:rPr>
      <w:b/>
      <w:color w:val="660033"/>
      <w:spacing w:val="0"/>
    </w:rPr>
  </w:style>
  <w:style w:type="paragraph" w:customStyle="1" w:styleId="Nameditemlist">
    <w:name w:val="Named item list"/>
    <w:basedOn w:val="BodyText"/>
    <w:qFormat/>
    <w:rsid w:val="00B0272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1731</Words>
  <Characters>11002</Characters>
  <Application>Microsoft Office Word</Application>
  <DocSecurity>0</DocSecurity>
  <Lines>360</Lines>
  <Paragraphs>200</Paragraphs>
  <ScaleCrop>false</ScaleCrop>
  <Company>Author-it Software Corporation Ltd.</Company>
  <LinksUpToDate>false</LinksUpToDate>
  <CharactersWithSpaces>12632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MARF4001A Manage firefighting and fire prevention activities on board a vessel</dc:title>
  <dc:subject>Approved</dc:subject>
  <dc:creator>Transport &amp; Logistics Industry Skills Council</dc:creator>
  <cp:keywords>Release 1</cp:keywords>
  <dc:description>Review Date: 12 April 2008</dc:description>
  <cp:lastModifiedBy>TPCMS</cp:lastModifiedBy>
  <cp:revision>3</cp:revision>
  <dcterms:created xsi:type="dcterms:W3CDTF">2013-06-06T04:45:00Z</dcterms:created>
  <dcterms:modified xsi:type="dcterms:W3CDTF">2013-06-06T04:45:00Z</dcterms:modified>
</cp:coreProperties>
</file>