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6AF" w:rsidP="002F66AF">
      <w:pPr>
        <w:pStyle w:val="Title"/>
      </w:pPr>
      <w:r>
        <w:fldChar w:fldCharType="begin"/>
      </w:r>
      <w:r>
        <w:instrText xml:space="preserve"> TITLE   \* MERGEFORMAT </w:instrText>
      </w:r>
      <w:r>
        <w:fldChar w:fldCharType="separate"/>
      </w:r>
      <w:r>
        <w:t>MARF3003A Operate emergency equipment and apply emergency procedures</w:t>
      </w:r>
      <w:r>
        <w:fldChar w:fldCharType="end"/>
      </w:r>
    </w:p>
    <w:p w:rsidR="002F66AF" w:rsidP="002F66AF">
      <w:pPr>
        <w:pStyle w:val="Version"/>
        <w:sectPr w:rsidSect="00BC6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733" w:rsidP="00BC6733">
      <w:pPr>
        <w:pStyle w:val="SuperHeading"/>
      </w:pPr>
      <w:r w:rsidRPr="00BC6733">
        <w:t>MARF3003A Operate emergency equipment and apply emergency procedures</w:t>
      </w:r>
    </w:p>
    <w:p w:rsidR="00000000" w:rsidRPr="00BC6733" w:rsidP="00BC6733">
      <w:pPr>
        <w:pStyle w:val="Heading1"/>
      </w:pPr>
      <w:bookmarkStart w:id="1" w:name="O_536971"/>
      <w:bookmarkEnd w:id="1"/>
      <w:r w:rsidRPr="00BC6733">
        <w:t>Modification History</w:t>
      </w:r>
    </w:p>
    <w:p w:rsidR="00000000" w:rsidRPr="00BC6733" w:rsidP="00BC6733">
      <w:pPr>
        <w:pStyle w:val="BodyText"/>
      </w:pPr>
      <w:r w:rsidRPr="00BC6733">
        <w:t>Release 1</w:t>
      </w:r>
    </w:p>
    <w:p w:rsidR="00000000" w:rsidRPr="00BC6733" w:rsidP="00BC6733">
      <w:pPr>
        <w:pStyle w:val="BodyText"/>
      </w:pPr>
      <w:r w:rsidRPr="00BC6733">
        <w:t>This is the first release of this unit.</w:t>
      </w:r>
    </w:p>
    <w:p w:rsidR="00000000" w:rsidRPr="00BC6733" w:rsidP="00BC6733">
      <w:pPr>
        <w:pStyle w:val="BodyText"/>
      </w:pPr>
      <w:r w:rsidRPr="00BC6733">
        <w:t>This unit replaces and is equivalent to TDMMF2307B Operate emergency equipment and apply emergency procedures.</w:t>
      </w:r>
    </w:p>
    <w:p w:rsidR="00000000" w:rsidRPr="00BC6733" w:rsidP="00BC6733">
      <w:pPr>
        <w:pStyle w:val="AllowPageBreak"/>
      </w:pPr>
    </w:p>
    <w:p w:rsidR="00000000" w:rsidRPr="00BC6733" w:rsidP="00BC6733">
      <w:pPr>
        <w:pStyle w:val="Heading1"/>
      </w:pPr>
      <w:bookmarkStart w:id="2" w:name="O_536983"/>
      <w:bookmarkEnd w:id="2"/>
      <w:r w:rsidRPr="00BC6733">
        <w:t>Unit Descriptor</w:t>
      </w:r>
    </w:p>
    <w:p w:rsidR="00000000" w:rsidRPr="00BC6733" w:rsidP="00BC6733">
      <w:pPr>
        <w:pStyle w:val="BodyText"/>
      </w:pPr>
      <w:r w:rsidRPr="00BC6733">
        <w:t>This unit involves the skills and knowledge required to participate in the monitoring of emergency prevention an</w:t>
      </w:r>
      <w:r w:rsidRPr="00BC6733">
        <w:t>d applying of control procedures in an emergency for a vessel.</w:t>
      </w:r>
    </w:p>
    <w:p w:rsidR="00000000" w:rsidRPr="00BC6733" w:rsidP="00BC6733">
      <w:pPr>
        <w:pStyle w:val="AllowPageBreak"/>
      </w:pPr>
    </w:p>
    <w:p w:rsidR="00000000" w:rsidRPr="00BC6733" w:rsidP="00BC6733">
      <w:pPr>
        <w:pStyle w:val="Heading1"/>
      </w:pPr>
      <w:bookmarkStart w:id="3" w:name="O_536982"/>
      <w:bookmarkEnd w:id="3"/>
      <w:r w:rsidRPr="00BC6733">
        <w:t>Application of the Unit</w:t>
      </w:r>
    </w:p>
    <w:p w:rsidR="00000000" w:rsidRPr="00BC6733" w:rsidP="00BC6733">
      <w:pPr>
        <w:pStyle w:val="BodyText"/>
      </w:pPr>
      <w:r w:rsidRPr="00BC6733">
        <w:t>This unit applies to an Integrated Rating on a range of vessels.</w:t>
      </w:r>
    </w:p>
    <w:p w:rsidR="00000000" w:rsidRPr="00BC6733" w:rsidP="00BC6733">
      <w:pPr>
        <w:pStyle w:val="AllowPageBreak"/>
      </w:pPr>
    </w:p>
    <w:p w:rsidR="00000000" w:rsidRPr="00BC6733" w:rsidP="00BC6733">
      <w:pPr>
        <w:pStyle w:val="Heading1"/>
      </w:pPr>
      <w:bookmarkStart w:id="4" w:name="O_536981"/>
      <w:bookmarkEnd w:id="4"/>
      <w:r w:rsidRPr="00BC6733">
        <w:t>Licensing/Regulatory Information</w:t>
      </w:r>
    </w:p>
    <w:p w:rsidR="00000000" w:rsidRPr="00BC6733" w:rsidP="00BC6733">
      <w:pPr>
        <w:pStyle w:val="BodyText"/>
      </w:pPr>
      <w:r w:rsidRPr="00BC6733">
        <w:t>Not applicable.</w:t>
      </w:r>
    </w:p>
    <w:p w:rsidR="00000000" w:rsidRPr="00BC6733" w:rsidP="00BC6733">
      <w:pPr>
        <w:pStyle w:val="AllowPageBreak"/>
      </w:pPr>
    </w:p>
    <w:p w:rsidR="00000000" w:rsidRPr="00BC6733" w:rsidP="00BC6733">
      <w:pPr>
        <w:pStyle w:val="Heading1"/>
      </w:pPr>
      <w:bookmarkStart w:id="5" w:name="O_536980"/>
      <w:bookmarkEnd w:id="5"/>
      <w:r w:rsidRPr="00BC6733">
        <w:t>Pre-</w:t>
      </w:r>
      <w:r w:rsidRPr="00BC6733">
        <w:t>Requisites</w:t>
      </w:r>
    </w:p>
    <w:p w:rsidR="00000000" w:rsidRPr="00BC6733" w:rsidP="00BC6733">
      <w:pPr>
        <w:pStyle w:val="BodyText"/>
      </w:pPr>
      <w:r w:rsidRPr="00BC6733">
        <w:t>Not applicable.</w:t>
      </w:r>
    </w:p>
    <w:p w:rsidR="00000000" w:rsidRPr="00BC6733" w:rsidP="00BC6733">
      <w:pPr>
        <w:pStyle w:val="AllowPageBreak"/>
      </w:pPr>
    </w:p>
    <w:p w:rsidR="00000000" w:rsidRPr="00BC6733" w:rsidP="00BC6733">
      <w:pPr>
        <w:pStyle w:val="Heading1"/>
      </w:pPr>
      <w:bookmarkStart w:id="6" w:name="O_536979"/>
      <w:bookmarkEnd w:id="6"/>
      <w:r w:rsidRPr="00BC6733">
        <w:t>Employability Skills Information</w:t>
      </w:r>
    </w:p>
    <w:p w:rsidR="00000000" w:rsidRPr="00BC6733" w:rsidP="00BC6733">
      <w:pPr>
        <w:pStyle w:val="BodyText"/>
      </w:pPr>
      <w:r w:rsidRPr="00BC6733">
        <w:t>This unit contains employability skills.</w:t>
      </w:r>
    </w:p>
    <w:p w:rsidR="00000000" w:rsidRPr="00BC6733" w:rsidP="00BC6733">
      <w:pPr>
        <w:pStyle w:val="AllowPageBreak"/>
      </w:pPr>
    </w:p>
    <w:p w:rsidR="00000000" w:rsidRPr="00BC6733" w:rsidP="00BC6733">
      <w:pPr>
        <w:pStyle w:val="Heading1"/>
      </w:pPr>
      <w:bookmarkStart w:id="7" w:name="O_536978"/>
      <w:bookmarkEnd w:id="7"/>
      <w:r w:rsidRPr="00BC6733">
        <w:t>Elements and Performance Criteria Pre-Content</w:t>
      </w:r>
    </w:p>
    <w:tbl>
      <w:tblPr>
        <w:tblW w:w="9640" w:type="dxa"/>
        <w:tblLayout w:type="fixed"/>
        <w:tblCellMar>
          <w:left w:w="62" w:type="dxa"/>
          <w:right w:w="62" w:type="dxa"/>
        </w:tblCellMar>
        <w:tblLook w:val="0000"/>
      </w:tblPr>
      <w:tblGrid>
        <w:gridCol w:w="2776"/>
        <w:gridCol w:w="6864"/>
      </w:tblGrid>
      <w:tr w:rsidTr="002F66A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C6733" w:rsidP="00BC6733">
            <w:pPr>
              <w:pStyle w:val="BodyText"/>
            </w:pPr>
            <w:r w:rsidRPr="00BC6733">
              <w:t>Performan</w:t>
            </w:r>
            <w:r w:rsidRPr="00BC6733">
              <w:t>ce criteria describe the required performance needed to demonstrate achievement of the element. Assessment of performance is to be consistent with the evidence guide.</w:t>
            </w:r>
          </w:p>
        </w:tc>
      </w:tr>
    </w:tbl>
    <w:p w:rsidR="00000000" w:rsidRPr="00BC6733" w:rsidP="00BC6733">
      <w:pPr>
        <w:pStyle w:val="BodyText"/>
      </w:pPr>
    </w:p>
    <w:p w:rsidR="00000000" w:rsidRPr="00BC6733" w:rsidP="00BC6733">
      <w:pPr>
        <w:pStyle w:val="AllowPageBreak"/>
      </w:pPr>
    </w:p>
    <w:p w:rsidR="00000000" w:rsidRPr="00BC6733" w:rsidP="00BC6733">
      <w:pPr>
        <w:pStyle w:val="Heading1"/>
      </w:pPr>
      <w:bookmarkStart w:id="8" w:name="O_536977"/>
      <w:bookmarkEnd w:id="8"/>
      <w:r w:rsidRPr="00BC673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2F66A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C6733" w:rsidP="00BC6733">
            <w:pPr>
              <w:pStyle w:val="BodyText"/>
            </w:pPr>
            <w:r w:rsidRPr="00BC673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rPr>
                <w:rStyle w:val="SpecialBold"/>
              </w:rPr>
              <w:t>Apply emergency procedures</w:t>
            </w:r>
          </w:p>
        </w:tc>
        <w:tc>
          <w:tcPr>
            <w:tcW w:w="584" w:type="dxa"/>
            <w:tcBorders>
              <w:top w:val="nil"/>
              <w:left w:val="nil"/>
              <w:bottom w:val="nil"/>
              <w:right w:val="nil"/>
            </w:tcBorders>
            <w:tcMar>
              <w:top w:w="0" w:type="dxa"/>
              <w:left w:w="62" w:type="dxa"/>
              <w:bottom w:w="0" w:type="dxa"/>
              <w:right w:w="62" w:type="dxa"/>
            </w:tcMar>
          </w:tcPr>
          <w:p w:rsidR="00000000" w:rsidRPr="00BC6733" w:rsidP="00BC6733">
            <w:pPr>
              <w:pStyle w:val="BodyText"/>
            </w:pPr>
            <w:r w:rsidRPr="00BC6733">
              <w:t>1.1</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rPr>
                <w:rStyle w:val="BoldandItalics"/>
              </w:rPr>
              <w:t xml:space="preserve">Emergencies </w:t>
            </w:r>
            <w:r w:rsidRPr="00BC6733">
              <w:t>are correctly identified according to organisational procedures</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1.2</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 xml:space="preserve">On becoming aware of an emergency or abnormal situation, organisational procedures for initial action are conformed with </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BC6733" w:rsidP="00BC6733">
            <w:pPr>
              <w:pStyle w:val="BodyText"/>
            </w:pPr>
            <w:r w:rsidRPr="00BC6733">
              <w:t>1.3</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rPr>
                <w:rStyle w:val="BoldandItalics"/>
              </w:rPr>
              <w:t>Emergency and distress alerting systems</w:t>
            </w:r>
            <w:r w:rsidRPr="00BC6733">
              <w:t xml:space="preserve"> are activated according to manufacturer instructions and organisational procedures </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1.4</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False distress alerts are avoided and appropriate action is taken in the event of accidental activation of a distress alert according to organisational procedures</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1.5</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Orders are acknowledged and followed</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1.6</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Allocated duties for emergency situations are performed according to organisational procedures</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1.7</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Communications are maintained with others to facilitate the emergency response process</w:t>
            </w:r>
          </w:p>
        </w:tc>
      </w:tr>
      <w:tr w:rsidTr="002F66A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C6733" w:rsidP="00BC6733">
            <w:pPr>
              <w:pStyle w:val="BodyText"/>
            </w:pPr>
            <w:r w:rsidRPr="00BC673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rPr>
                <w:rStyle w:val="SpecialBold"/>
              </w:rPr>
              <w:t>Maintain integrity of emergency and distress alerting systems</w:t>
            </w: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2.1</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Emergency and distress alerting systems maintenance requirements are specified and managed</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2.2</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Systems maintenance is audited for compliance</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2.3</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Systems are assessed for useability and accessibility, and are reported according to organisational procedures</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2.4</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 xml:space="preserve">Procedures are followed to correct </w:t>
            </w:r>
            <w:r w:rsidRPr="00BC6733">
              <w:rPr>
                <w:rStyle w:val="BoldandItalics"/>
              </w:rPr>
              <w:t>systems defects and deficiencies</w:t>
            </w:r>
          </w:p>
        </w:tc>
      </w:tr>
      <w:tr w:rsidTr="002F66A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C6733" w:rsidP="00BC6733">
            <w:pPr>
              <w:pStyle w:val="BodyText"/>
            </w:pPr>
            <w:r w:rsidRPr="00BC673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rPr>
                <w:rStyle w:val="SpecialBold"/>
              </w:rPr>
              <w:t>Report and record emergency and distress alerting systems faults</w:t>
            </w: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3.</w:t>
            </w:r>
            <w:r w:rsidRPr="00BC6733">
              <w:t>1</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Schedule for verifying and reporting faults is developed and implemented</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3.2</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Details and nature of faults are recorded and where possible rectified according to manufacturer instructions and organisational procedures</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3.3</w:t>
            </w:r>
          </w:p>
        </w:tc>
        <w:tc>
          <w:tcPr>
            <w:tcW w:w="686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Reports on faults are provided and contain recommendations for improvements according to organisational procedures</w:t>
            </w:r>
          </w:p>
        </w:tc>
      </w:tr>
      <w:tr w:rsidTr="002F66A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3.4</w:t>
            </w:r>
          </w:p>
        </w:tc>
        <w:tc>
          <w:tcPr>
            <w:tcW w:w="6864" w:type="dxa"/>
            <w:tcBorders>
              <w:top w:val="nil"/>
              <w:left w:val="nil"/>
              <w:bottom w:val="nil"/>
              <w:right w:val="nil"/>
            </w:tcBorders>
            <w:tcMar>
              <w:top w:w="0" w:type="dxa"/>
              <w:left w:w="62" w:type="dxa"/>
              <w:bottom w:w="0" w:type="dxa"/>
              <w:right w:w="62" w:type="dxa"/>
            </w:tcMar>
          </w:tcPr>
          <w:p w:rsidR="00000000" w:rsidRPr="00BC6733" w:rsidP="00BC6733">
            <w:pPr>
              <w:pStyle w:val="BodyText"/>
            </w:pPr>
            <w:r w:rsidRPr="00BC6733">
              <w:t>Frequency of occurrence of faults is monitored and reported according to organisational procedures</w:t>
            </w:r>
          </w:p>
        </w:tc>
      </w:tr>
    </w:tbl>
    <w:p w:rsidR="00000000" w:rsidRPr="00BC6733" w:rsidP="00BC6733">
      <w:pPr>
        <w:pStyle w:val="BodyText"/>
      </w:pPr>
    </w:p>
    <w:p w:rsidR="00000000" w:rsidRPr="00BC6733" w:rsidP="00BC6733">
      <w:pPr>
        <w:pStyle w:val="AllowPageBreak"/>
      </w:pPr>
    </w:p>
    <w:p w:rsidR="00000000" w:rsidRPr="00BC6733" w:rsidP="00BC6733">
      <w:pPr>
        <w:pStyle w:val="Heading1"/>
      </w:pPr>
      <w:bookmarkStart w:id="9" w:name="O_536976"/>
      <w:bookmarkEnd w:id="9"/>
      <w:r w:rsidRPr="00BC6733">
        <w:t>Required Skills and Knowledge</w:t>
      </w:r>
    </w:p>
    <w:tbl>
      <w:tblPr>
        <w:tblW w:w="0" w:type="auto"/>
        <w:tblCellMar>
          <w:left w:w="62" w:type="dxa"/>
          <w:right w:w="62" w:type="dxa"/>
        </w:tblCellMar>
        <w:tblLook w:val="0000"/>
      </w:tblPr>
      <w:tblGrid>
        <w:gridCol w:w="9196"/>
      </w:tblGrid>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This section describes the skills and knowledge required for this unit.</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rPr>
                <w:rStyle w:val="SpecialBold"/>
              </w:rPr>
              <w:t>Required Skills: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ListBullet"/>
              <w:rPr>
                <w:lang w:val="en-NZ"/>
              </w:rPr>
            </w:pPr>
            <w:r w:rsidRPr="00BC6733">
              <w:t>Identify, isolate and report faulty or non-operational emergency and distress alerting systems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ListBullet"/>
              <w:rPr>
                <w:lang w:val="en-NZ"/>
              </w:rPr>
            </w:pPr>
            <w:r w:rsidRPr="00BC6733">
              <w:t>Read and follow emergen</w:t>
            </w:r>
            <w:r w:rsidRPr="00BC6733">
              <w:t>cy procedures in real or simulated emergency situations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ListBullet"/>
              <w:rPr>
                <w:lang w:val="en-NZ"/>
              </w:rPr>
            </w:pPr>
            <w:r w:rsidRPr="00BC6733">
              <w:t>Read and interpret basic instructions and standard operating procedures for emergency and distress alerting systems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ListBullet"/>
              <w:rPr>
                <w:lang w:val="en-NZ"/>
              </w:rPr>
            </w:pPr>
            <w:r w:rsidRPr="00BC6733">
              <w:t xml:space="preserve">Recognise routine problems that may occur when operating emergency and distress </w:t>
            </w:r>
            <w:r w:rsidRPr="00BC6733">
              <w:t>alerting systems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6733" w:rsidP="00BC6733">
            <w:pPr>
              <w:pStyle w:val="ListBullet"/>
            </w:pPr>
            <w:r w:rsidRPr="00BC6733">
              <w:t>Select and use emergency and distress alerting systems</w:t>
            </w:r>
          </w:p>
        </w:tc>
      </w:tr>
    </w:tbl>
    <w:p w:rsidR="00000000" w:rsidRPr="00BC6733" w:rsidP="00BC6733">
      <w:pPr>
        <w:pStyle w:val="BodyText"/>
      </w:pPr>
    </w:p>
    <w:tbl>
      <w:tblPr>
        <w:tblW w:w="0" w:type="auto"/>
        <w:tblCellMar>
          <w:left w:w="62" w:type="dxa"/>
          <w:right w:w="62" w:type="dxa"/>
        </w:tblCellMar>
        <w:tblLook w:val="0000"/>
      </w:tblPr>
      <w:tblGrid>
        <w:gridCol w:w="9196"/>
      </w:tblGrid>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rPr>
                <w:rStyle w:val="SpecialBold"/>
              </w:rPr>
              <w:t>Required Knowledge:</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ListBullet"/>
              <w:rPr>
                <w:lang w:val="en-NZ"/>
              </w:rPr>
            </w:pPr>
            <w:r w:rsidRPr="00BC6733">
              <w:t>Applicable sections of relevant maritime regulations dealing with emergency equipment and procedures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ListBullet"/>
              <w:rPr>
                <w:lang w:val="en-NZ"/>
              </w:rPr>
            </w:pPr>
            <w:r w:rsidRPr="00BC6733">
              <w:t>Duties and responsibilities of shipboard personnel duri</w:t>
            </w:r>
            <w:r w:rsidRPr="00BC6733">
              <w:t>ng emergencies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ListBullet"/>
              <w:rPr>
                <w:lang w:val="en-NZ"/>
              </w:rPr>
            </w:pPr>
            <w:r w:rsidRPr="00BC6733">
              <w:t>Emergency duties and alarm signals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ListBullet"/>
              <w:rPr>
                <w:lang w:val="en-NZ"/>
              </w:rPr>
            </w:pPr>
            <w:r w:rsidRPr="00BC6733">
              <w:t>Functions and purpose of pyrotechnic distress signals, satellite emergency position indicating radio beacons (EPIRBs) and search and rescue transponders (SARTs)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ListBullet"/>
              <w:rPr>
                <w:lang w:val="en-NZ"/>
              </w:rPr>
            </w:pPr>
            <w:r w:rsidRPr="00BC6733">
              <w:t>Identification of pyrotechnic expiry dates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6733" w:rsidP="00BC6733">
            <w:pPr>
              <w:pStyle w:val="ListBullet"/>
            </w:pPr>
            <w:r w:rsidRPr="00BC6733">
              <w:t>Procedures for:</w:t>
            </w:r>
          </w:p>
          <w:p w:rsidR="00000000" w:rsidRPr="00BC6733" w:rsidP="00BC6733">
            <w:pPr>
              <w:pStyle w:val="ListBullet2"/>
            </w:pPr>
            <w:r w:rsidRPr="00BC6733">
              <w:t>activating maritime emergency alarms</w:t>
            </w:r>
          </w:p>
          <w:p w:rsidR="00000000" w:rsidRPr="00BC6733" w:rsidP="00BC6733">
            <w:pPr>
              <w:pStyle w:val="ListBullet2"/>
            </w:pPr>
            <w:r w:rsidRPr="00BC6733">
              <w:t>emergency response on board a vessel</w:t>
            </w:r>
          </w:p>
          <w:p w:rsidR="00000000" w:rsidP="00BC6733">
            <w:pPr>
              <w:pStyle w:val="ListBullet2"/>
              <w:rPr>
                <w:lang w:val="en-NZ"/>
              </w:rPr>
            </w:pPr>
            <w:r w:rsidRPr="00BC6733">
              <w:t>testing EPIRBs and SARTs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ListBullet"/>
              <w:rPr>
                <w:lang w:val="en-NZ"/>
              </w:rPr>
            </w:pPr>
            <w:r w:rsidRPr="00BC6733">
              <w:t>Safety of Life at Sea (SOLAS) Convention and related regulations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ListBullet"/>
              <w:rPr>
                <w:lang w:val="en-NZ"/>
              </w:rPr>
            </w:pPr>
            <w:r w:rsidRPr="00BC6733">
              <w:t>Techniques for avoiding false distress alerts and action to be taken in the event of accidental activation</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6733" w:rsidP="00BC6733">
            <w:pPr>
              <w:pStyle w:val="ListBullet"/>
            </w:pPr>
            <w:r w:rsidRPr="00BC6733">
              <w:t>Work health and safety (WHS)/occupational health and safety (OHS) requirements and work practices</w:t>
            </w:r>
          </w:p>
        </w:tc>
      </w:tr>
    </w:tbl>
    <w:p w:rsidR="002F66AF" w:rsidP="00BC6733">
      <w:pPr>
        <w:pStyle w:val="BodyText"/>
      </w:pPr>
    </w:p>
    <w:p w:rsidR="002F66AF" w:rsidP="00BC6733">
      <w:pPr>
        <w:pStyle w:val="BodyText"/>
      </w:pPr>
    </w:p>
    <w:p w:rsidR="00000000" w:rsidRPr="00BC6733" w:rsidP="00BC6733">
      <w:pPr>
        <w:pStyle w:val="Heading1"/>
      </w:pPr>
      <w:bookmarkStart w:id="10" w:name="O_536975"/>
      <w:bookmarkEnd w:id="10"/>
      <w:r w:rsidRPr="00BC6733">
        <w:t>Evidence Guide</w:t>
      </w:r>
    </w:p>
    <w:tbl>
      <w:tblPr>
        <w:tblW w:w="9499" w:type="dxa"/>
        <w:tblLayout w:type="fixed"/>
        <w:tblCellMar>
          <w:left w:w="62" w:type="dxa"/>
          <w:right w:w="62" w:type="dxa"/>
        </w:tblCellMar>
        <w:tblLook w:val="0000"/>
      </w:tblPr>
      <w:tblGrid>
        <w:gridCol w:w="3340"/>
        <w:gridCol w:w="6159"/>
      </w:tblGrid>
      <w:tr w:rsidTr="00BC673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The evidence guide provides advice on assessment and must be read in conjunction with the performance criteria, the required skills and knowledge, the range statement and the Assessment Guidelines for the Training Package.</w:t>
            </w:r>
          </w:p>
        </w:tc>
      </w:tr>
      <w:tr w:rsidTr="00BC673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rPr>
                <w:rStyle w:val="SpecialBold"/>
              </w:rPr>
              <w:t>Critical aspects for assessment</w:t>
            </w:r>
            <w:r w:rsidRPr="00BC6733">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BC6733" w:rsidP="00BC6733">
            <w:pPr>
              <w:pStyle w:val="BodyText"/>
            </w:pPr>
            <w:r w:rsidRPr="00BC6733">
              <w:t xml:space="preserve">The evidence required to demonstrate competence in this unit must be relevant to and satisfy all of the requirements of the Elements, Performance </w:t>
            </w:r>
            <w:r w:rsidRPr="00BC6733">
              <w:t>Criteria, Required Skills, Required Knowledge and include:</w:t>
            </w:r>
          </w:p>
          <w:p w:rsidR="00000000" w:rsidP="00BC6733">
            <w:pPr>
              <w:pStyle w:val="ListBullet"/>
              <w:rPr>
                <w:lang w:val="en-NZ"/>
              </w:rPr>
            </w:pPr>
            <w:r w:rsidRPr="00BC6733">
              <w:t>communicating clearly and concisely in an emergency or abnormal situation.</w:t>
            </w:r>
          </w:p>
        </w:tc>
      </w:tr>
      <w:tr w:rsidTr="00BC673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BC6733" w:rsidP="00BC6733">
            <w:pPr>
              <w:pStyle w:val="BodyText"/>
            </w:pPr>
            <w:r w:rsidRPr="00BC6733">
              <w:t>Performance is demonstrated consistently over time and in a suitable ra</w:t>
            </w:r>
            <w:r w:rsidRPr="00BC6733">
              <w:t>nge of contexts.</w:t>
            </w:r>
          </w:p>
          <w:p w:rsidR="00000000" w:rsidRPr="00BC6733" w:rsidP="00BC6733">
            <w:pPr>
              <w:pStyle w:val="BodyText"/>
            </w:pPr>
            <w:r w:rsidRPr="00BC6733">
              <w:t>Resources for assessment include access to:</w:t>
            </w:r>
          </w:p>
          <w:p w:rsidR="00000000" w:rsidRPr="00BC6733" w:rsidP="00BC6733">
            <w:pPr>
              <w:pStyle w:val="ListBullet"/>
            </w:pPr>
            <w:r w:rsidRPr="00BC6733">
              <w:t>industry-approved marine operations site where operating emergency equipment and applying emergency procedures can be conducted or simulated</w:t>
            </w:r>
          </w:p>
          <w:p w:rsidR="00000000" w:rsidRPr="00BC6733" w:rsidP="00BC6733">
            <w:pPr>
              <w:pStyle w:val="ListBullet"/>
            </w:pPr>
            <w:r w:rsidRPr="00BC6733">
              <w:t>tools, equipment and personal protective equipment cu</w:t>
            </w:r>
            <w:r w:rsidRPr="00BC6733">
              <w:t>rrently used in industry</w:t>
            </w:r>
          </w:p>
          <w:p w:rsidR="00000000" w:rsidRPr="00BC6733" w:rsidP="00BC6733">
            <w:pPr>
              <w:pStyle w:val="ListBullet"/>
            </w:pPr>
            <w:r w:rsidRPr="00BC6733">
              <w:t>relevant regulatory and equipment documentation that impacts on work activities</w:t>
            </w:r>
          </w:p>
          <w:p w:rsidR="00000000" w:rsidRPr="00BC6733" w:rsidP="00BC6733">
            <w:pPr>
              <w:pStyle w:val="ListBullet"/>
            </w:pPr>
            <w:r w:rsidRPr="00BC6733">
              <w:t>range of relevant exercises, case studies and/or other simulated practical and knowledge assessments</w:t>
            </w:r>
          </w:p>
          <w:p w:rsidR="00000000" w:rsidRPr="00BC6733" w:rsidP="00BC6733">
            <w:pPr>
              <w:pStyle w:val="ListBullet"/>
            </w:pPr>
            <w:r w:rsidRPr="00BC6733">
              <w:t>appropriate range of relevant operational situatio</w:t>
            </w:r>
            <w:r w:rsidRPr="00BC6733">
              <w:t>ns in the workplace.</w:t>
            </w:r>
          </w:p>
          <w:p w:rsidR="00000000" w:rsidRPr="00BC6733" w:rsidP="00BC6733">
            <w:pPr>
              <w:pStyle w:val="BodyText"/>
            </w:pPr>
            <w:r w:rsidRPr="00BC6733">
              <w:t>In both real and simulated environments, access is required to:</w:t>
            </w:r>
          </w:p>
          <w:p w:rsidR="00000000" w:rsidRPr="00BC6733" w:rsidP="00BC6733">
            <w:pPr>
              <w:pStyle w:val="ListBullet"/>
            </w:pPr>
            <w:r w:rsidRPr="00BC6733">
              <w:t>relevant and appropriate materials and equipment</w:t>
            </w:r>
          </w:p>
          <w:p w:rsidR="00000000" w:rsidP="00BC6733">
            <w:pPr>
              <w:pStyle w:val="ListBullet"/>
              <w:rPr>
                <w:lang w:val="en-NZ"/>
              </w:rPr>
            </w:pPr>
            <w:r w:rsidRPr="00BC6733">
              <w:t>applicable documentation including workplace procedures, regulations, codes of practice and operation manuals.</w:t>
            </w:r>
          </w:p>
        </w:tc>
      </w:tr>
      <w:tr w:rsidTr="00BC673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BC6733" w:rsidP="00BC6733">
            <w:pPr>
              <w:pStyle w:val="BodyText"/>
            </w:pPr>
            <w:r w:rsidRPr="00BC6733">
              <w:t>Practical assessment must occur in an:</w:t>
            </w:r>
          </w:p>
          <w:p w:rsidR="00000000" w:rsidRPr="00BC6733" w:rsidP="00BC6733">
            <w:pPr>
              <w:pStyle w:val="ListBullet"/>
            </w:pPr>
            <w:r w:rsidRPr="00BC6733">
              <w:t>appropriately simulated workplace environment and/or</w:t>
            </w:r>
          </w:p>
          <w:p w:rsidR="00000000" w:rsidRPr="00BC6733" w:rsidP="00BC6733">
            <w:pPr>
              <w:pStyle w:val="ListBullet"/>
            </w:pPr>
            <w:r w:rsidRPr="00BC6733">
              <w:t>appropriate range of situations in the workplace.</w:t>
            </w:r>
          </w:p>
          <w:p w:rsidR="00000000" w:rsidRPr="00BC6733" w:rsidP="00BC6733">
            <w:pPr>
              <w:pStyle w:val="BodyText"/>
            </w:pPr>
            <w:r w:rsidRPr="00BC6733">
              <w:t>A range of assessment methods should be used to assess practical skills and knowledge. The f</w:t>
            </w:r>
            <w:r w:rsidRPr="00BC6733">
              <w:t>ollowing examples are appropriate to this unit:</w:t>
            </w:r>
          </w:p>
          <w:p w:rsidR="00000000" w:rsidRPr="00BC6733" w:rsidP="00BC6733">
            <w:pPr>
              <w:pStyle w:val="ListBullet"/>
            </w:pPr>
            <w:r w:rsidRPr="00BC6733">
              <w:t>direct observation of the candidate operating emergency equipment and applying emergency procedures in actual or simulated emergency situations</w:t>
            </w:r>
          </w:p>
          <w:p w:rsidR="00000000" w:rsidP="00BC6733">
            <w:pPr>
              <w:pStyle w:val="ListBullet"/>
              <w:rPr>
                <w:lang w:val="en-NZ"/>
              </w:rPr>
            </w:pPr>
            <w:r w:rsidRPr="00BC6733">
              <w:t>direct observation of the candidate applying Relevant WHS/OHS r</w:t>
            </w:r>
            <w:r w:rsidRPr="00BC6733">
              <w:t>equirements and work practices.</w:t>
            </w:r>
          </w:p>
        </w:tc>
      </w:tr>
      <w:tr w:rsidTr="00BC673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BC6733" w:rsidP="00BC6733">
            <w:pPr>
              <w:pStyle w:val="BodyText"/>
            </w:pPr>
            <w:r w:rsidRPr="00BC6733">
              <w:t>Holistic assessment with other units relevant to the industry sector, workplace and job role is recommended.</w:t>
            </w:r>
          </w:p>
          <w:p w:rsidR="00000000" w:rsidRPr="00BC6733" w:rsidP="00BC6733">
            <w:pPr>
              <w:pStyle w:val="BodyText"/>
            </w:pPr>
            <w:r w:rsidRPr="00BC6733">
              <w:t>In all cases where practical assessment is used it should be combined with tar</w:t>
            </w:r>
            <w:r w:rsidRPr="00BC6733">
              <w:t>geted questioning to assess Required Knowledge.</w:t>
            </w:r>
          </w:p>
          <w:p w:rsidR="00000000" w:rsidRPr="00BC6733" w:rsidP="00BC6733">
            <w:pPr>
              <w:pStyle w:val="BodyText"/>
            </w:pPr>
            <w:r w:rsidRPr="00BC6733">
              <w:t>Assessment processes and techniques must be appropriate to the language and literacy requirements of the work being performed and the capacity of the candidate.</w:t>
            </w:r>
          </w:p>
        </w:tc>
      </w:tr>
    </w:tbl>
    <w:p w:rsidR="00000000" w:rsidRPr="00BC6733" w:rsidP="00BC6733">
      <w:pPr>
        <w:pStyle w:val="BodyText"/>
      </w:pPr>
    </w:p>
    <w:p w:rsidR="00000000" w:rsidRPr="00BC6733" w:rsidP="00BC6733">
      <w:pPr>
        <w:pStyle w:val="AllowPageBreak"/>
      </w:pPr>
    </w:p>
    <w:p w:rsidR="00000000" w:rsidRPr="00BC6733" w:rsidP="00BC6733">
      <w:pPr>
        <w:pStyle w:val="Heading1"/>
      </w:pPr>
      <w:bookmarkStart w:id="11" w:name="O_536974"/>
      <w:bookmarkEnd w:id="11"/>
      <w:r w:rsidRPr="00BC6733">
        <w:t>Range Statement</w:t>
      </w:r>
    </w:p>
    <w:tbl>
      <w:tblPr>
        <w:tblW w:w="0" w:type="auto"/>
        <w:tblCellMar>
          <w:left w:w="62" w:type="dxa"/>
          <w:right w:w="62" w:type="dxa"/>
        </w:tblCellMar>
        <w:tblLook w:val="0000"/>
      </w:tblPr>
      <w:tblGrid>
        <w:gridCol w:w="2586"/>
        <w:gridCol w:w="6610"/>
      </w:tblGrid>
      <w:tr w:rsidTr="002F66A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The range statement relates to the unit of competency as a whole. It allows for different work environments and situations that may affect performance. Bold italicised wording, if used in the performance criteria, is detailed below.</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Emergencies may inclu</w:t>
            </w:r>
            <w:r w:rsidRPr="00BC6733">
              <w:t>de:</w:t>
            </w:r>
          </w:p>
        </w:tc>
        <w:tc>
          <w:tcPr>
            <w:tcW w:w="0" w:type="auto"/>
            <w:tcBorders>
              <w:top w:val="nil"/>
              <w:left w:val="nil"/>
              <w:bottom w:val="nil"/>
              <w:right w:val="nil"/>
            </w:tcBorders>
            <w:tcMar>
              <w:top w:w="0" w:type="dxa"/>
              <w:left w:w="62" w:type="dxa"/>
              <w:bottom w:w="0" w:type="dxa"/>
              <w:right w:w="62" w:type="dxa"/>
            </w:tcMar>
          </w:tcPr>
          <w:p w:rsidR="00000000" w:rsidRPr="00BC6733" w:rsidP="00BC6733">
            <w:pPr>
              <w:pStyle w:val="ListBullet"/>
            </w:pPr>
            <w:r w:rsidRPr="00BC6733">
              <w:t>Any situation leading to abandonment of a vessel</w:t>
            </w:r>
          </w:p>
          <w:p w:rsidR="00000000" w:rsidP="00BC6733">
            <w:pPr>
              <w:pStyle w:val="ListBullet"/>
              <w:rPr>
                <w:lang w:val="en-NZ"/>
              </w:rPr>
            </w:pPr>
            <w:r w:rsidRPr="00BC6733">
              <w:t>Responding to distress alerts from other vessels</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Emergency and distress alerting systems</w:t>
            </w:r>
          </w:p>
        </w:tc>
        <w:tc>
          <w:tcPr>
            <w:tcW w:w="0" w:type="auto"/>
            <w:tcBorders>
              <w:top w:val="nil"/>
              <w:left w:val="nil"/>
              <w:bottom w:val="nil"/>
              <w:right w:val="nil"/>
            </w:tcBorders>
            <w:tcMar>
              <w:top w:w="0" w:type="dxa"/>
              <w:left w:w="62" w:type="dxa"/>
              <w:bottom w:w="0" w:type="dxa"/>
              <w:right w:w="62" w:type="dxa"/>
            </w:tcMar>
          </w:tcPr>
          <w:p w:rsidR="00000000" w:rsidRPr="00BC6733" w:rsidP="00BC6733">
            <w:pPr>
              <w:pStyle w:val="ListBullet"/>
            </w:pPr>
            <w:r w:rsidRPr="00BC6733">
              <w:t xml:space="preserve">Internal public address system </w:t>
            </w:r>
          </w:p>
          <w:p w:rsidR="00000000" w:rsidRPr="00BC6733" w:rsidP="00BC6733">
            <w:pPr>
              <w:pStyle w:val="ListBullet"/>
            </w:pPr>
            <w:r w:rsidRPr="00BC6733">
              <w:t>Pyrotechnic distress signals</w:t>
            </w:r>
          </w:p>
          <w:p w:rsidR="00000000" w:rsidRPr="00BC6733" w:rsidP="00BC6733">
            <w:pPr>
              <w:pStyle w:val="ListBullet"/>
            </w:pPr>
            <w:r w:rsidRPr="00BC6733">
              <w:t>SARTs</w:t>
            </w:r>
          </w:p>
          <w:p w:rsidR="00000000" w:rsidRPr="00BC6733" w:rsidP="00BC6733">
            <w:pPr>
              <w:pStyle w:val="ListBullet"/>
            </w:pPr>
            <w:r w:rsidRPr="00BC6733">
              <w:t>Satellite EPIRBs</w:t>
            </w:r>
          </w:p>
          <w:p w:rsidR="00000000" w:rsidP="00BC6733">
            <w:pPr>
              <w:pStyle w:val="ListBullet"/>
              <w:rPr>
                <w:lang w:val="en-NZ"/>
              </w:rPr>
            </w:pPr>
            <w:r w:rsidRPr="00BC6733">
              <w:t>Ships whistle</w:t>
            </w:r>
          </w:p>
        </w:tc>
      </w:tr>
      <w:tr w:rsidTr="002F66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733">
            <w:pPr>
              <w:pStyle w:val="BodyText"/>
              <w:rPr>
                <w:lang w:val="en-NZ"/>
              </w:rPr>
            </w:pPr>
            <w:r w:rsidRPr="00BC6733">
              <w:t>Systems defects and deficiencies may include:</w:t>
            </w:r>
          </w:p>
        </w:tc>
        <w:tc>
          <w:tcPr>
            <w:tcW w:w="0" w:type="auto"/>
            <w:tcBorders>
              <w:top w:val="nil"/>
              <w:left w:val="nil"/>
              <w:bottom w:val="nil"/>
              <w:right w:val="nil"/>
            </w:tcBorders>
            <w:tcMar>
              <w:top w:w="0" w:type="dxa"/>
              <w:left w:w="62" w:type="dxa"/>
              <w:bottom w:w="0" w:type="dxa"/>
              <w:right w:w="62" w:type="dxa"/>
            </w:tcMar>
          </w:tcPr>
          <w:p w:rsidR="00000000" w:rsidRPr="00BC6733" w:rsidP="00BC6733">
            <w:pPr>
              <w:pStyle w:val="ListBullet"/>
            </w:pPr>
            <w:r w:rsidRPr="00BC6733">
              <w:t>EPIRB function test failure</w:t>
            </w:r>
          </w:p>
          <w:p w:rsidR="00000000" w:rsidRPr="00BC6733" w:rsidP="00BC6733">
            <w:pPr>
              <w:pStyle w:val="ListBullet"/>
            </w:pPr>
            <w:r w:rsidRPr="00BC6733">
              <w:t>Out-of-date pyrotechnics distress signals</w:t>
            </w:r>
          </w:p>
          <w:p w:rsidR="00000000" w:rsidRPr="00BC6733" w:rsidP="00BC6733">
            <w:pPr>
              <w:pStyle w:val="ListBullet"/>
            </w:pPr>
            <w:r w:rsidRPr="00BC6733">
              <w:t>SART not operating</w:t>
            </w:r>
          </w:p>
        </w:tc>
      </w:tr>
    </w:tbl>
    <w:p w:rsidR="00000000" w:rsidRPr="00BC6733" w:rsidP="00BC6733">
      <w:pPr>
        <w:pStyle w:val="BodyText"/>
      </w:pPr>
    </w:p>
    <w:p w:rsidR="00000000" w:rsidRPr="00BC6733" w:rsidP="00BC6733">
      <w:pPr>
        <w:pStyle w:val="AllowPageBreak"/>
      </w:pPr>
    </w:p>
    <w:p w:rsidR="00000000" w:rsidRPr="00BC6733" w:rsidP="00BC6733">
      <w:pPr>
        <w:pStyle w:val="Heading1"/>
      </w:pPr>
      <w:bookmarkStart w:id="12" w:name="O_536973"/>
      <w:bookmarkEnd w:id="12"/>
      <w:r w:rsidRPr="00BC6733">
        <w:t>Unit Sector(s)</w:t>
      </w:r>
    </w:p>
    <w:p w:rsidR="00000000" w:rsidRPr="00BC6733" w:rsidP="00BC6733">
      <w:pPr>
        <w:pStyle w:val="BodyText"/>
      </w:pPr>
      <w:r w:rsidRPr="00BC6733">
        <w:t>Not applicable.</w:t>
      </w:r>
    </w:p>
    <w:p w:rsidR="00000000" w:rsidRPr="00BC6733" w:rsidP="00BC6733">
      <w:pPr>
        <w:pStyle w:val="AllowPageBreak"/>
      </w:pPr>
    </w:p>
    <w:p w:rsidR="00000000" w:rsidRPr="00BC6733" w:rsidP="00BC6733">
      <w:pPr>
        <w:pStyle w:val="Heading1"/>
      </w:pPr>
      <w:bookmarkStart w:id="13" w:name="O_536972"/>
      <w:bookmarkEnd w:id="13"/>
      <w:r w:rsidRPr="00BC6733">
        <w:t>Competency Field</w:t>
      </w:r>
    </w:p>
    <w:p w:rsidR="00000000" w:rsidRPr="00BC6733" w:rsidP="00BC6733">
      <w:pPr>
        <w:pStyle w:val="BodyText"/>
      </w:pPr>
      <w:r w:rsidRPr="00BC6733">
        <w:t>Operational Quality and Safety</w:t>
      </w:r>
    </w:p>
    <w:p w:rsidR="00000000" w:rsidRPr="00BC6733" w:rsidP="00BC6733"/>
    <w:sectPr w:rsidSect="00BC6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733" w:rsidRPr="002F66AF" w:rsidP="002F6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AF" w:rsidP="00BC6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66AF" w:rsidP="00BC67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F66AF" w:rsidP="00BC67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733" w:rsidRPr="002F66AF" w:rsidP="002F66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AF" w:rsidRPr="002D2AF8" w:rsidP="00BC6733">
    <w:pPr>
      <w:pStyle w:val="Header"/>
      <w:framePr w:wrap="around"/>
    </w:pPr>
    <w:r>
      <w:fldChar w:fldCharType="begin"/>
    </w:r>
    <w:r>
      <w:instrText xml:space="preserve"> TITLE   \* MERGEFORMAT </w:instrText>
    </w:r>
    <w:r>
      <w:fldChar w:fldCharType="separate"/>
    </w:r>
    <w:r>
      <w:t>MARF3003A Operate emergency equipment and apply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F66AF" w:rsidP="00BC6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A09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F6D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3E5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733"/>
    <w:pPr>
      <w:spacing w:before="360" w:after="60"/>
      <w:outlineLvl w:val="0"/>
    </w:pPr>
    <w:rPr>
      <w:sz w:val="32"/>
    </w:rPr>
  </w:style>
  <w:style w:type="paragraph" w:styleId="Heading2">
    <w:name w:val="heading 2"/>
    <w:basedOn w:val="HeadingBase"/>
    <w:next w:val="BodyText"/>
    <w:link w:val="Heading2Char"/>
    <w:qFormat/>
    <w:rsid w:val="00BC6733"/>
    <w:pPr>
      <w:keepLines/>
      <w:spacing w:before="240" w:after="120"/>
      <w:outlineLvl w:val="1"/>
    </w:pPr>
    <w:rPr>
      <w:sz w:val="28"/>
      <w:szCs w:val="40"/>
    </w:rPr>
  </w:style>
  <w:style w:type="paragraph" w:styleId="Heading3">
    <w:name w:val="heading 3"/>
    <w:basedOn w:val="HeadingBase"/>
    <w:next w:val="BodyText"/>
    <w:link w:val="Heading3Char"/>
    <w:qFormat/>
    <w:rsid w:val="00BC6733"/>
    <w:pPr>
      <w:spacing w:before="180" w:after="120"/>
      <w:outlineLvl w:val="2"/>
    </w:pPr>
    <w:rPr>
      <w:spacing w:val="-10"/>
      <w:kern w:val="32"/>
    </w:rPr>
  </w:style>
  <w:style w:type="paragraph" w:styleId="Heading4">
    <w:name w:val="heading 4"/>
    <w:basedOn w:val="HeadingBase"/>
    <w:next w:val="BodyText"/>
    <w:link w:val="Heading4Char"/>
    <w:qFormat/>
    <w:rsid w:val="00BC6733"/>
    <w:pPr>
      <w:spacing w:before="160" w:after="120"/>
      <w:outlineLvl w:val="3"/>
    </w:pPr>
    <w:rPr>
      <w:sz w:val="22"/>
    </w:rPr>
  </w:style>
  <w:style w:type="paragraph" w:styleId="Heading5">
    <w:name w:val="heading 5"/>
    <w:basedOn w:val="HeadingBase"/>
    <w:next w:val="Normal"/>
    <w:link w:val="Heading5Char"/>
    <w:qFormat/>
    <w:rsid w:val="00BC6733"/>
    <w:pPr>
      <w:spacing w:before="80"/>
      <w:outlineLvl w:val="4"/>
    </w:pPr>
    <w:rPr>
      <w:color w:val="918585"/>
      <w:sz w:val="20"/>
    </w:rPr>
  </w:style>
  <w:style w:type="paragraph" w:styleId="Heading6">
    <w:name w:val="heading 6"/>
    <w:basedOn w:val="HeadingBase"/>
    <w:next w:val="Normal"/>
    <w:link w:val="Heading6Char"/>
    <w:qFormat/>
    <w:rsid w:val="00BC6733"/>
    <w:pPr>
      <w:spacing w:before="60"/>
      <w:outlineLvl w:val="5"/>
    </w:pPr>
    <w:rPr>
      <w:color w:val="918585"/>
      <w:sz w:val="20"/>
    </w:rPr>
  </w:style>
  <w:style w:type="paragraph" w:styleId="Heading7">
    <w:name w:val="heading 7"/>
    <w:basedOn w:val="Normal"/>
    <w:next w:val="Normal"/>
    <w:link w:val="Heading7Char"/>
    <w:qFormat/>
    <w:rsid w:val="00BC6733"/>
    <w:pPr>
      <w:ind w:left="720"/>
      <w:outlineLvl w:val="6"/>
    </w:pPr>
    <w:rPr>
      <w:i/>
    </w:rPr>
  </w:style>
  <w:style w:type="paragraph" w:styleId="Heading8">
    <w:name w:val="heading 8"/>
    <w:basedOn w:val="Normal"/>
    <w:next w:val="Normal"/>
    <w:link w:val="Heading8Char"/>
    <w:qFormat/>
    <w:rsid w:val="00BC6733"/>
    <w:pPr>
      <w:ind w:left="720"/>
      <w:outlineLvl w:val="7"/>
    </w:pPr>
    <w:rPr>
      <w:i/>
    </w:rPr>
  </w:style>
  <w:style w:type="paragraph" w:styleId="Heading9">
    <w:name w:val="heading 9"/>
    <w:basedOn w:val="Normal"/>
    <w:next w:val="Normal"/>
    <w:link w:val="Heading9Char"/>
    <w:qFormat/>
    <w:rsid w:val="00BC6733"/>
    <w:pPr>
      <w:ind w:left="720"/>
      <w:outlineLvl w:val="8"/>
    </w:pPr>
    <w:rPr>
      <w:i/>
    </w:rPr>
  </w:style>
  <w:style w:type="character" w:default="1" w:styleId="DefaultParagraphFont">
    <w:name w:val="Default Paragraph Font"/>
    <w:uiPriority w:val="1"/>
    <w:unhideWhenUsed/>
    <w:rsid w:val="00BC6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733"/>
  </w:style>
  <w:style w:type="character" w:customStyle="1" w:styleId="Heading1Char">
    <w:name w:val="Heading 1 Char"/>
    <w:basedOn w:val="DefaultParagraphFont"/>
    <w:link w:val="Heading1"/>
    <w:rsid w:val="00BC6733"/>
    <w:rPr>
      <w:rFonts w:ascii="Times New Roman" w:eastAsia="Times New Roman" w:hAnsi="Times New Roman" w:cs="Times New Roman"/>
      <w:b/>
      <w:sz w:val="32"/>
      <w:szCs w:val="20"/>
      <w:lang w:eastAsia="en-US"/>
    </w:rPr>
  </w:style>
  <w:style w:type="paragraph" w:styleId="BodyText">
    <w:name w:val="Body Text"/>
    <w:basedOn w:val="Normal"/>
    <w:link w:val="BodyTextChar"/>
    <w:rsid w:val="00BC67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6733"/>
    <w:rPr>
      <w:rFonts w:ascii="Times New Roman" w:eastAsia="Times New Roman" w:hAnsi="Times New Roman" w:cs="Times New Roman"/>
      <w:sz w:val="24"/>
      <w:lang w:eastAsia="en-US"/>
    </w:rPr>
  </w:style>
  <w:style w:type="paragraph" w:styleId="ListBullet">
    <w:name w:val="List Bullet"/>
    <w:basedOn w:val="List"/>
    <w:rsid w:val="00BC6733"/>
    <w:pPr>
      <w:numPr>
        <w:numId w:val="13"/>
      </w:numPr>
      <w:tabs>
        <w:tab w:val="clear" w:pos="340"/>
      </w:tabs>
      <w:spacing w:before="40" w:after="40"/>
    </w:pPr>
  </w:style>
  <w:style w:type="character" w:customStyle="1" w:styleId="SpecialBold">
    <w:name w:val="Special Bold"/>
    <w:basedOn w:val="DefaultParagraphFont"/>
    <w:rsid w:val="00BC6733"/>
    <w:rPr>
      <w:b/>
      <w:spacing w:val="0"/>
    </w:rPr>
  </w:style>
  <w:style w:type="paragraph" w:styleId="ListBullet2">
    <w:name w:val="List Bullet 2"/>
    <w:basedOn w:val="List2"/>
    <w:rsid w:val="00BC6733"/>
    <w:pPr>
      <w:numPr>
        <w:numId w:val="14"/>
      </w:numPr>
      <w:tabs>
        <w:tab w:val="clear" w:pos="680"/>
      </w:tabs>
    </w:pPr>
  </w:style>
  <w:style w:type="paragraph" w:customStyle="1" w:styleId="SuperHeading">
    <w:name w:val="SuperHeading"/>
    <w:basedOn w:val="Normal"/>
    <w:rsid w:val="00BC6733"/>
    <w:pPr>
      <w:spacing w:before="240" w:after="120"/>
      <w:outlineLvl w:val="0"/>
    </w:pPr>
    <w:rPr>
      <w:rFonts w:ascii="Times New Roman" w:hAnsi="Times New Roman"/>
      <w:b/>
      <w:sz w:val="32"/>
    </w:rPr>
  </w:style>
  <w:style w:type="paragraph" w:customStyle="1" w:styleId="AllowPageBreak">
    <w:name w:val="AllowPageBreak"/>
    <w:rsid w:val="00BC6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6733"/>
    <w:rPr>
      <w:b/>
      <w:i/>
      <w:u w:val="none"/>
    </w:rPr>
  </w:style>
  <w:style w:type="character" w:customStyle="1" w:styleId="Heading2Char">
    <w:name w:val="Heading 2 Char"/>
    <w:basedOn w:val="DefaultParagraphFont"/>
    <w:link w:val="Heading2"/>
    <w:rsid w:val="00BC6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733"/>
    <w:rPr>
      <w:rFonts w:ascii="Courier New" w:eastAsia="Times New Roman" w:hAnsi="Courier New" w:cs="Times New Roman"/>
      <w:i/>
      <w:szCs w:val="20"/>
      <w:lang w:eastAsia="en-US"/>
    </w:rPr>
  </w:style>
  <w:style w:type="paragraph" w:customStyle="1" w:styleId="HeadingBase">
    <w:name w:val="Heading Base"/>
    <w:rsid w:val="00BC6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733"/>
    <w:pPr>
      <w:tabs>
        <w:tab w:val="right" w:leader="dot" w:pos="9072"/>
      </w:tabs>
      <w:ind w:left="567"/>
    </w:pPr>
    <w:rPr>
      <w:szCs w:val="22"/>
    </w:rPr>
  </w:style>
  <w:style w:type="paragraph" w:customStyle="1" w:styleId="TOCBase">
    <w:name w:val="TOC Base"/>
    <w:rsid w:val="00BC6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733"/>
    <w:pPr>
      <w:tabs>
        <w:tab w:val="right" w:leader="dot" w:pos="9072"/>
      </w:tabs>
      <w:spacing w:before="40" w:after="40"/>
      <w:ind w:left="284"/>
    </w:pPr>
    <w:rPr>
      <w:rFonts w:ascii="Times New Roman" w:hAnsi="Times New Roman"/>
    </w:rPr>
  </w:style>
  <w:style w:type="paragraph" w:styleId="TOC1">
    <w:name w:val="toc 1"/>
    <w:basedOn w:val="TOCBase"/>
    <w:next w:val="Normal"/>
    <w:rsid w:val="00BC67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733"/>
    <w:rPr>
      <w:rFonts w:ascii="Times New Roman" w:eastAsia="Times New Roman" w:hAnsi="Times New Roman" w:cs="Times New Roman"/>
      <w:sz w:val="16"/>
      <w:lang w:eastAsia="en-US"/>
    </w:rPr>
  </w:style>
  <w:style w:type="paragraph" w:styleId="Title">
    <w:name w:val="Title"/>
    <w:basedOn w:val="HeadingBase"/>
    <w:link w:val="TitleChar"/>
    <w:qFormat/>
    <w:rsid w:val="00BC6733"/>
    <w:pPr>
      <w:spacing w:before="5040"/>
      <w:jc w:val="center"/>
    </w:pPr>
    <w:rPr>
      <w:sz w:val="48"/>
      <w:szCs w:val="72"/>
      <w:lang w:val="en-US"/>
    </w:rPr>
  </w:style>
  <w:style w:type="character" w:customStyle="1" w:styleId="TitleChar">
    <w:name w:val="Title Char"/>
    <w:basedOn w:val="DefaultParagraphFont"/>
    <w:link w:val="Title"/>
    <w:rsid w:val="00BC6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733"/>
    <w:pPr>
      <w:tabs>
        <w:tab w:val="left" w:pos="3600"/>
        <w:tab w:val="left" w:pos="3958"/>
      </w:tabs>
    </w:pPr>
  </w:style>
  <w:style w:type="paragraph" w:styleId="List">
    <w:name w:val="List"/>
    <w:basedOn w:val="BodyText"/>
    <w:next w:val="BodyText"/>
    <w:rsid w:val="00BC6733"/>
    <w:pPr>
      <w:tabs>
        <w:tab w:val="left" w:pos="340"/>
      </w:tabs>
      <w:spacing w:before="60" w:after="60"/>
      <w:ind w:left="340" w:hanging="340"/>
    </w:pPr>
  </w:style>
  <w:style w:type="paragraph" w:customStyle="1" w:styleId="Note">
    <w:name w:val="Note"/>
    <w:basedOn w:val="BodyText"/>
    <w:rsid w:val="00BC6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733"/>
    <w:pPr>
      <w:framePr w:wrap="auto" w:hAnchor="text" w:y="6049"/>
    </w:pPr>
    <w:rPr>
      <w:color w:val="000000"/>
      <w:sz w:val="40"/>
    </w:rPr>
  </w:style>
  <w:style w:type="paragraph" w:customStyle="1" w:styleId="TOCTitle">
    <w:name w:val="TOCTitle"/>
    <w:basedOn w:val="Heading1"/>
    <w:rsid w:val="00BC6733"/>
    <w:pPr>
      <w:spacing w:after="240"/>
      <w:jc w:val="center"/>
      <w:outlineLvl w:val="9"/>
    </w:pPr>
    <w:rPr>
      <w:caps/>
    </w:rPr>
  </w:style>
  <w:style w:type="paragraph" w:customStyle="1" w:styleId="Version">
    <w:name w:val="Version"/>
    <w:rsid w:val="00BC6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733"/>
    <w:pPr>
      <w:keepNext w:val="0"/>
      <w:tabs>
        <w:tab w:val="right" w:pos="4176"/>
      </w:tabs>
      <w:ind w:left="198" w:hanging="198"/>
    </w:pPr>
    <w:rPr>
      <w:rFonts w:ascii="Garamond" w:hAnsi="Garamond"/>
    </w:rPr>
  </w:style>
  <w:style w:type="paragraph" w:styleId="IndexHeading">
    <w:name w:val="index heading"/>
    <w:basedOn w:val="Normal"/>
    <w:next w:val="Index1"/>
    <w:semiHidden/>
    <w:rsid w:val="00BC6733"/>
    <w:pPr>
      <w:spacing w:before="120" w:after="120"/>
    </w:pPr>
    <w:rPr>
      <w:rFonts w:ascii="Arial" w:hAnsi="Arial"/>
      <w:b/>
      <w:color w:val="918585"/>
      <w:sz w:val="24"/>
    </w:rPr>
  </w:style>
  <w:style w:type="paragraph" w:styleId="Header">
    <w:name w:val="header"/>
    <w:basedOn w:val="Normal"/>
    <w:link w:val="HeaderChar"/>
    <w:rsid w:val="00BC6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733"/>
    <w:rPr>
      <w:rFonts w:ascii="Times New Roman" w:eastAsia="Times New Roman" w:hAnsi="Times New Roman" w:cs="Times New Roman"/>
      <w:sz w:val="16"/>
      <w:szCs w:val="20"/>
      <w:lang w:val="en-GB" w:eastAsia="en-US"/>
    </w:rPr>
  </w:style>
  <w:style w:type="paragraph" w:customStyle="1" w:styleId="Chapter">
    <w:name w:val="Chapter"/>
    <w:basedOn w:val="Normal"/>
    <w:rsid w:val="00BC6733"/>
    <w:pPr>
      <w:spacing w:before="240"/>
    </w:pPr>
    <w:rPr>
      <w:rFonts w:ascii="Times New Roman" w:hAnsi="Times New Roman"/>
      <w:smallCaps/>
      <w:spacing w:val="80"/>
      <w:sz w:val="28"/>
    </w:rPr>
  </w:style>
  <w:style w:type="paragraph" w:customStyle="1" w:styleId="InChapter">
    <w:name w:val="InChapter"/>
    <w:basedOn w:val="Heading3"/>
    <w:rsid w:val="00BC6733"/>
    <w:pPr>
      <w:spacing w:after="240"/>
      <w:outlineLvl w:val="9"/>
    </w:pPr>
    <w:rPr>
      <w:noProof/>
    </w:rPr>
  </w:style>
  <w:style w:type="paragraph" w:styleId="Index2">
    <w:name w:val="index 2"/>
    <w:basedOn w:val="Normal"/>
    <w:next w:val="Normal"/>
    <w:semiHidden/>
    <w:rsid w:val="00BC6733"/>
    <w:pPr>
      <w:tabs>
        <w:tab w:val="right" w:pos="4176"/>
      </w:tabs>
      <w:ind w:left="568" w:hanging="284"/>
    </w:pPr>
    <w:rPr>
      <w:rFonts w:ascii="Garamond" w:hAnsi="Garamond"/>
    </w:rPr>
  </w:style>
  <w:style w:type="paragraph" w:customStyle="1" w:styleId="Byline">
    <w:name w:val="Byline"/>
    <w:rsid w:val="00BC6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733"/>
    <w:pPr>
      <w:tabs>
        <w:tab w:val="clear" w:pos="3600"/>
        <w:tab w:val="clear" w:pos="3958"/>
      </w:tabs>
      <w:jc w:val="right"/>
    </w:pPr>
  </w:style>
  <w:style w:type="character" w:styleId="Emphasis">
    <w:name w:val="Emphasis"/>
    <w:basedOn w:val="DefaultParagraphFont"/>
    <w:qFormat/>
    <w:rsid w:val="00BC6733"/>
    <w:rPr>
      <w:i/>
    </w:rPr>
  </w:style>
  <w:style w:type="paragraph" w:styleId="Caption">
    <w:name w:val="caption"/>
    <w:basedOn w:val="BodyText"/>
    <w:next w:val="Normal"/>
    <w:qFormat/>
    <w:rsid w:val="00BC6733"/>
    <w:pPr>
      <w:framePr w:w="2268" w:hSpace="181" w:vSpace="181" w:wrap="around" w:vAnchor="text" w:hAnchor="page" w:x="1135" w:y="285" w:anchorLock="1"/>
    </w:pPr>
    <w:rPr>
      <w:i/>
    </w:rPr>
  </w:style>
  <w:style w:type="paragraph" w:customStyle="1" w:styleId="MiniTOCTitle">
    <w:name w:val="MiniTOCTitle"/>
    <w:basedOn w:val="Heading4"/>
    <w:rsid w:val="00BC6733"/>
    <w:pPr>
      <w:spacing w:before="240"/>
      <w:outlineLvl w:val="9"/>
    </w:pPr>
    <w:rPr>
      <w:noProof/>
      <w:sz w:val="24"/>
    </w:rPr>
  </w:style>
  <w:style w:type="paragraph" w:customStyle="1" w:styleId="MiniTOCItem">
    <w:name w:val="MiniTOCItem"/>
    <w:basedOn w:val="ListBullet"/>
    <w:rsid w:val="00BC6733"/>
    <w:pPr>
      <w:numPr>
        <w:numId w:val="0"/>
      </w:numPr>
      <w:tabs>
        <w:tab w:val="right" w:leader="dot" w:pos="6521"/>
      </w:tabs>
      <w:spacing w:before="0" w:after="0"/>
    </w:pPr>
  </w:style>
  <w:style w:type="paragraph" w:customStyle="1" w:styleId="TOFTitle">
    <w:name w:val="TOFTitle"/>
    <w:basedOn w:val="TOCTitle"/>
    <w:rsid w:val="00BC6733"/>
  </w:style>
  <w:style w:type="paragraph" w:styleId="TableofFigures">
    <w:name w:val="table of figures"/>
    <w:basedOn w:val="Normal"/>
    <w:next w:val="Normal"/>
    <w:semiHidden/>
    <w:rsid w:val="00BC6733"/>
    <w:pPr>
      <w:tabs>
        <w:tab w:val="right" w:leader="dot" w:pos="9072"/>
      </w:tabs>
      <w:ind w:left="970" w:hanging="403"/>
    </w:pPr>
    <w:rPr>
      <w:rFonts w:ascii="Times New Roman" w:hAnsi="Times New Roman"/>
      <w:b/>
    </w:rPr>
  </w:style>
  <w:style w:type="paragraph" w:styleId="ListNumber">
    <w:name w:val="List Number"/>
    <w:basedOn w:val="List"/>
    <w:rsid w:val="00BC6733"/>
    <w:pPr>
      <w:numPr>
        <w:numId w:val="11"/>
      </w:numPr>
    </w:pPr>
  </w:style>
  <w:style w:type="character" w:customStyle="1" w:styleId="WingdingSymbols">
    <w:name w:val="Wingding Symbols"/>
    <w:rsid w:val="00BC6733"/>
    <w:rPr>
      <w:rFonts w:ascii="Wingdings" w:hAnsi="Wingdings"/>
    </w:rPr>
  </w:style>
  <w:style w:type="paragraph" w:customStyle="1" w:styleId="TableHeading">
    <w:name w:val="Table Heading"/>
    <w:basedOn w:val="HeadingBase"/>
    <w:rsid w:val="00BC6733"/>
    <w:pPr>
      <w:keepLines/>
      <w:pBdr>
        <w:bottom w:val="single" w:sz="6" w:space="1" w:color="918585"/>
      </w:pBdr>
      <w:spacing w:before="240"/>
    </w:pPr>
  </w:style>
  <w:style w:type="character" w:customStyle="1" w:styleId="HotSpot">
    <w:name w:val="HotSpot"/>
    <w:rsid w:val="00BC6733"/>
    <w:rPr>
      <w:color w:val="0033CC"/>
      <w:u w:val="none"/>
    </w:rPr>
  </w:style>
  <w:style w:type="paragraph" w:customStyle="1" w:styleId="BodyTextRight">
    <w:name w:val="Body Text Right"/>
    <w:basedOn w:val="BodyText"/>
    <w:rsid w:val="00BC6733"/>
    <w:pPr>
      <w:spacing w:before="0" w:after="0"/>
      <w:jc w:val="right"/>
    </w:pPr>
  </w:style>
  <w:style w:type="paragraph" w:styleId="Index3">
    <w:name w:val="index 3"/>
    <w:basedOn w:val="ListNumber2"/>
    <w:next w:val="Normal"/>
    <w:semiHidden/>
    <w:rsid w:val="00BC6733"/>
    <w:pPr>
      <w:numPr>
        <w:numId w:val="0"/>
      </w:numPr>
      <w:tabs>
        <w:tab w:val="right" w:leader="dot" w:pos="4176"/>
      </w:tabs>
    </w:pPr>
  </w:style>
  <w:style w:type="paragraph" w:styleId="ListNumber2">
    <w:name w:val="List Number 2"/>
    <w:basedOn w:val="List2"/>
    <w:rsid w:val="00BC6733"/>
    <w:pPr>
      <w:numPr>
        <w:numId w:val="10"/>
      </w:numPr>
      <w:tabs>
        <w:tab w:val="clear" w:pos="1060"/>
      </w:tabs>
    </w:pPr>
  </w:style>
  <w:style w:type="paragraph" w:customStyle="1" w:styleId="MarginNote">
    <w:name w:val="Margin Note"/>
    <w:basedOn w:val="BodyText"/>
    <w:rsid w:val="00BC6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733"/>
    <w:rPr>
      <w:sz w:val="32"/>
    </w:rPr>
  </w:style>
  <w:style w:type="paragraph" w:customStyle="1" w:styleId="HeadingProcedure">
    <w:name w:val="Heading Procedure"/>
    <w:basedOn w:val="HeadingBase"/>
    <w:next w:val="Normal"/>
    <w:rsid w:val="00BC6733"/>
    <w:pPr>
      <w:tabs>
        <w:tab w:val="left" w:pos="0"/>
      </w:tabs>
      <w:spacing w:before="120" w:after="60"/>
    </w:pPr>
    <w:rPr>
      <w:i/>
      <w:color w:val="918585"/>
      <w:sz w:val="22"/>
    </w:rPr>
  </w:style>
  <w:style w:type="paragraph" w:customStyle="1" w:styleId="TableBodyText">
    <w:name w:val="Table Body Text"/>
    <w:basedOn w:val="BodyText"/>
    <w:rsid w:val="00BC6733"/>
    <w:pPr>
      <w:spacing w:before="60" w:after="60"/>
    </w:pPr>
  </w:style>
  <w:style w:type="paragraph" w:styleId="ListContinue">
    <w:name w:val="List Continue"/>
    <w:basedOn w:val="List"/>
    <w:rsid w:val="00BC6733"/>
    <w:pPr>
      <w:ind w:firstLine="0"/>
    </w:pPr>
  </w:style>
  <w:style w:type="paragraph" w:customStyle="1" w:styleId="ListNote">
    <w:name w:val="List Note"/>
    <w:basedOn w:val="List"/>
    <w:rsid w:val="00BC6733"/>
    <w:pPr>
      <w:pBdr>
        <w:top w:val="single" w:sz="6" w:space="2" w:color="918585"/>
        <w:bottom w:val="single" w:sz="6" w:space="2" w:color="918585"/>
      </w:pBdr>
      <w:tabs>
        <w:tab w:val="left" w:pos="1021"/>
      </w:tabs>
      <w:ind w:firstLine="0"/>
    </w:pPr>
  </w:style>
  <w:style w:type="paragraph" w:customStyle="1" w:styleId="Warning">
    <w:name w:val="Warning"/>
    <w:basedOn w:val="BodyText"/>
    <w:rsid w:val="00BC6733"/>
    <w:pPr>
      <w:shd w:val="clear" w:color="auto" w:fill="D9D9D9"/>
      <w:tabs>
        <w:tab w:val="left" w:pos="992"/>
      </w:tabs>
      <w:ind w:left="119" w:right="119"/>
    </w:pPr>
    <w:rPr>
      <w:sz w:val="20"/>
    </w:rPr>
  </w:style>
  <w:style w:type="paragraph" w:customStyle="1" w:styleId="MarginIcons">
    <w:name w:val="Margin Icons"/>
    <w:basedOn w:val="BodyText"/>
    <w:rsid w:val="00BC6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733"/>
    <w:rPr>
      <w:rFonts w:ascii="Courier New" w:hAnsi="Courier New"/>
    </w:rPr>
  </w:style>
  <w:style w:type="paragraph" w:customStyle="1" w:styleId="NoteBullet">
    <w:name w:val="Note Bullet"/>
    <w:basedOn w:val="Note"/>
    <w:rsid w:val="00BC6733"/>
    <w:pPr>
      <w:tabs>
        <w:tab w:val="clear" w:pos="680"/>
      </w:tabs>
      <w:spacing w:before="60" w:after="60"/>
    </w:pPr>
  </w:style>
  <w:style w:type="paragraph" w:customStyle="1" w:styleId="SubHeading2">
    <w:name w:val="SubHeading2"/>
    <w:basedOn w:val="HeadingBase"/>
    <w:rsid w:val="00BC6733"/>
    <w:pPr>
      <w:spacing w:before="240" w:after="60"/>
    </w:pPr>
    <w:rPr>
      <w:sz w:val="20"/>
    </w:rPr>
  </w:style>
  <w:style w:type="paragraph" w:customStyle="1" w:styleId="SubHeading1">
    <w:name w:val="SubHeading1"/>
    <w:basedOn w:val="HeadingBase"/>
    <w:rsid w:val="00BC6733"/>
    <w:pPr>
      <w:spacing w:before="240" w:after="60"/>
    </w:pPr>
    <w:rPr>
      <w:color w:val="918585"/>
      <w:sz w:val="22"/>
    </w:rPr>
  </w:style>
  <w:style w:type="paragraph" w:customStyle="1" w:styleId="SideHeading">
    <w:name w:val="Side Heading"/>
    <w:basedOn w:val="HeadingBase"/>
    <w:rsid w:val="00BC6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733"/>
    <w:pPr>
      <w:numPr>
        <w:numId w:val="12"/>
      </w:numPr>
    </w:pPr>
  </w:style>
  <w:style w:type="paragraph" w:styleId="PlainText">
    <w:name w:val="Plain Text"/>
    <w:basedOn w:val="Normal"/>
    <w:link w:val="PlainTextChar"/>
    <w:rsid w:val="00BC6733"/>
    <w:rPr>
      <w:sz w:val="20"/>
    </w:rPr>
  </w:style>
  <w:style w:type="character" w:customStyle="1" w:styleId="PlainTextChar">
    <w:name w:val="Plain Text Char"/>
    <w:basedOn w:val="DefaultParagraphFont"/>
    <w:link w:val="PlainText"/>
    <w:rsid w:val="00BC6733"/>
    <w:rPr>
      <w:rFonts w:ascii="Courier New" w:eastAsia="Times New Roman" w:hAnsi="Courier New" w:cs="Times New Roman"/>
      <w:sz w:val="20"/>
      <w:szCs w:val="20"/>
      <w:lang w:eastAsia="en-US"/>
    </w:rPr>
  </w:style>
  <w:style w:type="character" w:customStyle="1" w:styleId="MenuOption">
    <w:name w:val="Menu Option"/>
    <w:basedOn w:val="DefaultParagraphFont"/>
    <w:rsid w:val="00BC6733"/>
    <w:rPr>
      <w:b/>
      <w:smallCaps/>
    </w:rPr>
  </w:style>
  <w:style w:type="paragraph" w:customStyle="1" w:styleId="TableListNumber">
    <w:name w:val="Table List Number"/>
    <w:basedOn w:val="ListNumber"/>
    <w:rsid w:val="00BC6733"/>
    <w:pPr>
      <w:numPr>
        <w:numId w:val="0"/>
      </w:numPr>
    </w:pPr>
  </w:style>
  <w:style w:type="paragraph" w:styleId="TOC4">
    <w:name w:val="toc 4"/>
    <w:basedOn w:val="TOCBase"/>
    <w:next w:val="Normal"/>
    <w:semiHidden/>
    <w:rsid w:val="00BC6733"/>
    <w:pPr>
      <w:tabs>
        <w:tab w:val="right" w:leader="dot" w:pos="9071"/>
      </w:tabs>
      <w:ind w:left="1701"/>
    </w:pPr>
  </w:style>
  <w:style w:type="paragraph" w:customStyle="1" w:styleId="ListAlpha">
    <w:name w:val="List Alpha"/>
    <w:basedOn w:val="List"/>
    <w:rsid w:val="00BC6733"/>
    <w:pPr>
      <w:numPr>
        <w:numId w:val="9"/>
      </w:numPr>
    </w:pPr>
  </w:style>
  <w:style w:type="paragraph" w:customStyle="1" w:styleId="ListAlpha2">
    <w:name w:val="List Alpha 2"/>
    <w:basedOn w:val="List2"/>
    <w:rsid w:val="00BC6733"/>
    <w:pPr>
      <w:numPr>
        <w:numId w:val="8"/>
      </w:numPr>
    </w:pPr>
  </w:style>
  <w:style w:type="paragraph" w:styleId="List2">
    <w:name w:val="List 2"/>
    <w:basedOn w:val="BodyText"/>
    <w:rsid w:val="00BC6733"/>
    <w:pPr>
      <w:tabs>
        <w:tab w:val="left" w:pos="680"/>
      </w:tabs>
      <w:spacing w:before="60" w:after="60"/>
      <w:ind w:left="680" w:hanging="340"/>
    </w:pPr>
  </w:style>
  <w:style w:type="paragraph" w:styleId="List3">
    <w:name w:val="List 3"/>
    <w:basedOn w:val="BodyText"/>
    <w:rsid w:val="00BC6733"/>
    <w:pPr>
      <w:tabs>
        <w:tab w:val="left" w:pos="1021"/>
      </w:tabs>
      <w:spacing w:before="60" w:after="60"/>
      <w:ind w:left="1020" w:hanging="340"/>
    </w:pPr>
  </w:style>
  <w:style w:type="paragraph" w:styleId="List4">
    <w:name w:val="List 4"/>
    <w:basedOn w:val="BodyText"/>
    <w:rsid w:val="00BC6733"/>
    <w:pPr>
      <w:tabs>
        <w:tab w:val="left" w:pos="1361"/>
      </w:tabs>
      <w:spacing w:before="60" w:after="60"/>
      <w:ind w:left="1361" w:hanging="340"/>
    </w:pPr>
  </w:style>
  <w:style w:type="paragraph" w:styleId="List5">
    <w:name w:val="List 5"/>
    <w:basedOn w:val="BodyText"/>
    <w:rsid w:val="00BC6733"/>
    <w:pPr>
      <w:tabs>
        <w:tab w:val="left" w:pos="1701"/>
      </w:tabs>
      <w:spacing w:before="60" w:after="60"/>
      <w:ind w:left="1701" w:hanging="340"/>
    </w:pPr>
  </w:style>
  <w:style w:type="paragraph" w:styleId="ListBullet3">
    <w:name w:val="List Bullet 3"/>
    <w:basedOn w:val="List3"/>
    <w:rsid w:val="00BC6733"/>
    <w:pPr>
      <w:numPr>
        <w:numId w:val="15"/>
      </w:numPr>
      <w:tabs>
        <w:tab w:val="clear" w:pos="1021"/>
      </w:tabs>
      <w:ind w:left="1037" w:hanging="357"/>
    </w:pPr>
  </w:style>
  <w:style w:type="paragraph" w:styleId="ListBullet4">
    <w:name w:val="List Bullet 4"/>
    <w:basedOn w:val="List4"/>
    <w:rsid w:val="00BC6733"/>
    <w:pPr>
      <w:numPr>
        <w:numId w:val="3"/>
      </w:numPr>
    </w:pPr>
  </w:style>
  <w:style w:type="paragraph" w:styleId="ListBullet5">
    <w:name w:val="List Bullet 5"/>
    <w:basedOn w:val="List5"/>
    <w:rsid w:val="00BC6733"/>
    <w:pPr>
      <w:numPr>
        <w:numId w:val="4"/>
      </w:numPr>
    </w:pPr>
  </w:style>
  <w:style w:type="paragraph" w:styleId="ListContinue2">
    <w:name w:val="List Continue 2"/>
    <w:basedOn w:val="List2"/>
    <w:rsid w:val="00BC6733"/>
    <w:pPr>
      <w:ind w:firstLine="0"/>
    </w:pPr>
  </w:style>
  <w:style w:type="paragraph" w:styleId="ListContinue3">
    <w:name w:val="List Continue 3"/>
    <w:basedOn w:val="List3"/>
    <w:rsid w:val="00BC6733"/>
    <w:pPr>
      <w:ind w:left="1021" w:firstLine="0"/>
    </w:pPr>
  </w:style>
  <w:style w:type="paragraph" w:styleId="ListContinue4">
    <w:name w:val="List Continue 4"/>
    <w:basedOn w:val="List4"/>
    <w:rsid w:val="00BC6733"/>
    <w:pPr>
      <w:ind w:firstLine="0"/>
    </w:pPr>
  </w:style>
  <w:style w:type="paragraph" w:styleId="ListContinue5">
    <w:name w:val="List Continue 5"/>
    <w:basedOn w:val="List5"/>
    <w:rsid w:val="00BC6733"/>
    <w:pPr>
      <w:ind w:firstLine="0"/>
    </w:pPr>
  </w:style>
  <w:style w:type="paragraph" w:styleId="ListNumber3">
    <w:name w:val="List Number 3"/>
    <w:basedOn w:val="List3"/>
    <w:rsid w:val="00BC6733"/>
    <w:pPr>
      <w:numPr>
        <w:numId w:val="5"/>
      </w:numPr>
    </w:pPr>
  </w:style>
  <w:style w:type="paragraph" w:styleId="ListNumber4">
    <w:name w:val="List Number 4"/>
    <w:basedOn w:val="List4"/>
    <w:rsid w:val="00BC6733"/>
    <w:pPr>
      <w:numPr>
        <w:numId w:val="6"/>
      </w:numPr>
    </w:pPr>
  </w:style>
  <w:style w:type="paragraph" w:styleId="ListNumber5">
    <w:name w:val="List Number 5"/>
    <w:basedOn w:val="List5"/>
    <w:rsid w:val="00BC6733"/>
    <w:pPr>
      <w:numPr>
        <w:numId w:val="7"/>
      </w:numPr>
    </w:pPr>
  </w:style>
  <w:style w:type="paragraph" w:styleId="BlockText">
    <w:name w:val="Block Text"/>
    <w:basedOn w:val="Normal"/>
    <w:rsid w:val="00BC6733"/>
    <w:pPr>
      <w:spacing w:after="120"/>
      <w:ind w:left="1440" w:right="1440"/>
    </w:pPr>
  </w:style>
  <w:style w:type="character" w:customStyle="1" w:styleId="Subscript">
    <w:name w:val="Subscript"/>
    <w:basedOn w:val="DefaultParagraphFont"/>
    <w:rsid w:val="00BC6733"/>
    <w:rPr>
      <w:sz w:val="16"/>
      <w:vertAlign w:val="subscript"/>
    </w:rPr>
  </w:style>
  <w:style w:type="character" w:customStyle="1" w:styleId="Superscript">
    <w:name w:val="Superscript"/>
    <w:basedOn w:val="DefaultParagraphFont"/>
    <w:rsid w:val="00BC6733"/>
    <w:rPr>
      <w:sz w:val="16"/>
      <w:vertAlign w:val="superscript"/>
    </w:rPr>
  </w:style>
  <w:style w:type="character" w:customStyle="1" w:styleId="Symbols">
    <w:name w:val="Symbols"/>
    <w:basedOn w:val="DefaultParagraphFont"/>
    <w:rsid w:val="00BC6733"/>
    <w:rPr>
      <w:rFonts w:ascii="Symbol" w:hAnsi="Symbol"/>
    </w:rPr>
  </w:style>
  <w:style w:type="character" w:customStyle="1" w:styleId="MenuOptions">
    <w:name w:val="Menu Options"/>
    <w:basedOn w:val="DefaultParagraphFont"/>
    <w:rsid w:val="00BC6733"/>
    <w:rPr>
      <w:rFonts w:ascii="Arial Narrow" w:hAnsi="Arial Narrow"/>
      <w:smallCaps/>
    </w:rPr>
  </w:style>
  <w:style w:type="character" w:customStyle="1" w:styleId="Buttons">
    <w:name w:val="Buttons"/>
    <w:basedOn w:val="DefaultParagraphFont"/>
    <w:rsid w:val="00BC6733"/>
    <w:rPr>
      <w:b/>
    </w:rPr>
  </w:style>
  <w:style w:type="character" w:customStyle="1" w:styleId="Underlined">
    <w:name w:val="Underlined"/>
    <w:basedOn w:val="DefaultParagraphFont"/>
    <w:rsid w:val="00BC6733"/>
    <w:rPr>
      <w:u w:val="single"/>
    </w:rPr>
  </w:style>
  <w:style w:type="paragraph" w:customStyle="1" w:styleId="TableBodyTextRight">
    <w:name w:val="Table Body Text Right"/>
    <w:basedOn w:val="TableBodyText"/>
    <w:rsid w:val="00BC6733"/>
    <w:pPr>
      <w:widowControl w:val="0"/>
      <w:autoSpaceDE w:val="0"/>
      <w:autoSpaceDN w:val="0"/>
      <w:adjustRightInd w:val="0"/>
      <w:jc w:val="right"/>
    </w:pPr>
    <w:rPr>
      <w:rFonts w:cs="Arial"/>
      <w:szCs w:val="18"/>
    </w:rPr>
  </w:style>
  <w:style w:type="paragraph" w:customStyle="1" w:styleId="CopyrightText">
    <w:name w:val="Copyright Text"/>
    <w:basedOn w:val="BodyText"/>
    <w:rsid w:val="00BC6733"/>
    <w:rPr>
      <w:sz w:val="18"/>
    </w:rPr>
  </w:style>
  <w:style w:type="paragraph" w:customStyle="1" w:styleId="BodySmallRight">
    <w:name w:val="Body Small Right"/>
    <w:basedOn w:val="BodyTextRight"/>
    <w:rsid w:val="00BC6733"/>
    <w:rPr>
      <w:sz w:val="18"/>
      <w:szCs w:val="18"/>
    </w:rPr>
  </w:style>
  <w:style w:type="paragraph" w:customStyle="1" w:styleId="MarginEdition">
    <w:name w:val="Margin Edition"/>
    <w:basedOn w:val="MarginNote"/>
    <w:rsid w:val="00BC6733"/>
    <w:pPr>
      <w:spacing w:before="0" w:after="0"/>
    </w:pPr>
    <w:rPr>
      <w:rFonts w:ascii="Times New Roman" w:hAnsi="Times New Roman"/>
      <w:color w:val="999999"/>
    </w:rPr>
  </w:style>
  <w:style w:type="paragraph" w:customStyle="1" w:styleId="Spacer">
    <w:name w:val="Spacer"/>
    <w:basedOn w:val="Normal"/>
    <w:rsid w:val="00BC6733"/>
    <w:rPr>
      <w:sz w:val="2"/>
      <w:szCs w:val="2"/>
    </w:rPr>
  </w:style>
  <w:style w:type="character" w:customStyle="1" w:styleId="Small">
    <w:name w:val="Small"/>
    <w:basedOn w:val="DefaultParagraphFont"/>
    <w:rsid w:val="00BC6733"/>
    <w:rPr>
      <w:sz w:val="16"/>
    </w:rPr>
  </w:style>
  <w:style w:type="paragraph" w:customStyle="1" w:styleId="WideTable">
    <w:name w:val="Wide Table"/>
    <w:basedOn w:val="Normal"/>
    <w:rsid w:val="00BC6733"/>
    <w:pPr>
      <w:ind w:left="-1418"/>
    </w:pPr>
    <w:rPr>
      <w:sz w:val="2"/>
      <w:szCs w:val="2"/>
    </w:rPr>
  </w:style>
  <w:style w:type="character" w:styleId="PageNumber">
    <w:name w:val="page number"/>
    <w:basedOn w:val="DefaultParagraphFont"/>
    <w:rsid w:val="00BC6733"/>
  </w:style>
  <w:style w:type="paragraph" w:styleId="Quote">
    <w:name w:val="Quote"/>
    <w:basedOn w:val="Heading1"/>
    <w:link w:val="QuoteChar"/>
    <w:qFormat/>
    <w:rsid w:val="00BC6733"/>
    <w:rPr>
      <w:b w:val="0"/>
      <w:sz w:val="72"/>
      <w:szCs w:val="72"/>
      <w:lang w:val="en-NZ"/>
    </w:rPr>
  </w:style>
  <w:style w:type="character" w:customStyle="1" w:styleId="QuoteChar">
    <w:name w:val="Quote Char"/>
    <w:basedOn w:val="DefaultParagraphFont"/>
    <w:link w:val="Quote"/>
    <w:rsid w:val="00BC6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733"/>
    <w:pPr>
      <w:pageBreakBefore/>
    </w:pPr>
  </w:style>
  <w:style w:type="paragraph" w:customStyle="1" w:styleId="Border">
    <w:name w:val="Border"/>
    <w:basedOn w:val="Normal"/>
    <w:qFormat/>
    <w:rsid w:val="00BC6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733"/>
    <w:rPr>
      <w:b/>
      <w:bCs/>
      <w:i/>
      <w:iCs/>
      <w:color w:val="auto"/>
    </w:rPr>
  </w:style>
  <w:style w:type="paragraph" w:styleId="IntenseQuote">
    <w:name w:val="Intense Quote"/>
    <w:basedOn w:val="Normal"/>
    <w:next w:val="Normal"/>
    <w:link w:val="IntenseQuoteChar"/>
    <w:uiPriority w:val="30"/>
    <w:qFormat/>
    <w:rsid w:val="00BC6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733"/>
    <w:rPr>
      <w:smallCaps/>
      <w:color w:val="auto"/>
      <w:u w:val="single"/>
    </w:rPr>
  </w:style>
  <w:style w:type="character" w:styleId="IntenseReference">
    <w:name w:val="Intense Reference"/>
    <w:basedOn w:val="DefaultParagraphFont"/>
    <w:uiPriority w:val="32"/>
    <w:qFormat/>
    <w:rsid w:val="00BC6733"/>
    <w:rPr>
      <w:b/>
      <w:bCs/>
      <w:smallCaps/>
      <w:color w:val="auto"/>
      <w:spacing w:val="5"/>
      <w:u w:val="single"/>
    </w:rPr>
  </w:style>
  <w:style w:type="paragraph" w:customStyle="1" w:styleId="2ColumnHeading">
    <w:name w:val="2Column Heading"/>
    <w:basedOn w:val="BodyText"/>
    <w:qFormat/>
    <w:rsid w:val="00BC6733"/>
    <w:pPr>
      <w:spacing w:after="60"/>
      <w:ind w:left="-2268"/>
    </w:pPr>
    <w:rPr>
      <w:b/>
    </w:rPr>
  </w:style>
  <w:style w:type="paragraph" w:customStyle="1" w:styleId="Heading1TOC">
    <w:name w:val="Heading1 TOC"/>
    <w:basedOn w:val="Normal"/>
    <w:qFormat/>
    <w:rsid w:val="00BC6733"/>
    <w:pPr>
      <w:spacing w:before="240" w:after="120"/>
    </w:pPr>
    <w:rPr>
      <w:rFonts w:ascii="Times New Roman" w:hAnsi="Times New Roman"/>
      <w:b/>
      <w:sz w:val="32"/>
    </w:rPr>
  </w:style>
  <w:style w:type="paragraph" w:customStyle="1" w:styleId="Heading2TOC">
    <w:name w:val="Heading2 TOC"/>
    <w:basedOn w:val="Normal"/>
    <w:qFormat/>
    <w:rsid w:val="00BC6733"/>
    <w:pPr>
      <w:spacing w:before="240" w:after="60"/>
    </w:pPr>
    <w:rPr>
      <w:rFonts w:ascii="Times New Roman" w:hAnsi="Times New Roman"/>
      <w:b/>
      <w:sz w:val="28"/>
    </w:rPr>
  </w:style>
  <w:style w:type="character" w:customStyle="1" w:styleId="Underline">
    <w:name w:val="Underline"/>
    <w:basedOn w:val="DefaultParagraphFont"/>
    <w:qFormat/>
    <w:rsid w:val="00BC6733"/>
    <w:rPr>
      <w:u w:val="single"/>
    </w:rPr>
  </w:style>
  <w:style w:type="paragraph" w:styleId="BalloonText">
    <w:name w:val="Balloon Text"/>
    <w:basedOn w:val="Normal"/>
    <w:link w:val="BalloonTextChar"/>
    <w:rsid w:val="00BC6733"/>
    <w:rPr>
      <w:rFonts w:ascii="Tahoma" w:hAnsi="Tahoma" w:cs="Tahoma"/>
      <w:sz w:val="16"/>
      <w:szCs w:val="16"/>
    </w:rPr>
  </w:style>
  <w:style w:type="character" w:customStyle="1" w:styleId="BalloonTextChar">
    <w:name w:val="Balloon Text Char"/>
    <w:basedOn w:val="DefaultParagraphFont"/>
    <w:link w:val="BalloonText"/>
    <w:rsid w:val="00BC6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7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6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733"/>
    <w:rPr>
      <w:b/>
      <w:color w:val="660033"/>
      <w:spacing w:val="0"/>
    </w:rPr>
  </w:style>
  <w:style w:type="paragraph" w:customStyle="1" w:styleId="Nameditemlist">
    <w:name w:val="Named item list"/>
    <w:basedOn w:val="BodyText"/>
    <w:qFormat/>
    <w:rsid w:val="00BC67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991</Words>
  <Characters>6358</Characters>
  <Application>Microsoft Office Word</Application>
  <DocSecurity>0</DocSecurity>
  <Lines>238</Lines>
  <Paragraphs>124</Paragraphs>
  <ScaleCrop>false</ScaleCrop>
  <Company>Author-it Software Corporation Ltd.</Company>
  <LinksUpToDate>false</LinksUpToDate>
  <CharactersWithSpaces>7267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MARF3003A Operate emergency equipment and apply emergency procedures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2013-06-06T05:03:00Z</dcterms:created>
  <dcterms:modified xsi:type="dcterms:W3CDTF">2013-06-06T05:04:00Z</dcterms:modified>
</cp:coreProperties>
</file>