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04D5D" w:rsidP="00C04D5D">
      <w:pPr>
        <w:pStyle w:val="Title"/>
      </w:pPr>
      <w:r>
        <w:fldChar w:fldCharType="begin"/>
      </w:r>
      <w:r>
        <w:instrText xml:space="preserve"> TITLE   \* MERGEFORMAT </w:instrText>
      </w:r>
      <w:r>
        <w:fldChar w:fldCharType="separate"/>
      </w:r>
      <w:r>
        <w:t>MARC4005A Operate marine internal combustion engines and associated systems up to 1500 kW</w:t>
      </w:r>
      <w:r>
        <w:fldChar w:fldCharType="end"/>
      </w:r>
    </w:p>
    <w:p w:rsidR="00C04D5D" w:rsidP="00C04D5D">
      <w:pPr>
        <w:pStyle w:val="Version"/>
        <w:sectPr w:rsidSect="001B7B6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B7B66" w:rsidP="001B7B66">
      <w:pPr>
        <w:pStyle w:val="SuperHeading"/>
      </w:pPr>
      <w:r w:rsidRPr="001B7B66">
        <w:t>MARC4005A Operate marine internal combustion engines and associated systems up to 1500 kW</w:t>
      </w:r>
    </w:p>
    <w:p w:rsidR="00000000" w:rsidRPr="001B7B66" w:rsidP="001B7B66">
      <w:pPr>
        <w:pStyle w:val="Heading1"/>
      </w:pPr>
      <w:bookmarkStart w:id="1" w:name="O_536716"/>
      <w:bookmarkEnd w:id="1"/>
      <w:r w:rsidRPr="001B7B66">
        <w:t>Modification History</w:t>
      </w:r>
    </w:p>
    <w:p w:rsidR="00000000" w:rsidRPr="001B7B66" w:rsidP="001B7B66">
      <w:pPr>
        <w:pStyle w:val="BodyText"/>
      </w:pPr>
      <w:r w:rsidRPr="001B7B66">
        <w:t>Release 1</w:t>
      </w:r>
    </w:p>
    <w:p w:rsidR="00000000" w:rsidRPr="001B7B66" w:rsidP="001B7B66">
      <w:pPr>
        <w:pStyle w:val="BodyText"/>
      </w:pPr>
      <w:r w:rsidRPr="001B7B66">
        <w:t>This is the first release of this unit.</w:t>
      </w:r>
    </w:p>
    <w:p w:rsidR="00000000" w:rsidRPr="001B7B66" w:rsidP="001B7B66">
      <w:pPr>
        <w:pStyle w:val="AllowPageBreak"/>
      </w:pPr>
    </w:p>
    <w:p w:rsidR="00000000" w:rsidRPr="001B7B66" w:rsidP="001B7B66">
      <w:pPr>
        <w:pStyle w:val="Heading1"/>
      </w:pPr>
      <w:bookmarkStart w:id="2" w:name="O_536728"/>
      <w:bookmarkEnd w:id="2"/>
      <w:r w:rsidRPr="001B7B66">
        <w:t>Unit Descriptor</w:t>
      </w:r>
    </w:p>
    <w:p w:rsidR="00000000" w:rsidRPr="001B7B66" w:rsidP="001B7B66">
      <w:pPr>
        <w:pStyle w:val="BodyText"/>
      </w:pPr>
      <w:r w:rsidRPr="001B7B66">
        <w:t>This unit involves the skills and knowledge required to operate a marine internal combustion engine and associated systems up to 1500 kW according to technical specifications and safe operating limits.</w:t>
      </w:r>
    </w:p>
    <w:p w:rsidR="00000000" w:rsidRPr="001B7B66" w:rsidP="001B7B66">
      <w:pPr>
        <w:pStyle w:val="AllowPageBreak"/>
      </w:pPr>
    </w:p>
    <w:p w:rsidR="00000000" w:rsidRPr="001B7B66" w:rsidP="001B7B66">
      <w:pPr>
        <w:pStyle w:val="Heading1"/>
      </w:pPr>
      <w:bookmarkStart w:id="3" w:name="O_536727"/>
      <w:bookmarkEnd w:id="3"/>
      <w:r w:rsidRPr="001B7B66">
        <w:t>Application of the Unit</w:t>
      </w:r>
    </w:p>
    <w:p w:rsidR="00000000" w:rsidRPr="001B7B66" w:rsidP="001B7B66">
      <w:pPr>
        <w:pStyle w:val="BodyText"/>
      </w:pPr>
      <w:r w:rsidRPr="001B7B66">
        <w:t>This unit app</w:t>
      </w:r>
      <w:r w:rsidRPr="001B7B66">
        <w:t>lies to engine workers in the maritime industry working as a Marine Engine Driver Grade 1 on vessels up to 1500 kW.</w:t>
      </w:r>
    </w:p>
    <w:p w:rsidR="00000000" w:rsidRPr="001B7B66" w:rsidP="001B7B66">
      <w:pPr>
        <w:pStyle w:val="AllowPageBreak"/>
      </w:pPr>
    </w:p>
    <w:p w:rsidR="00000000" w:rsidRPr="001B7B66" w:rsidP="001B7B66">
      <w:pPr>
        <w:pStyle w:val="Heading1"/>
      </w:pPr>
      <w:bookmarkStart w:id="4" w:name="O_536726"/>
      <w:bookmarkEnd w:id="4"/>
      <w:r w:rsidRPr="001B7B66">
        <w:t>Licensing/Regulatory Information</w:t>
      </w:r>
    </w:p>
    <w:p w:rsidR="00000000" w:rsidRPr="001B7B66" w:rsidP="001B7B66">
      <w:pPr>
        <w:pStyle w:val="BodyText"/>
      </w:pPr>
      <w:r w:rsidRPr="001B7B66">
        <w:t>Not applicable.</w:t>
      </w:r>
    </w:p>
    <w:p w:rsidR="00000000" w:rsidRPr="001B7B66" w:rsidP="001B7B66">
      <w:pPr>
        <w:pStyle w:val="AllowPageBreak"/>
      </w:pPr>
    </w:p>
    <w:p w:rsidR="00000000" w:rsidRPr="001B7B66" w:rsidP="001B7B66">
      <w:pPr>
        <w:pStyle w:val="Heading1"/>
      </w:pPr>
      <w:bookmarkStart w:id="5" w:name="O_536725"/>
      <w:bookmarkEnd w:id="5"/>
      <w:r w:rsidRPr="001B7B66">
        <w:t>Pre-Requisites</w:t>
      </w:r>
    </w:p>
    <w:p w:rsidR="00000000" w:rsidRPr="001B7B66" w:rsidP="001B7B66">
      <w:pPr>
        <w:pStyle w:val="BodyText"/>
      </w:pPr>
      <w:r w:rsidRPr="001B7B66">
        <w:t>Not applicable.</w:t>
      </w:r>
    </w:p>
    <w:p w:rsidR="00000000" w:rsidRPr="001B7B66" w:rsidP="001B7B66">
      <w:pPr>
        <w:pStyle w:val="AllowPageBreak"/>
      </w:pPr>
    </w:p>
    <w:p w:rsidR="00000000" w:rsidRPr="001B7B66" w:rsidP="001B7B66">
      <w:pPr>
        <w:pStyle w:val="Heading1"/>
      </w:pPr>
      <w:bookmarkStart w:id="6" w:name="O_536724"/>
      <w:bookmarkEnd w:id="6"/>
      <w:r w:rsidRPr="001B7B66">
        <w:t>Employabi</w:t>
      </w:r>
      <w:r w:rsidRPr="001B7B66">
        <w:t>lity Skills Information</w:t>
      </w:r>
    </w:p>
    <w:p w:rsidR="00000000" w:rsidRPr="001B7B66" w:rsidP="001B7B66">
      <w:pPr>
        <w:pStyle w:val="BodyText"/>
      </w:pPr>
      <w:r w:rsidRPr="001B7B66">
        <w:t>This unit contains employability skills.</w:t>
      </w:r>
    </w:p>
    <w:p w:rsidR="00000000" w:rsidRPr="001B7B66" w:rsidP="001B7B66">
      <w:pPr>
        <w:pStyle w:val="AllowPageBreak"/>
      </w:pPr>
    </w:p>
    <w:p w:rsidR="00000000" w:rsidRPr="001B7B66" w:rsidP="001B7B66">
      <w:pPr>
        <w:pStyle w:val="Heading1"/>
      </w:pPr>
      <w:bookmarkStart w:id="7" w:name="O_536723"/>
      <w:bookmarkEnd w:id="7"/>
      <w:r w:rsidRPr="001B7B66">
        <w:t>Elements and Performance Criteria Pre-Content</w:t>
      </w:r>
    </w:p>
    <w:tbl>
      <w:tblPr>
        <w:tblW w:w="9640" w:type="dxa"/>
        <w:tblLayout w:type="fixed"/>
        <w:tblCellMar>
          <w:left w:w="62" w:type="dxa"/>
          <w:right w:w="62" w:type="dxa"/>
        </w:tblCellMar>
        <w:tblLook w:val="0000"/>
      </w:tblPr>
      <w:tblGrid>
        <w:gridCol w:w="2776"/>
        <w:gridCol w:w="6864"/>
      </w:tblGrid>
      <w:tr w:rsidTr="00C04D5D">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1B7B66">
            <w:pPr>
              <w:pStyle w:val="BodyText"/>
              <w:rPr>
                <w:lang w:val="en-NZ"/>
              </w:rPr>
            </w:pPr>
            <w:r w:rsidRPr="001B7B66">
              <w:t>Elements describe the essential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1B7B66" w:rsidP="001B7B66">
            <w:pPr>
              <w:pStyle w:val="BodyText"/>
            </w:pPr>
            <w:r w:rsidRPr="001B7B66">
              <w:t xml:space="preserve">Performance criteria describe the required performance needed </w:t>
            </w:r>
            <w:r w:rsidRPr="001B7B66">
              <w:t>to demonstrate achievement of the element. Assessment of performance is to be consistent with the evidence guide.</w:t>
            </w:r>
          </w:p>
        </w:tc>
      </w:tr>
    </w:tbl>
    <w:p w:rsidR="00000000" w:rsidRPr="001B7B66" w:rsidP="001B7B66">
      <w:pPr>
        <w:pStyle w:val="BodyText"/>
      </w:pPr>
    </w:p>
    <w:p w:rsidR="00000000" w:rsidRPr="001B7B66" w:rsidP="001B7B66">
      <w:pPr>
        <w:pStyle w:val="AllowPageBreak"/>
      </w:pPr>
    </w:p>
    <w:p w:rsidR="00000000" w:rsidRPr="001B7B66" w:rsidP="001B7B66">
      <w:pPr>
        <w:pStyle w:val="Heading1"/>
      </w:pPr>
      <w:bookmarkStart w:id="8" w:name="O_536722"/>
      <w:bookmarkEnd w:id="8"/>
      <w:r w:rsidRPr="001B7B66">
        <w:t>Elements and Performance Criteria</w:t>
      </w:r>
    </w:p>
    <w:tbl>
      <w:tblPr>
        <w:tblW w:w="9640" w:type="dxa"/>
        <w:tblLayout w:type="fixed"/>
        <w:tblCellMar>
          <w:left w:w="62" w:type="dxa"/>
          <w:right w:w="62" w:type="dxa"/>
        </w:tblCellMar>
        <w:tblLook w:val="0000"/>
      </w:tblPr>
      <w:tblGrid>
        <w:gridCol w:w="293"/>
        <w:gridCol w:w="1899"/>
        <w:gridCol w:w="584"/>
        <w:gridCol w:w="6864"/>
      </w:tblGrid>
      <w:tr w:rsidTr="00C04D5D">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1B7B66" w:rsidP="001B7B66">
            <w:pPr>
              <w:pStyle w:val="BodyText"/>
            </w:pPr>
            <w:r w:rsidRPr="001B7B66">
              <w:rPr>
                <w:rStyle w:val="SpecialBold"/>
              </w:rPr>
              <w:t>1</w:t>
            </w:r>
          </w:p>
        </w:tc>
        <w:tc>
          <w:tcPr>
            <w:tcW w:w="1899" w:type="dxa"/>
            <w:vMerge w:val="restart"/>
            <w:tcBorders>
              <w:top w:val="nil"/>
              <w:left w:val="nil"/>
              <w:bottom w:val="nil"/>
              <w:right w:val="nil"/>
            </w:tcBorders>
            <w:tcMar>
              <w:top w:w="0" w:type="dxa"/>
              <w:left w:w="62" w:type="dxa"/>
              <w:bottom w:w="0" w:type="dxa"/>
              <w:right w:w="62" w:type="dxa"/>
            </w:tcMar>
          </w:tcPr>
          <w:p w:rsidR="00000000" w:rsidP="001B7B66">
            <w:pPr>
              <w:pStyle w:val="BodyText"/>
              <w:rPr>
                <w:lang w:val="en-NZ"/>
              </w:rPr>
            </w:pPr>
            <w:r w:rsidRPr="001B7B66">
              <w:rPr>
                <w:rStyle w:val="SpecialBold"/>
              </w:rPr>
              <w:t>Prepare for operation</w:t>
            </w:r>
          </w:p>
        </w:tc>
        <w:tc>
          <w:tcPr>
            <w:tcW w:w="584" w:type="dxa"/>
            <w:tcBorders>
              <w:top w:val="nil"/>
              <w:left w:val="nil"/>
              <w:bottom w:val="nil"/>
              <w:right w:val="nil"/>
            </w:tcBorders>
            <w:tcMar>
              <w:top w:w="0" w:type="dxa"/>
              <w:left w:w="62" w:type="dxa"/>
              <w:bottom w:w="0" w:type="dxa"/>
              <w:right w:w="62" w:type="dxa"/>
            </w:tcMar>
          </w:tcPr>
          <w:p w:rsidR="00000000" w:rsidP="001B7B66">
            <w:pPr>
              <w:pStyle w:val="BodyText"/>
              <w:rPr>
                <w:lang w:val="en-NZ"/>
              </w:rPr>
            </w:pPr>
            <w:r w:rsidRPr="001B7B66">
              <w:t>1.1</w:t>
            </w:r>
          </w:p>
        </w:tc>
        <w:tc>
          <w:tcPr>
            <w:tcW w:w="6864" w:type="dxa"/>
            <w:tcBorders>
              <w:top w:val="nil"/>
              <w:left w:val="nil"/>
              <w:bottom w:val="nil"/>
              <w:right w:val="nil"/>
            </w:tcBorders>
            <w:tcMar>
              <w:top w:w="0" w:type="dxa"/>
              <w:left w:w="62" w:type="dxa"/>
              <w:bottom w:w="0" w:type="dxa"/>
              <w:right w:w="62" w:type="dxa"/>
            </w:tcMar>
          </w:tcPr>
          <w:p w:rsidR="00000000" w:rsidP="001B7B66">
            <w:pPr>
              <w:pStyle w:val="BodyText"/>
              <w:rPr>
                <w:lang w:val="en-NZ"/>
              </w:rPr>
            </w:pPr>
            <w:r w:rsidRPr="001B7B66">
              <w:t>Risks to self, others and the environment are identified according to organisational procedures</w:t>
            </w:r>
          </w:p>
        </w:tc>
      </w:tr>
      <w:tr w:rsidTr="00C04D5D">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1B7B66">
            <w:pPr>
              <w:pStyle w:val="BodyText"/>
              <w:rPr>
                <w:lang w:val="en-NZ"/>
              </w:rPr>
            </w:pPr>
            <w:r w:rsidRPr="001B7B66">
              <w:t>1.2</w:t>
            </w:r>
          </w:p>
        </w:tc>
        <w:tc>
          <w:tcPr>
            <w:tcW w:w="6864" w:type="dxa"/>
            <w:tcBorders>
              <w:top w:val="nil"/>
              <w:left w:val="nil"/>
              <w:bottom w:val="nil"/>
              <w:right w:val="nil"/>
            </w:tcBorders>
            <w:tcMar>
              <w:top w:w="0" w:type="dxa"/>
              <w:left w:w="62" w:type="dxa"/>
              <w:bottom w:w="0" w:type="dxa"/>
              <w:right w:w="62" w:type="dxa"/>
            </w:tcMar>
          </w:tcPr>
          <w:p w:rsidR="00000000" w:rsidP="001B7B66">
            <w:pPr>
              <w:pStyle w:val="BodyText"/>
              <w:rPr>
                <w:lang w:val="en-NZ"/>
              </w:rPr>
            </w:pPr>
            <w:r w:rsidRPr="001B7B66">
              <w:t xml:space="preserve">Routine pre-operational checks of marine internal combustion engines and </w:t>
            </w:r>
            <w:r w:rsidRPr="001B7B66">
              <w:rPr>
                <w:rStyle w:val="BoldandItalics"/>
              </w:rPr>
              <w:t>associated systems</w:t>
            </w:r>
            <w:r w:rsidRPr="001B7B66">
              <w:t xml:space="preserve"> are completed prior to use according to manufacturer specific</w:t>
            </w:r>
            <w:r w:rsidRPr="001B7B66">
              <w:t>ations and organisational procedures</w:t>
            </w:r>
          </w:p>
        </w:tc>
      </w:tr>
      <w:tr w:rsidTr="00C04D5D">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1B7B66" w:rsidP="001B7B66">
            <w:pPr>
              <w:pStyle w:val="BodyText"/>
            </w:pPr>
            <w:r w:rsidRPr="001B7B66">
              <w:rPr>
                <w:rStyle w:val="SpecialBold"/>
              </w:rPr>
              <w:t>2</w:t>
            </w:r>
          </w:p>
        </w:tc>
        <w:tc>
          <w:tcPr>
            <w:tcW w:w="1899" w:type="dxa"/>
            <w:vMerge w:val="restart"/>
            <w:tcBorders>
              <w:top w:val="nil"/>
              <w:left w:val="nil"/>
              <w:bottom w:val="nil"/>
              <w:right w:val="nil"/>
            </w:tcBorders>
            <w:tcMar>
              <w:top w:w="0" w:type="dxa"/>
              <w:left w:w="62" w:type="dxa"/>
              <w:bottom w:w="0" w:type="dxa"/>
              <w:right w:w="62" w:type="dxa"/>
            </w:tcMar>
          </w:tcPr>
          <w:p w:rsidR="00000000" w:rsidP="001B7B66">
            <w:pPr>
              <w:pStyle w:val="BodyText"/>
              <w:rPr>
                <w:lang w:val="en-NZ"/>
              </w:rPr>
            </w:pPr>
            <w:r w:rsidRPr="001B7B66">
              <w:rPr>
                <w:rStyle w:val="SpecialBold"/>
              </w:rPr>
              <w:t>Operate marine internal combustion engines and associated systems</w:t>
            </w:r>
          </w:p>
        </w:tc>
        <w:tc>
          <w:tcPr>
            <w:tcW w:w="584" w:type="dxa"/>
            <w:tcBorders>
              <w:top w:val="nil"/>
              <w:left w:val="nil"/>
              <w:bottom w:val="nil"/>
              <w:right w:val="nil"/>
            </w:tcBorders>
            <w:tcMar>
              <w:top w:w="0" w:type="dxa"/>
              <w:left w:w="62" w:type="dxa"/>
              <w:bottom w:w="0" w:type="dxa"/>
              <w:right w:w="62" w:type="dxa"/>
            </w:tcMar>
          </w:tcPr>
          <w:p w:rsidR="00000000" w:rsidP="001B7B66">
            <w:pPr>
              <w:pStyle w:val="BodyText"/>
              <w:rPr>
                <w:lang w:val="en-NZ"/>
              </w:rPr>
            </w:pPr>
            <w:r w:rsidRPr="001B7B66">
              <w:t>2.1</w:t>
            </w:r>
          </w:p>
        </w:tc>
        <w:tc>
          <w:tcPr>
            <w:tcW w:w="6864" w:type="dxa"/>
            <w:tcBorders>
              <w:top w:val="nil"/>
              <w:left w:val="nil"/>
              <w:bottom w:val="nil"/>
              <w:right w:val="nil"/>
            </w:tcBorders>
            <w:tcMar>
              <w:top w:w="0" w:type="dxa"/>
              <w:left w:w="62" w:type="dxa"/>
              <w:bottom w:w="0" w:type="dxa"/>
              <w:right w:w="62" w:type="dxa"/>
            </w:tcMar>
          </w:tcPr>
          <w:p w:rsidR="00000000" w:rsidP="001B7B66">
            <w:pPr>
              <w:pStyle w:val="BodyText"/>
              <w:rPr>
                <w:lang w:val="en-NZ"/>
              </w:rPr>
            </w:pPr>
            <w:r w:rsidRPr="001B7B66">
              <w:t xml:space="preserve">Suitable personal protective equipment is selected and used according to organisational procedures </w:t>
            </w:r>
          </w:p>
        </w:tc>
      </w:tr>
      <w:tr w:rsidTr="00C04D5D">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1B7B66">
            <w:pPr>
              <w:pStyle w:val="BodyText"/>
              <w:rPr>
                <w:lang w:val="en-NZ"/>
              </w:rPr>
            </w:pPr>
            <w:r w:rsidRPr="001B7B66">
              <w:t>2.2</w:t>
            </w:r>
          </w:p>
        </w:tc>
        <w:tc>
          <w:tcPr>
            <w:tcW w:w="6864" w:type="dxa"/>
            <w:tcBorders>
              <w:top w:val="nil"/>
              <w:left w:val="nil"/>
              <w:bottom w:val="nil"/>
              <w:right w:val="nil"/>
            </w:tcBorders>
            <w:tcMar>
              <w:top w:w="0" w:type="dxa"/>
              <w:left w:w="62" w:type="dxa"/>
              <w:bottom w:w="0" w:type="dxa"/>
              <w:right w:w="62" w:type="dxa"/>
            </w:tcMar>
          </w:tcPr>
          <w:p w:rsidR="00000000" w:rsidP="001B7B66">
            <w:pPr>
              <w:pStyle w:val="BodyText"/>
              <w:rPr>
                <w:lang w:val="en-NZ"/>
              </w:rPr>
            </w:pPr>
            <w:r w:rsidRPr="001B7B66">
              <w:t xml:space="preserve">Marine internal combustion engines and associated systems are operated in a safe and controlled manner </w:t>
            </w:r>
          </w:p>
        </w:tc>
      </w:tr>
      <w:tr w:rsidTr="00C04D5D">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1B7B66">
            <w:pPr>
              <w:pStyle w:val="BodyText"/>
              <w:rPr>
                <w:lang w:val="en-NZ"/>
              </w:rPr>
            </w:pPr>
            <w:r w:rsidRPr="001B7B66">
              <w:t>2.3</w:t>
            </w:r>
          </w:p>
        </w:tc>
        <w:tc>
          <w:tcPr>
            <w:tcW w:w="6864" w:type="dxa"/>
            <w:tcBorders>
              <w:top w:val="nil"/>
              <w:left w:val="nil"/>
              <w:bottom w:val="nil"/>
              <w:right w:val="nil"/>
            </w:tcBorders>
            <w:tcMar>
              <w:top w:w="0" w:type="dxa"/>
              <w:left w:w="62" w:type="dxa"/>
              <w:bottom w:w="0" w:type="dxa"/>
              <w:right w:w="62" w:type="dxa"/>
            </w:tcMar>
          </w:tcPr>
          <w:p w:rsidR="00000000" w:rsidP="001B7B66">
            <w:pPr>
              <w:pStyle w:val="BodyText"/>
              <w:rPr>
                <w:lang w:val="en-NZ"/>
              </w:rPr>
            </w:pPr>
            <w:r w:rsidRPr="001B7B66">
              <w:t xml:space="preserve">Performance of marine internal combustion engines and associated systems operations is </w:t>
            </w:r>
            <w:r w:rsidRPr="001B7B66">
              <w:rPr>
                <w:rStyle w:val="BoldandItalics"/>
              </w:rPr>
              <w:t xml:space="preserve">monitored </w:t>
            </w:r>
          </w:p>
        </w:tc>
      </w:tr>
      <w:tr w:rsidTr="00C04D5D">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1B7B66">
            <w:pPr>
              <w:pStyle w:val="BodyText"/>
              <w:rPr>
                <w:lang w:val="en-NZ"/>
              </w:rPr>
            </w:pPr>
            <w:r w:rsidRPr="001B7B66">
              <w:t>2.4</w:t>
            </w:r>
          </w:p>
        </w:tc>
        <w:tc>
          <w:tcPr>
            <w:tcW w:w="6864" w:type="dxa"/>
            <w:tcBorders>
              <w:top w:val="nil"/>
              <w:left w:val="nil"/>
              <w:bottom w:val="nil"/>
              <w:right w:val="nil"/>
            </w:tcBorders>
            <w:tcMar>
              <w:top w:w="0" w:type="dxa"/>
              <w:left w:w="62" w:type="dxa"/>
              <w:bottom w:w="0" w:type="dxa"/>
              <w:right w:w="62" w:type="dxa"/>
            </w:tcMar>
          </w:tcPr>
          <w:p w:rsidR="00000000" w:rsidP="001B7B66">
            <w:pPr>
              <w:pStyle w:val="BodyText"/>
              <w:rPr>
                <w:lang w:val="en-NZ"/>
              </w:rPr>
            </w:pPr>
            <w:r w:rsidRPr="001B7B66">
              <w:t>Adverse sea and weather conditions that may impact on operating marine internal combustion engines and associated systems are identified and operational practices are adjusted to maintain safety of vessel and personnel</w:t>
            </w:r>
          </w:p>
        </w:tc>
      </w:tr>
      <w:tr w:rsidTr="00C04D5D">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1B7B66">
            <w:pPr>
              <w:pStyle w:val="BodyText"/>
              <w:rPr>
                <w:lang w:val="en-NZ"/>
              </w:rPr>
            </w:pPr>
            <w:r w:rsidRPr="001B7B66">
              <w:t>2.5</w:t>
            </w:r>
          </w:p>
        </w:tc>
        <w:tc>
          <w:tcPr>
            <w:tcW w:w="6864" w:type="dxa"/>
            <w:tcBorders>
              <w:top w:val="nil"/>
              <w:left w:val="nil"/>
              <w:bottom w:val="nil"/>
              <w:right w:val="nil"/>
            </w:tcBorders>
            <w:tcMar>
              <w:top w:w="0" w:type="dxa"/>
              <w:left w:w="62" w:type="dxa"/>
              <w:bottom w:w="0" w:type="dxa"/>
              <w:right w:w="62" w:type="dxa"/>
            </w:tcMar>
          </w:tcPr>
          <w:p w:rsidR="00000000" w:rsidP="001B7B66">
            <w:pPr>
              <w:pStyle w:val="BodyText"/>
              <w:rPr>
                <w:lang w:val="en-NZ"/>
              </w:rPr>
            </w:pPr>
            <w:r w:rsidRPr="001B7B66">
              <w:t>Faults or malfunctions are ide</w:t>
            </w:r>
            <w:r w:rsidRPr="001B7B66">
              <w:t>ntified and recorded according to organisational procedures</w:t>
            </w:r>
          </w:p>
        </w:tc>
      </w:tr>
      <w:tr w:rsidTr="00C04D5D">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1B7B66">
            <w:pPr>
              <w:pStyle w:val="BodyText"/>
              <w:rPr>
                <w:lang w:val="en-NZ"/>
              </w:rPr>
            </w:pPr>
            <w:r w:rsidRPr="001B7B66">
              <w:t>2.6</w:t>
            </w:r>
          </w:p>
        </w:tc>
        <w:tc>
          <w:tcPr>
            <w:tcW w:w="6864" w:type="dxa"/>
            <w:tcBorders>
              <w:top w:val="nil"/>
              <w:left w:val="nil"/>
              <w:bottom w:val="nil"/>
              <w:right w:val="nil"/>
            </w:tcBorders>
            <w:tcMar>
              <w:top w:w="0" w:type="dxa"/>
              <w:left w:w="62" w:type="dxa"/>
              <w:bottom w:w="0" w:type="dxa"/>
              <w:right w:w="62" w:type="dxa"/>
            </w:tcMar>
          </w:tcPr>
          <w:p w:rsidR="00000000" w:rsidP="001B7B66">
            <w:pPr>
              <w:pStyle w:val="BodyText"/>
              <w:rPr>
                <w:lang w:val="en-NZ"/>
              </w:rPr>
            </w:pPr>
            <w:r w:rsidRPr="001B7B66">
              <w:t>Faults or malfunctions are rectified where possible and corrective actions are taken and recorded according to organisational procedures</w:t>
            </w:r>
          </w:p>
        </w:tc>
      </w:tr>
      <w:tr w:rsidTr="00C04D5D">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1B7B66">
            <w:pPr>
              <w:pStyle w:val="BodyText"/>
              <w:rPr>
                <w:lang w:val="en-NZ"/>
              </w:rPr>
            </w:pPr>
            <w:r w:rsidRPr="001B7B66">
              <w:t>2.7</w:t>
            </w:r>
          </w:p>
        </w:tc>
        <w:tc>
          <w:tcPr>
            <w:tcW w:w="6864" w:type="dxa"/>
            <w:tcBorders>
              <w:top w:val="nil"/>
              <w:left w:val="nil"/>
              <w:bottom w:val="nil"/>
              <w:right w:val="nil"/>
            </w:tcBorders>
            <w:tcMar>
              <w:top w:w="0" w:type="dxa"/>
              <w:left w:w="62" w:type="dxa"/>
              <w:bottom w:w="0" w:type="dxa"/>
              <w:right w:w="62" w:type="dxa"/>
            </w:tcMar>
          </w:tcPr>
          <w:p w:rsidR="00000000" w:rsidP="001B7B66">
            <w:pPr>
              <w:pStyle w:val="BodyText"/>
              <w:rPr>
                <w:lang w:val="en-NZ"/>
              </w:rPr>
            </w:pPr>
            <w:r w:rsidRPr="001B7B66">
              <w:t>Restrictions are applied to operations if nec</w:t>
            </w:r>
            <w:r w:rsidRPr="001B7B66">
              <w:t>essary and are agreed to with the Master</w:t>
            </w:r>
          </w:p>
        </w:tc>
      </w:tr>
      <w:tr w:rsidTr="00C04D5D">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1B7B66">
            <w:pPr>
              <w:pStyle w:val="BodyText"/>
              <w:rPr>
                <w:lang w:val="en-NZ"/>
              </w:rPr>
            </w:pPr>
            <w:r w:rsidRPr="001B7B66">
              <w:t>2.8</w:t>
            </w:r>
          </w:p>
        </w:tc>
        <w:tc>
          <w:tcPr>
            <w:tcW w:w="6864" w:type="dxa"/>
            <w:tcBorders>
              <w:top w:val="nil"/>
              <w:left w:val="nil"/>
              <w:bottom w:val="nil"/>
              <w:right w:val="nil"/>
            </w:tcBorders>
            <w:tcMar>
              <w:top w:w="0" w:type="dxa"/>
              <w:left w:w="62" w:type="dxa"/>
              <w:bottom w:w="0" w:type="dxa"/>
              <w:right w:w="62" w:type="dxa"/>
            </w:tcMar>
          </w:tcPr>
          <w:p w:rsidR="00000000" w:rsidP="001B7B66">
            <w:pPr>
              <w:pStyle w:val="BodyText"/>
              <w:rPr>
                <w:lang w:val="en-NZ"/>
              </w:rPr>
            </w:pPr>
            <w:r w:rsidRPr="001B7B66">
              <w:t xml:space="preserve">Procedures to be undertaken in of </w:t>
            </w:r>
            <w:r w:rsidRPr="001B7B66">
              <w:rPr>
                <w:rStyle w:val="BoldandItalics"/>
              </w:rPr>
              <w:t xml:space="preserve">emergencies </w:t>
            </w:r>
            <w:r w:rsidRPr="001B7B66">
              <w:t>are recognised and implemented</w:t>
            </w:r>
          </w:p>
        </w:tc>
      </w:tr>
      <w:tr w:rsidTr="00C04D5D">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1B7B66" w:rsidP="001B7B66">
            <w:pPr>
              <w:pStyle w:val="BodyText"/>
            </w:pPr>
            <w:r w:rsidRPr="001B7B66">
              <w:rPr>
                <w:rStyle w:val="SpecialBold"/>
              </w:rPr>
              <w:t>3</w:t>
            </w:r>
          </w:p>
        </w:tc>
        <w:tc>
          <w:tcPr>
            <w:tcW w:w="1899" w:type="dxa"/>
            <w:vMerge w:val="restart"/>
            <w:tcBorders>
              <w:top w:val="nil"/>
              <w:left w:val="nil"/>
              <w:bottom w:val="nil"/>
              <w:right w:val="nil"/>
            </w:tcBorders>
            <w:tcMar>
              <w:top w:w="0" w:type="dxa"/>
              <w:left w:w="62" w:type="dxa"/>
              <w:bottom w:w="0" w:type="dxa"/>
              <w:right w:w="62" w:type="dxa"/>
            </w:tcMar>
          </w:tcPr>
          <w:p w:rsidR="00000000" w:rsidP="001B7B66">
            <w:pPr>
              <w:pStyle w:val="BodyText"/>
              <w:rPr>
                <w:lang w:val="en-NZ"/>
              </w:rPr>
            </w:pPr>
            <w:r w:rsidRPr="001B7B66">
              <w:rPr>
                <w:rStyle w:val="SpecialBold"/>
              </w:rPr>
              <w:t>Complete operations</w:t>
            </w:r>
          </w:p>
        </w:tc>
        <w:tc>
          <w:tcPr>
            <w:tcW w:w="584" w:type="dxa"/>
            <w:tcBorders>
              <w:top w:val="nil"/>
              <w:left w:val="nil"/>
              <w:bottom w:val="nil"/>
              <w:right w:val="nil"/>
            </w:tcBorders>
            <w:tcMar>
              <w:top w:w="0" w:type="dxa"/>
              <w:left w:w="62" w:type="dxa"/>
              <w:bottom w:w="0" w:type="dxa"/>
              <w:right w:w="62" w:type="dxa"/>
            </w:tcMar>
          </w:tcPr>
          <w:p w:rsidR="00000000" w:rsidP="001B7B66">
            <w:pPr>
              <w:pStyle w:val="BodyText"/>
              <w:rPr>
                <w:lang w:val="en-NZ"/>
              </w:rPr>
            </w:pPr>
            <w:r w:rsidRPr="001B7B66">
              <w:t>3.1</w:t>
            </w:r>
          </w:p>
        </w:tc>
        <w:tc>
          <w:tcPr>
            <w:tcW w:w="6864" w:type="dxa"/>
            <w:tcBorders>
              <w:top w:val="nil"/>
              <w:left w:val="nil"/>
              <w:bottom w:val="nil"/>
              <w:right w:val="nil"/>
            </w:tcBorders>
            <w:tcMar>
              <w:top w:w="0" w:type="dxa"/>
              <w:left w:w="62" w:type="dxa"/>
              <w:bottom w:w="0" w:type="dxa"/>
              <w:right w:w="62" w:type="dxa"/>
            </w:tcMar>
          </w:tcPr>
          <w:p w:rsidR="00000000" w:rsidP="001B7B66">
            <w:pPr>
              <w:pStyle w:val="BodyText"/>
              <w:rPr>
                <w:lang w:val="en-NZ"/>
              </w:rPr>
            </w:pPr>
            <w:r w:rsidRPr="001B7B66">
              <w:t>Shut-down procedures are conducted according to manufacturer instructions and organisational procedures</w:t>
            </w:r>
          </w:p>
        </w:tc>
      </w:tr>
      <w:tr w:rsidTr="00C04D5D">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RPr="001B7B66" w:rsidP="001B7B66">
            <w:pPr>
              <w:pStyle w:val="BodyText"/>
            </w:pPr>
            <w:r w:rsidRPr="001B7B66">
              <w:t>3.2</w:t>
            </w:r>
          </w:p>
        </w:tc>
        <w:tc>
          <w:tcPr>
            <w:tcW w:w="6864" w:type="dxa"/>
            <w:tcBorders>
              <w:top w:val="nil"/>
              <w:left w:val="nil"/>
              <w:bottom w:val="nil"/>
              <w:right w:val="nil"/>
            </w:tcBorders>
            <w:tcMar>
              <w:top w:w="0" w:type="dxa"/>
              <w:left w:w="62" w:type="dxa"/>
              <w:bottom w:w="0" w:type="dxa"/>
              <w:right w:w="62" w:type="dxa"/>
            </w:tcMar>
          </w:tcPr>
          <w:p w:rsidR="00000000" w:rsidRPr="001B7B66" w:rsidP="001B7B66">
            <w:pPr>
              <w:pStyle w:val="BodyText"/>
            </w:pPr>
            <w:r w:rsidRPr="001B7B66">
              <w:rPr>
                <w:rStyle w:val="BoldandItalics"/>
              </w:rPr>
              <w:t>Operational records</w:t>
            </w:r>
            <w:r w:rsidRPr="001B7B66">
              <w:t xml:space="preserve"> are completed according to organisational procedures</w:t>
            </w:r>
          </w:p>
        </w:tc>
      </w:tr>
    </w:tbl>
    <w:p w:rsidR="00000000" w:rsidRPr="001B7B66" w:rsidP="001B7B66">
      <w:pPr>
        <w:pStyle w:val="BodyText"/>
      </w:pPr>
    </w:p>
    <w:p w:rsidR="00000000" w:rsidRPr="001B7B66" w:rsidP="001B7B66">
      <w:pPr>
        <w:pStyle w:val="AllowPageBreak"/>
      </w:pPr>
    </w:p>
    <w:p w:rsidR="00000000" w:rsidRPr="001B7B66" w:rsidP="001B7B66">
      <w:pPr>
        <w:pStyle w:val="Heading1"/>
      </w:pPr>
      <w:bookmarkStart w:id="9" w:name="O_536721"/>
      <w:bookmarkEnd w:id="9"/>
      <w:r w:rsidRPr="001B7B66">
        <w:t>Required Skills and Knowledge</w:t>
      </w:r>
    </w:p>
    <w:tbl>
      <w:tblPr>
        <w:tblW w:w="0" w:type="auto"/>
        <w:tblCellMar>
          <w:left w:w="62" w:type="dxa"/>
          <w:right w:w="62" w:type="dxa"/>
        </w:tblCellMar>
        <w:tblLook w:val="0000"/>
      </w:tblPr>
      <w:tblGrid>
        <w:gridCol w:w="9196"/>
      </w:tblGrid>
      <w:tr w:rsidTr="00C04D5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B7B66">
            <w:pPr>
              <w:pStyle w:val="BodyText"/>
              <w:rPr>
                <w:lang w:val="en-NZ"/>
              </w:rPr>
            </w:pPr>
            <w:r w:rsidRPr="001B7B66">
              <w:t>This section describes the skills and knowledge required for this unit.</w:t>
            </w:r>
          </w:p>
        </w:tc>
      </w:tr>
      <w:tr w:rsidTr="00C04D5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B7B66">
            <w:pPr>
              <w:pStyle w:val="BodyText"/>
              <w:rPr>
                <w:lang w:val="en-NZ"/>
              </w:rPr>
            </w:pPr>
            <w:r w:rsidRPr="001B7B66">
              <w:rPr>
                <w:rStyle w:val="SpecialBold"/>
              </w:rPr>
              <w:t>Required Skills:</w:t>
            </w:r>
          </w:p>
        </w:tc>
      </w:tr>
      <w:tr w:rsidTr="00C04D5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B7B66" w:rsidP="001B7B66">
            <w:pPr>
              <w:pStyle w:val="ListBullet"/>
            </w:pPr>
            <w:r w:rsidRPr="001B7B66">
              <w:t>Carry out necessary calculations associated with managing marine internal combustion engines and associated systems including calculating:</w:t>
            </w:r>
          </w:p>
          <w:p w:rsidR="00000000" w:rsidRPr="001B7B66" w:rsidP="001B7B66">
            <w:pPr>
              <w:pStyle w:val="ListBullet2"/>
            </w:pPr>
            <w:r w:rsidRPr="001B7B66">
              <w:t>areas and volumes of various shapes and circumference of circles</w:t>
            </w:r>
          </w:p>
          <w:p w:rsidR="00000000" w:rsidRPr="001B7B66" w:rsidP="001B7B66">
            <w:pPr>
              <w:pStyle w:val="ListBullet2"/>
            </w:pPr>
            <w:r w:rsidRPr="001B7B66">
              <w:t>calibration tables</w:t>
            </w:r>
          </w:p>
          <w:p w:rsidR="00000000" w:rsidRPr="001B7B66" w:rsidP="001B7B66">
            <w:pPr>
              <w:pStyle w:val="ListBullet2"/>
            </w:pPr>
            <w:r w:rsidRPr="001B7B66">
              <w:t xml:space="preserve">lubricating oil and fuel oil consumption, rate of fuel consumption (RFC), specific fuel consumption (SFC), effects on RFC and fuel requirements due to change in vessel speed or voyage deviations </w:t>
            </w:r>
          </w:p>
          <w:p w:rsidR="00000000" w:rsidRPr="001B7B66" w:rsidP="001B7B66">
            <w:pPr>
              <w:pStyle w:val="ListBullet2"/>
            </w:pPr>
            <w:r w:rsidRPr="001B7B66">
              <w:t>relationship between vessel speed and fuel consumption, incl</w:t>
            </w:r>
            <w:r w:rsidRPr="001B7B66">
              <w:t>uding the meaning of economical RPM and its application</w:t>
            </w:r>
          </w:p>
          <w:p w:rsidR="00000000" w:rsidP="001B7B66">
            <w:pPr>
              <w:pStyle w:val="ListBullet2"/>
              <w:rPr>
                <w:lang w:val="en-NZ"/>
              </w:rPr>
            </w:pPr>
            <w:r w:rsidRPr="001B7B66">
              <w:t>tank capacities and pumping capacities for filling and emptying</w:t>
            </w:r>
          </w:p>
        </w:tc>
      </w:tr>
      <w:tr w:rsidTr="00C04D5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B7B66">
            <w:pPr>
              <w:pStyle w:val="ListBullet"/>
              <w:rPr>
                <w:lang w:val="en-NZ"/>
              </w:rPr>
            </w:pPr>
            <w:r w:rsidRPr="001B7B66">
              <w:t>Maintain records of operating and maintaining marine internal combustion engines and associated systems, and any related safety incide</w:t>
            </w:r>
            <w:r w:rsidRPr="001B7B66">
              <w:t>nts</w:t>
            </w:r>
          </w:p>
        </w:tc>
      </w:tr>
      <w:tr w:rsidTr="00C04D5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B7B66" w:rsidP="001B7B66">
            <w:pPr>
              <w:pStyle w:val="ListBullet"/>
            </w:pPr>
            <w:r w:rsidRPr="001B7B66">
              <w:t>Read and interpret:</w:t>
            </w:r>
          </w:p>
          <w:p w:rsidR="00000000" w:rsidRPr="001B7B66" w:rsidP="001B7B66">
            <w:pPr>
              <w:pStyle w:val="ListBullet2"/>
            </w:pPr>
            <w:r w:rsidRPr="001B7B66">
              <w:t>manufacturer instructions for operating marine internal combustion engines and associated systems</w:t>
            </w:r>
          </w:p>
          <w:p w:rsidR="00000000" w:rsidP="001B7B66">
            <w:pPr>
              <w:pStyle w:val="ListBullet2"/>
              <w:rPr>
                <w:lang w:val="en-NZ"/>
              </w:rPr>
            </w:pPr>
            <w:r w:rsidRPr="001B7B66">
              <w:t>maritime regulations, rules and instructions</w:t>
            </w:r>
          </w:p>
        </w:tc>
      </w:tr>
      <w:tr w:rsidTr="00C04D5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B7B66">
            <w:pPr>
              <w:pStyle w:val="ListBullet"/>
              <w:rPr>
                <w:lang w:val="en-NZ"/>
              </w:rPr>
            </w:pPr>
            <w:r w:rsidRPr="001B7B66">
              <w:t>Read and monitor various gauges and instruments to evaluate the performance of marine internal combustion engines and associated systems</w:t>
            </w:r>
          </w:p>
        </w:tc>
      </w:tr>
      <w:tr w:rsidTr="00C04D5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B7B66">
            <w:pPr>
              <w:pStyle w:val="ListBullet"/>
              <w:rPr>
                <w:lang w:val="en-NZ"/>
              </w:rPr>
            </w:pPr>
            <w:r w:rsidRPr="001B7B66">
              <w:t>Recognise problems that may occur with marine internal combustion engines and associated systems, and take appropriat</w:t>
            </w:r>
            <w:r w:rsidRPr="001B7B66">
              <w:t>e preventative and remedial action</w:t>
            </w:r>
          </w:p>
        </w:tc>
      </w:tr>
      <w:tr w:rsidTr="00C04D5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B7B66" w:rsidP="001B7B66">
            <w:pPr>
              <w:pStyle w:val="ListBullet"/>
            </w:pPr>
            <w:r w:rsidRPr="001B7B66">
              <w:t>Recognise when performance of marine internal combustion engines and associated systems is unsatisfactory or outside of specified limits and take appropriate action</w:t>
            </w:r>
          </w:p>
        </w:tc>
      </w:tr>
    </w:tbl>
    <w:p w:rsidR="00000000" w:rsidRPr="001B7B66" w:rsidP="001B7B66">
      <w:pPr>
        <w:pStyle w:val="BodyText"/>
      </w:pPr>
    </w:p>
    <w:tbl>
      <w:tblPr>
        <w:tblW w:w="0" w:type="auto"/>
        <w:tblCellMar>
          <w:left w:w="62" w:type="dxa"/>
          <w:right w:w="62" w:type="dxa"/>
        </w:tblCellMar>
        <w:tblLook w:val="0000"/>
      </w:tblPr>
      <w:tblGrid>
        <w:gridCol w:w="9196"/>
      </w:tblGrid>
      <w:tr w:rsidTr="00C04D5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B7B66">
            <w:pPr>
              <w:pStyle w:val="BodyText"/>
              <w:rPr>
                <w:lang w:val="en-NZ"/>
              </w:rPr>
            </w:pPr>
            <w:r w:rsidRPr="001B7B66">
              <w:rPr>
                <w:rStyle w:val="SpecialBold"/>
              </w:rPr>
              <w:t>Required Knowledge:</w:t>
            </w:r>
          </w:p>
        </w:tc>
      </w:tr>
      <w:tr w:rsidTr="00C04D5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B7B66">
            <w:pPr>
              <w:pStyle w:val="ListBullet"/>
              <w:rPr>
                <w:lang w:val="en-NZ"/>
              </w:rPr>
            </w:pPr>
            <w:r w:rsidRPr="001B7B66">
              <w:t>Characteristics of marine internal combustion engines and associated systems including operational limits</w:t>
            </w:r>
          </w:p>
        </w:tc>
      </w:tr>
      <w:tr w:rsidTr="00C04D5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B7B66">
            <w:pPr>
              <w:pStyle w:val="ListBullet"/>
              <w:rPr>
                <w:lang w:val="en-NZ"/>
              </w:rPr>
            </w:pPr>
            <w:r w:rsidRPr="001B7B66">
              <w:t>Control systems</w:t>
            </w:r>
          </w:p>
        </w:tc>
      </w:tr>
      <w:tr w:rsidTr="00C04D5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B7B66">
            <w:pPr>
              <w:pStyle w:val="ListBullet"/>
              <w:rPr>
                <w:lang w:val="en-NZ"/>
              </w:rPr>
            </w:pPr>
            <w:r w:rsidRPr="001B7B66">
              <w:t>Cooling water system and components</w:t>
            </w:r>
          </w:p>
        </w:tc>
      </w:tr>
      <w:tr w:rsidTr="00C04D5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B7B66">
            <w:pPr>
              <w:pStyle w:val="ListBullet"/>
              <w:rPr>
                <w:lang w:val="en-NZ"/>
              </w:rPr>
            </w:pPr>
            <w:r w:rsidRPr="001B7B66">
              <w:t>Crankcase explosions and appropriate preventative and remedial action and solutions</w:t>
            </w:r>
          </w:p>
        </w:tc>
      </w:tr>
      <w:tr w:rsidTr="00C04D5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B7B66">
            <w:pPr>
              <w:pStyle w:val="ListBullet"/>
              <w:rPr>
                <w:lang w:val="en-NZ"/>
              </w:rPr>
            </w:pPr>
            <w:r w:rsidRPr="001B7B66">
              <w:t>Danger</w:t>
            </w:r>
            <w:r w:rsidRPr="001B7B66">
              <w:t>s associated with operating shipboard marine internal combustion engines and associated systems, and related hazard prevention strategies</w:t>
            </w:r>
          </w:p>
        </w:tc>
      </w:tr>
      <w:tr w:rsidTr="00C04D5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B7B66">
            <w:pPr>
              <w:pStyle w:val="ListBullet"/>
              <w:rPr>
                <w:lang w:val="en-NZ"/>
              </w:rPr>
            </w:pPr>
            <w:r w:rsidRPr="001B7B66">
              <w:t>Engine protection arrangements</w:t>
            </w:r>
          </w:p>
        </w:tc>
      </w:tr>
      <w:tr w:rsidTr="00C04D5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B7B66">
            <w:pPr>
              <w:pStyle w:val="ListBullet"/>
              <w:rPr>
                <w:lang w:val="en-NZ"/>
              </w:rPr>
            </w:pPr>
            <w:r w:rsidRPr="001B7B66">
              <w:t>Force diagrams</w:t>
            </w:r>
          </w:p>
        </w:tc>
      </w:tr>
      <w:tr w:rsidTr="00C04D5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B7B66">
            <w:pPr>
              <w:pStyle w:val="ListBullet"/>
              <w:rPr>
                <w:lang w:val="en-NZ"/>
              </w:rPr>
            </w:pPr>
            <w:r w:rsidRPr="001B7B66">
              <w:t>Fuel system including pumps and injectors</w:t>
            </w:r>
          </w:p>
        </w:tc>
      </w:tr>
      <w:tr w:rsidTr="00C04D5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B7B66">
            <w:pPr>
              <w:pStyle w:val="ListBullet"/>
              <w:rPr>
                <w:lang w:val="en-NZ"/>
              </w:rPr>
            </w:pPr>
            <w:r w:rsidRPr="001B7B66">
              <w:t>Lubricating oil systems and components</w:t>
            </w:r>
          </w:p>
        </w:tc>
      </w:tr>
      <w:tr w:rsidTr="00C04D5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B7B66">
            <w:pPr>
              <w:pStyle w:val="ListBullet"/>
              <w:rPr>
                <w:lang w:val="en-NZ"/>
              </w:rPr>
            </w:pPr>
            <w:r w:rsidRPr="001B7B66">
              <w:t>Materials and construction techniques of marine internal combustion engines and associated systems</w:t>
            </w:r>
          </w:p>
        </w:tc>
      </w:tr>
      <w:tr w:rsidTr="00C04D5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B7B66">
            <w:pPr>
              <w:pStyle w:val="ListBullet"/>
              <w:rPr>
                <w:lang w:val="en-NZ"/>
              </w:rPr>
            </w:pPr>
            <w:r w:rsidRPr="001B7B66">
              <w:t xml:space="preserve">Methods for controlling and managing the operation of shipboard marine internal combustion engines and associated </w:t>
            </w:r>
            <w:r w:rsidRPr="001B7B66">
              <w:t>systems</w:t>
            </w:r>
          </w:p>
        </w:tc>
      </w:tr>
      <w:tr w:rsidTr="00C04D5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B7B66">
            <w:pPr>
              <w:pStyle w:val="ListBullet"/>
              <w:rPr>
                <w:lang w:val="en-NZ"/>
              </w:rPr>
            </w:pPr>
            <w:r w:rsidRPr="001B7B66">
              <w:t>Pollution control measures under relevant local, state, territory and commonwealth legislation</w:t>
            </w:r>
          </w:p>
        </w:tc>
      </w:tr>
      <w:tr w:rsidTr="00C04D5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B7B66">
            <w:pPr>
              <w:pStyle w:val="ListBullet"/>
              <w:rPr>
                <w:lang w:val="en-NZ"/>
              </w:rPr>
            </w:pPr>
            <w:r w:rsidRPr="001B7B66">
              <w:t>Problems associated with marine internal combustion engines and associated systems, and appropriate preventative and remedial action and solutions</w:t>
            </w:r>
          </w:p>
        </w:tc>
      </w:tr>
      <w:tr w:rsidTr="00C04D5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B7B66">
            <w:pPr>
              <w:pStyle w:val="ListBullet"/>
              <w:rPr>
                <w:lang w:val="en-NZ"/>
              </w:rPr>
            </w:pPr>
            <w:r w:rsidRPr="001B7B66">
              <w:t>Procedures for monitoring and evaluating performance of marine internal combustion engines and associated systems</w:t>
            </w:r>
          </w:p>
        </w:tc>
      </w:tr>
      <w:tr w:rsidTr="00C04D5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B7B66">
            <w:pPr>
              <w:pStyle w:val="ListBullet"/>
              <w:rPr>
                <w:lang w:val="en-NZ"/>
              </w:rPr>
            </w:pPr>
            <w:r w:rsidRPr="001B7B66">
              <w:t>Relationship between vessel speed and fuel consumption, including the meaning of economical RPM and its application</w:t>
            </w:r>
          </w:p>
        </w:tc>
      </w:tr>
      <w:tr w:rsidTr="00C04D5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B7B66">
            <w:pPr>
              <w:pStyle w:val="ListBullet"/>
              <w:rPr>
                <w:lang w:val="en-NZ"/>
              </w:rPr>
            </w:pPr>
            <w:r w:rsidRPr="001B7B66">
              <w:t xml:space="preserve">Relevant sections </w:t>
            </w:r>
            <w:r w:rsidRPr="001B7B66">
              <w:t>of state and territory maritime regulations and NSCV</w:t>
            </w:r>
          </w:p>
        </w:tc>
      </w:tr>
      <w:tr w:rsidTr="00C04D5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B7B66">
            <w:pPr>
              <w:pStyle w:val="ListBullet"/>
              <w:rPr>
                <w:lang w:val="en-NZ"/>
              </w:rPr>
            </w:pPr>
            <w:r w:rsidRPr="001B7B66">
              <w:t>Relevant work health and safety (WHS)/occupational health and safety (OHS) legislation and policies</w:t>
            </w:r>
          </w:p>
        </w:tc>
      </w:tr>
      <w:tr w:rsidTr="00C04D5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B7B66">
            <w:pPr>
              <w:pStyle w:val="ListBullet"/>
              <w:rPr>
                <w:lang w:val="en-NZ"/>
              </w:rPr>
            </w:pPr>
            <w:r w:rsidRPr="001B7B66">
              <w:t>Requirements under MARPOL Convention for emission control from internal combustion engines</w:t>
            </w:r>
          </w:p>
        </w:tc>
      </w:tr>
      <w:tr w:rsidTr="00C04D5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B7B66">
            <w:pPr>
              <w:pStyle w:val="ListBullet"/>
              <w:rPr>
                <w:lang w:val="en-NZ"/>
              </w:rPr>
            </w:pPr>
            <w:r w:rsidRPr="001B7B66">
              <w:t>Sequen</w:t>
            </w:r>
            <w:r w:rsidRPr="001B7B66">
              <w:t>ce of required action when there is a major fault on main propulsion engine</w:t>
            </w:r>
          </w:p>
        </w:tc>
      </w:tr>
      <w:tr w:rsidTr="00C04D5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B7B66">
            <w:pPr>
              <w:pStyle w:val="ListBullet"/>
              <w:rPr>
                <w:lang w:val="en-NZ"/>
              </w:rPr>
            </w:pPr>
            <w:r w:rsidRPr="001B7B66">
              <w:t>Technological changes in engine and control system designs</w:t>
            </w:r>
          </w:p>
        </w:tc>
      </w:tr>
      <w:tr w:rsidTr="00C04D5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B7B66" w:rsidP="001B7B66">
            <w:pPr>
              <w:pStyle w:val="ListBullet"/>
            </w:pPr>
            <w:r w:rsidRPr="001B7B66">
              <w:t>Turbocharging systems</w:t>
            </w:r>
          </w:p>
        </w:tc>
      </w:tr>
    </w:tbl>
    <w:p w:rsidR="00000000" w:rsidRPr="001B7B66" w:rsidP="001B7B66">
      <w:pPr>
        <w:pStyle w:val="BodyText"/>
      </w:pPr>
    </w:p>
    <w:p w:rsidR="00000000" w:rsidRPr="001B7B66" w:rsidP="001B7B66">
      <w:pPr>
        <w:pStyle w:val="AllowPageBreak"/>
      </w:pPr>
    </w:p>
    <w:p w:rsidR="00000000" w:rsidRPr="001B7B66" w:rsidP="001B7B66">
      <w:pPr>
        <w:pStyle w:val="Heading1"/>
      </w:pPr>
      <w:bookmarkStart w:id="10" w:name="O_536720"/>
      <w:bookmarkEnd w:id="10"/>
      <w:r w:rsidRPr="001B7B66">
        <w:t>Evidence Guide</w:t>
      </w:r>
    </w:p>
    <w:tbl>
      <w:tblPr>
        <w:tblW w:w="9499" w:type="dxa"/>
        <w:tblLayout w:type="fixed"/>
        <w:tblCellMar>
          <w:left w:w="62" w:type="dxa"/>
          <w:right w:w="62" w:type="dxa"/>
        </w:tblCellMar>
        <w:tblLook w:val="0000"/>
      </w:tblPr>
      <w:tblGrid>
        <w:gridCol w:w="3340"/>
        <w:gridCol w:w="6159"/>
      </w:tblGrid>
      <w:tr w:rsidTr="001B7B66">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1B7B66">
            <w:pPr>
              <w:pStyle w:val="BodyText"/>
              <w:rPr>
                <w:lang w:val="en-NZ"/>
              </w:rPr>
            </w:pPr>
            <w:r w:rsidRPr="001B7B66">
              <w:t>The evidence guide provides advice on assessment and must be read in conjunction with the performance criteria, the required skills and knowledge, the range statement and the Assessment Guidelines for the Training Package.</w:t>
            </w:r>
          </w:p>
        </w:tc>
      </w:tr>
      <w:tr w:rsidTr="001B7B66">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1B7B66">
            <w:pPr>
              <w:pStyle w:val="BodyText"/>
              <w:rPr>
                <w:lang w:val="en-NZ"/>
              </w:rPr>
            </w:pPr>
            <w:r w:rsidRPr="001B7B66">
              <w:rPr>
                <w:rStyle w:val="SpecialBold"/>
              </w:rPr>
              <w:t>Critical aspects for assessment</w:t>
            </w:r>
            <w:r w:rsidRPr="001B7B66">
              <w:rPr>
                <w:rStyle w:val="SpecialBold"/>
              </w:rPr>
              <w:t xml:space="preserve"> and evidence required to demonstrate competency in this unit</w:t>
            </w:r>
          </w:p>
        </w:tc>
        <w:tc>
          <w:tcPr>
            <w:tcW w:w="6159" w:type="dxa"/>
            <w:tcBorders>
              <w:top w:val="nil"/>
              <w:left w:val="nil"/>
              <w:bottom w:val="nil"/>
              <w:right w:val="nil"/>
            </w:tcBorders>
            <w:tcMar>
              <w:top w:w="0" w:type="dxa"/>
              <w:left w:w="62" w:type="dxa"/>
              <w:bottom w:w="0" w:type="dxa"/>
              <w:right w:w="62" w:type="dxa"/>
            </w:tcMar>
          </w:tcPr>
          <w:p w:rsidR="00000000" w:rsidRPr="001B7B66" w:rsidP="001B7B66">
            <w:pPr>
              <w:pStyle w:val="BodyText"/>
            </w:pPr>
            <w:r w:rsidRPr="001B7B66">
              <w:t>The evidence required to demonstrate competence in this unit must be relevant to and satisfy all of the requirements of the Elements, Performance Criteria, Required Skills, Required Knowledge an</w:t>
            </w:r>
            <w:r w:rsidRPr="001B7B66">
              <w:t>d include:</w:t>
            </w:r>
          </w:p>
          <w:p w:rsidR="00000000" w:rsidRPr="001B7B66" w:rsidP="001B7B66">
            <w:pPr>
              <w:pStyle w:val="ListBullet"/>
            </w:pPr>
            <w:r w:rsidRPr="001B7B66">
              <w:t>attention to appropriate level of detail in recordkeeping</w:t>
            </w:r>
          </w:p>
          <w:p w:rsidR="00000000" w:rsidRPr="001B7B66" w:rsidP="001B7B66">
            <w:pPr>
              <w:pStyle w:val="ListBullet"/>
            </w:pPr>
            <w:r w:rsidRPr="001B7B66">
              <w:t>being aware of own ability and limits to rectify irregularities and faults</w:t>
            </w:r>
          </w:p>
          <w:p w:rsidR="00000000" w:rsidP="001B7B66">
            <w:pPr>
              <w:pStyle w:val="ListBullet"/>
              <w:rPr>
                <w:lang w:val="en-NZ"/>
              </w:rPr>
            </w:pPr>
            <w:r w:rsidRPr="001B7B66">
              <w:t>awareness of surroundings and changes to these surroundings.</w:t>
            </w:r>
          </w:p>
        </w:tc>
      </w:tr>
      <w:tr w:rsidTr="001B7B66">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1B7B66">
            <w:pPr>
              <w:pStyle w:val="BodyText"/>
              <w:rPr>
                <w:lang w:val="en-NZ"/>
              </w:rPr>
            </w:pPr>
            <w:r w:rsidRPr="001B7B66">
              <w:rPr>
                <w:rStyle w:val="SpecialBold"/>
              </w:rPr>
              <w:t>Context of and specific resources for assessment</w:t>
            </w:r>
          </w:p>
        </w:tc>
        <w:tc>
          <w:tcPr>
            <w:tcW w:w="6159" w:type="dxa"/>
            <w:tcBorders>
              <w:top w:val="nil"/>
              <w:left w:val="nil"/>
              <w:bottom w:val="nil"/>
              <w:right w:val="nil"/>
            </w:tcBorders>
            <w:tcMar>
              <w:top w:w="0" w:type="dxa"/>
              <w:left w:w="62" w:type="dxa"/>
              <w:bottom w:w="0" w:type="dxa"/>
              <w:right w:w="62" w:type="dxa"/>
            </w:tcMar>
          </w:tcPr>
          <w:p w:rsidR="00000000" w:rsidRPr="001B7B66" w:rsidP="001B7B66">
            <w:pPr>
              <w:pStyle w:val="BodyText"/>
            </w:pPr>
            <w:r w:rsidRPr="001B7B66">
              <w:t>Performance is demonstrated consistently over time and in a suitable range of contexts.</w:t>
            </w:r>
          </w:p>
          <w:p w:rsidR="00000000" w:rsidRPr="001B7B66" w:rsidP="001B7B66">
            <w:pPr>
              <w:pStyle w:val="BodyText"/>
            </w:pPr>
            <w:r w:rsidRPr="001B7B66">
              <w:t>Resources for assessment include access to:</w:t>
            </w:r>
          </w:p>
          <w:p w:rsidR="00000000" w:rsidRPr="001B7B66" w:rsidP="001B7B66">
            <w:pPr>
              <w:pStyle w:val="ListBullet"/>
            </w:pPr>
            <w:r w:rsidRPr="001B7B66">
              <w:t>industry-approved marine operations site where operating marine internal combustion engines and associated systems up to 15</w:t>
            </w:r>
            <w:r w:rsidRPr="001B7B66">
              <w:t>00 kW can be conducted</w:t>
            </w:r>
          </w:p>
          <w:p w:rsidR="00000000" w:rsidRPr="001B7B66" w:rsidP="001B7B66">
            <w:pPr>
              <w:pStyle w:val="ListBullet"/>
            </w:pPr>
            <w:r w:rsidRPr="001B7B66">
              <w:t>tools, equipment and personal protective equipment currently used in industry</w:t>
            </w:r>
          </w:p>
          <w:p w:rsidR="00000000" w:rsidRPr="001B7B66" w:rsidP="001B7B66">
            <w:pPr>
              <w:pStyle w:val="ListBullet"/>
            </w:pPr>
            <w:r w:rsidRPr="001B7B66">
              <w:t>relevant regulatory and equipment documentation that impacts on work activities</w:t>
            </w:r>
          </w:p>
          <w:p w:rsidR="00000000" w:rsidRPr="001B7B66" w:rsidP="001B7B66">
            <w:pPr>
              <w:pStyle w:val="ListBullet"/>
            </w:pPr>
            <w:r w:rsidRPr="001B7B66">
              <w:t xml:space="preserve">range of relevant exercises, case studies and/or other simulated practical </w:t>
            </w:r>
            <w:r w:rsidRPr="001B7B66">
              <w:t>and knowledge assessments</w:t>
            </w:r>
          </w:p>
          <w:p w:rsidR="00000000" w:rsidRPr="001B7B66" w:rsidP="001B7B66">
            <w:pPr>
              <w:pStyle w:val="ListBullet"/>
            </w:pPr>
            <w:r w:rsidRPr="001B7B66">
              <w:t>appropriate range of relevant operational situations in the workplace.</w:t>
            </w:r>
          </w:p>
          <w:p w:rsidR="00000000" w:rsidRPr="001B7B66" w:rsidP="001B7B66">
            <w:pPr>
              <w:pStyle w:val="BodyText"/>
            </w:pPr>
            <w:r w:rsidRPr="001B7B66">
              <w:t>In both real and simulated environments, access is required to:</w:t>
            </w:r>
          </w:p>
          <w:p w:rsidR="00000000" w:rsidRPr="001B7B66" w:rsidP="001B7B66">
            <w:pPr>
              <w:pStyle w:val="ListBullet"/>
            </w:pPr>
            <w:r w:rsidRPr="001B7B66">
              <w:t>relevant and appropriate materials and equipment</w:t>
            </w:r>
          </w:p>
          <w:p w:rsidR="00000000" w:rsidP="001B7B66">
            <w:pPr>
              <w:pStyle w:val="ListBullet"/>
              <w:rPr>
                <w:lang w:val="en-NZ"/>
              </w:rPr>
            </w:pPr>
            <w:r w:rsidRPr="001B7B66">
              <w:t xml:space="preserve">applicable documentation including workplace </w:t>
            </w:r>
            <w:r w:rsidRPr="001B7B66">
              <w:t>procedures, regulations, codes of practice and operation manuals.</w:t>
            </w:r>
          </w:p>
        </w:tc>
      </w:tr>
      <w:tr w:rsidTr="001B7B66">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1B7B66">
            <w:pPr>
              <w:pStyle w:val="BodyText"/>
              <w:rPr>
                <w:lang w:val="en-NZ"/>
              </w:rPr>
            </w:pPr>
            <w:r w:rsidRPr="001B7B66">
              <w:rPr>
                <w:rStyle w:val="SpecialBold"/>
              </w:rPr>
              <w:t>Method of assessment</w:t>
            </w:r>
          </w:p>
        </w:tc>
        <w:tc>
          <w:tcPr>
            <w:tcW w:w="6159" w:type="dxa"/>
            <w:tcBorders>
              <w:top w:val="nil"/>
              <w:left w:val="nil"/>
              <w:bottom w:val="nil"/>
              <w:right w:val="nil"/>
            </w:tcBorders>
            <w:tcMar>
              <w:top w:w="0" w:type="dxa"/>
              <w:left w:w="62" w:type="dxa"/>
              <w:bottom w:w="0" w:type="dxa"/>
              <w:right w:w="62" w:type="dxa"/>
            </w:tcMar>
          </w:tcPr>
          <w:p w:rsidR="00000000" w:rsidRPr="001B7B66" w:rsidP="001B7B66">
            <w:pPr>
              <w:pStyle w:val="BodyText"/>
            </w:pPr>
            <w:r w:rsidRPr="001B7B66">
              <w:t>Practical assessment must occur in an:</w:t>
            </w:r>
          </w:p>
          <w:p w:rsidR="00000000" w:rsidRPr="001B7B66" w:rsidP="001B7B66">
            <w:pPr>
              <w:pStyle w:val="ListBullet"/>
            </w:pPr>
            <w:r w:rsidRPr="001B7B66">
              <w:t>appropriately simulated workplace environment and/or</w:t>
            </w:r>
          </w:p>
          <w:p w:rsidR="00000000" w:rsidRPr="001B7B66" w:rsidP="001B7B66">
            <w:pPr>
              <w:pStyle w:val="ListBullet"/>
            </w:pPr>
            <w:r w:rsidRPr="001B7B66">
              <w:t>appropriate range of situations in the workplace.</w:t>
            </w:r>
          </w:p>
          <w:p w:rsidR="00000000" w:rsidRPr="001B7B66" w:rsidP="001B7B66">
            <w:pPr>
              <w:pStyle w:val="BodyText"/>
            </w:pPr>
            <w:r w:rsidRPr="001B7B66">
              <w:t>A range of assessment methods should be used to assess practical skills and knowledge. The following examples are appropriate to this unit:</w:t>
            </w:r>
          </w:p>
          <w:p w:rsidR="00000000" w:rsidRPr="001B7B66" w:rsidP="001B7B66">
            <w:pPr>
              <w:pStyle w:val="ListBullet"/>
            </w:pPr>
            <w:r w:rsidRPr="001B7B66">
              <w:t xml:space="preserve">direct observation of the candidate operating marine internal combustion engines and associated systems up to 1500 </w:t>
            </w:r>
            <w:r w:rsidRPr="001B7B66">
              <w:t>kW</w:t>
            </w:r>
          </w:p>
          <w:p w:rsidR="00000000" w:rsidP="001B7B66">
            <w:pPr>
              <w:pStyle w:val="ListBullet"/>
              <w:rPr>
                <w:lang w:val="en-NZ"/>
              </w:rPr>
            </w:pPr>
            <w:r w:rsidRPr="001B7B66">
              <w:t>direct observation of the candidate applying relevant WHS/OHS requirements and work practices.</w:t>
            </w:r>
          </w:p>
        </w:tc>
      </w:tr>
      <w:tr w:rsidTr="001B7B66">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1B7B66">
            <w:pPr>
              <w:pStyle w:val="BodyText"/>
              <w:rPr>
                <w:lang w:val="en-NZ"/>
              </w:rPr>
            </w:pPr>
            <w:r w:rsidRPr="001B7B66">
              <w:rPr>
                <w:rStyle w:val="SpecialBold"/>
              </w:rPr>
              <w:t>Guidance information for assessment</w:t>
            </w:r>
          </w:p>
        </w:tc>
        <w:tc>
          <w:tcPr>
            <w:tcW w:w="6159" w:type="dxa"/>
            <w:tcBorders>
              <w:top w:val="nil"/>
              <w:left w:val="nil"/>
              <w:bottom w:val="nil"/>
              <w:right w:val="nil"/>
            </w:tcBorders>
            <w:tcMar>
              <w:top w:w="0" w:type="dxa"/>
              <w:left w:w="62" w:type="dxa"/>
              <w:bottom w:w="0" w:type="dxa"/>
              <w:right w:w="62" w:type="dxa"/>
            </w:tcMar>
          </w:tcPr>
          <w:p w:rsidR="00000000" w:rsidRPr="001B7B66" w:rsidP="001B7B66">
            <w:pPr>
              <w:pStyle w:val="BodyText"/>
            </w:pPr>
            <w:r w:rsidRPr="001B7B66">
              <w:t>Holistic assessment with other units relevant to the industry sector, workplace and job role is recommended.</w:t>
            </w:r>
          </w:p>
          <w:p w:rsidR="00000000" w:rsidRPr="001B7B66" w:rsidP="001B7B66">
            <w:pPr>
              <w:pStyle w:val="BodyText"/>
            </w:pPr>
            <w:r w:rsidRPr="001B7B66">
              <w:t>In all cases</w:t>
            </w:r>
            <w:r w:rsidRPr="001B7B66">
              <w:t xml:space="preserve"> where practical assessment is used it should be combined with targeted questioning to assess Required Knowledge.</w:t>
            </w:r>
          </w:p>
          <w:p w:rsidR="00000000" w:rsidRPr="001B7B66" w:rsidP="001B7B66">
            <w:pPr>
              <w:pStyle w:val="BodyText"/>
            </w:pPr>
            <w:r w:rsidRPr="001B7B66">
              <w:t>Assessment processes and techniques must be appropriate to the language and literacy requirements of the work being performed and the capacity</w:t>
            </w:r>
            <w:r w:rsidRPr="001B7B66">
              <w:t xml:space="preserve"> of the candidate.</w:t>
            </w:r>
          </w:p>
        </w:tc>
      </w:tr>
    </w:tbl>
    <w:p w:rsidR="00000000" w:rsidRPr="001B7B66" w:rsidP="001B7B66">
      <w:pPr>
        <w:pStyle w:val="BodyText"/>
      </w:pPr>
    </w:p>
    <w:p w:rsidR="00000000" w:rsidRPr="001B7B66" w:rsidP="001B7B66">
      <w:pPr>
        <w:pStyle w:val="AllowPageBreak"/>
      </w:pPr>
    </w:p>
    <w:p w:rsidR="00000000" w:rsidRPr="001B7B66" w:rsidP="001B7B66">
      <w:pPr>
        <w:pStyle w:val="Heading1"/>
      </w:pPr>
      <w:bookmarkStart w:id="11" w:name="O_536719"/>
      <w:bookmarkEnd w:id="11"/>
      <w:r w:rsidRPr="001B7B66">
        <w:t>Range Statement</w:t>
      </w:r>
    </w:p>
    <w:tbl>
      <w:tblPr>
        <w:tblW w:w="0" w:type="auto"/>
        <w:tblCellMar>
          <w:left w:w="62" w:type="dxa"/>
          <w:right w:w="62" w:type="dxa"/>
        </w:tblCellMar>
        <w:tblLook w:val="0000"/>
      </w:tblPr>
      <w:tblGrid>
        <w:gridCol w:w="2586"/>
        <w:gridCol w:w="6610"/>
      </w:tblGrid>
      <w:tr w:rsidTr="00C04D5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B7B66">
            <w:pPr>
              <w:pStyle w:val="BodyText"/>
              <w:rPr>
                <w:lang w:val="en-NZ"/>
              </w:rPr>
            </w:pPr>
            <w:r w:rsidRPr="001B7B66">
              <w:t>The range statement relates to the unit of competency as a whole. It allows for different work environments and situations that may affect performance. Bold italicised wording, if used in the performanc</w:t>
            </w:r>
            <w:r w:rsidRPr="001B7B66">
              <w:t>e criteria, is detailed below.</w:t>
            </w:r>
          </w:p>
        </w:tc>
      </w:tr>
      <w:tr w:rsidTr="00C04D5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B7B66">
            <w:pPr>
              <w:pStyle w:val="BodyText"/>
              <w:rPr>
                <w:lang w:val="en-NZ"/>
              </w:rPr>
            </w:pPr>
            <w:r w:rsidRPr="001B7B66">
              <w:t>Associated systems must include:</w:t>
            </w:r>
          </w:p>
        </w:tc>
        <w:tc>
          <w:tcPr>
            <w:tcW w:w="0" w:type="auto"/>
            <w:tcBorders>
              <w:top w:val="nil"/>
              <w:left w:val="nil"/>
              <w:bottom w:val="nil"/>
              <w:right w:val="nil"/>
            </w:tcBorders>
            <w:tcMar>
              <w:top w:w="0" w:type="dxa"/>
              <w:left w:w="62" w:type="dxa"/>
              <w:bottom w:w="0" w:type="dxa"/>
              <w:right w:w="62" w:type="dxa"/>
            </w:tcMar>
          </w:tcPr>
          <w:p w:rsidR="00000000" w:rsidRPr="001B7B66" w:rsidP="001B7B66">
            <w:pPr>
              <w:pStyle w:val="ListBullet"/>
            </w:pPr>
            <w:r w:rsidRPr="001B7B66">
              <w:t>Air start</w:t>
            </w:r>
          </w:p>
          <w:p w:rsidR="00000000" w:rsidRPr="001B7B66" w:rsidP="001B7B66">
            <w:pPr>
              <w:pStyle w:val="ListBullet"/>
            </w:pPr>
            <w:r w:rsidRPr="001B7B66">
              <w:t>Control systems</w:t>
            </w:r>
          </w:p>
          <w:p w:rsidR="00000000" w:rsidRPr="001B7B66" w:rsidP="001B7B66">
            <w:pPr>
              <w:pStyle w:val="ListBullet"/>
            </w:pPr>
            <w:r w:rsidRPr="001B7B66">
              <w:t>Cooling system</w:t>
            </w:r>
          </w:p>
          <w:p w:rsidR="00000000" w:rsidRPr="001B7B66" w:rsidP="001B7B66">
            <w:pPr>
              <w:pStyle w:val="ListBullet"/>
            </w:pPr>
            <w:r w:rsidRPr="001B7B66">
              <w:t>Duel fuel systems</w:t>
            </w:r>
          </w:p>
          <w:p w:rsidR="00000000" w:rsidRPr="001B7B66" w:rsidP="001B7B66">
            <w:pPr>
              <w:pStyle w:val="ListBullet"/>
            </w:pPr>
            <w:r w:rsidRPr="001B7B66">
              <w:t xml:space="preserve">Exhaust systems </w:t>
            </w:r>
          </w:p>
          <w:p w:rsidR="00000000" w:rsidP="001B7B66">
            <w:pPr>
              <w:pStyle w:val="ListBullet"/>
              <w:rPr>
                <w:lang w:val="en-NZ"/>
              </w:rPr>
            </w:pPr>
            <w:r w:rsidRPr="001B7B66">
              <w:t>Lubrication systems</w:t>
            </w:r>
          </w:p>
        </w:tc>
      </w:tr>
      <w:tr w:rsidTr="00C04D5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B7B66">
            <w:pPr>
              <w:pStyle w:val="BodyText"/>
              <w:rPr>
                <w:lang w:val="en-NZ"/>
              </w:rPr>
            </w:pPr>
            <w:r w:rsidRPr="001B7B66">
              <w:t>Monitored may include:</w:t>
            </w:r>
          </w:p>
        </w:tc>
        <w:tc>
          <w:tcPr>
            <w:tcW w:w="0" w:type="auto"/>
            <w:tcBorders>
              <w:top w:val="nil"/>
              <w:left w:val="nil"/>
              <w:bottom w:val="nil"/>
              <w:right w:val="nil"/>
            </w:tcBorders>
            <w:tcMar>
              <w:top w:w="0" w:type="dxa"/>
              <w:left w:w="62" w:type="dxa"/>
              <w:bottom w:w="0" w:type="dxa"/>
              <w:right w:w="62" w:type="dxa"/>
            </w:tcMar>
          </w:tcPr>
          <w:p w:rsidR="00000000" w:rsidRPr="001B7B66" w:rsidP="001B7B66">
            <w:pPr>
              <w:pStyle w:val="ListBullet"/>
            </w:pPr>
            <w:r w:rsidRPr="001B7B66">
              <w:t>Conducting performance tests</w:t>
            </w:r>
          </w:p>
          <w:p w:rsidR="00000000" w:rsidRPr="001B7B66" w:rsidP="001B7B66">
            <w:pPr>
              <w:pStyle w:val="ListBullet"/>
            </w:pPr>
            <w:r w:rsidRPr="001B7B66">
              <w:t>Reading gauges and instruments</w:t>
            </w:r>
          </w:p>
          <w:p w:rsidR="00000000" w:rsidP="001B7B66">
            <w:pPr>
              <w:pStyle w:val="ListBullet"/>
              <w:rPr>
                <w:lang w:val="en-NZ"/>
              </w:rPr>
            </w:pPr>
            <w:r w:rsidRPr="001B7B66">
              <w:t>Responding to alarms</w:t>
            </w:r>
          </w:p>
        </w:tc>
      </w:tr>
      <w:tr w:rsidTr="00C04D5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B7B66">
            <w:pPr>
              <w:pStyle w:val="BodyText"/>
              <w:rPr>
                <w:lang w:val="en-NZ"/>
              </w:rPr>
            </w:pPr>
            <w:r w:rsidRPr="001B7B66">
              <w:t>Emergencies must include:</w:t>
            </w:r>
          </w:p>
        </w:tc>
        <w:tc>
          <w:tcPr>
            <w:tcW w:w="0" w:type="auto"/>
            <w:tcBorders>
              <w:top w:val="nil"/>
              <w:left w:val="nil"/>
              <w:bottom w:val="nil"/>
              <w:right w:val="nil"/>
            </w:tcBorders>
            <w:tcMar>
              <w:top w:w="0" w:type="dxa"/>
              <w:left w:w="62" w:type="dxa"/>
              <w:bottom w:w="0" w:type="dxa"/>
              <w:right w:w="62" w:type="dxa"/>
            </w:tcMar>
          </w:tcPr>
          <w:p w:rsidR="00000000" w:rsidRPr="001B7B66" w:rsidP="001B7B66">
            <w:pPr>
              <w:pStyle w:val="ListBullet"/>
            </w:pPr>
            <w:r w:rsidRPr="001B7B66">
              <w:t>Explosion</w:t>
            </w:r>
          </w:p>
          <w:p w:rsidR="00000000" w:rsidRPr="001B7B66" w:rsidP="001B7B66">
            <w:pPr>
              <w:pStyle w:val="ListBullet"/>
            </w:pPr>
            <w:r w:rsidRPr="001B7B66">
              <w:t>Failure or major fault in propulsion engines and associated control systems</w:t>
            </w:r>
          </w:p>
          <w:p w:rsidR="00000000" w:rsidRPr="001B7B66" w:rsidP="001B7B66">
            <w:pPr>
              <w:pStyle w:val="ListBullet"/>
            </w:pPr>
            <w:r w:rsidRPr="001B7B66">
              <w:t>Fire</w:t>
            </w:r>
          </w:p>
          <w:p w:rsidR="00000000" w:rsidRPr="001B7B66" w:rsidP="001B7B66">
            <w:pPr>
              <w:pStyle w:val="ListBullet"/>
            </w:pPr>
            <w:r w:rsidRPr="001B7B66">
              <w:t>Loss of:</w:t>
            </w:r>
          </w:p>
          <w:p w:rsidR="00000000" w:rsidRPr="001B7B66" w:rsidP="001B7B66">
            <w:pPr>
              <w:pStyle w:val="ListBullet2"/>
            </w:pPr>
            <w:r w:rsidRPr="001B7B66">
              <w:t>bridge control</w:t>
            </w:r>
          </w:p>
          <w:p w:rsidR="00000000" w:rsidRPr="001B7B66" w:rsidP="001B7B66">
            <w:pPr>
              <w:pStyle w:val="ListBullet2"/>
            </w:pPr>
            <w:r w:rsidRPr="001B7B66">
              <w:t>electrical supply</w:t>
            </w:r>
          </w:p>
          <w:p w:rsidR="00000000" w:rsidRPr="001B7B66" w:rsidP="001B7B66">
            <w:pPr>
              <w:pStyle w:val="ListBullet2"/>
            </w:pPr>
            <w:r w:rsidRPr="001B7B66">
              <w:t>propulsion power</w:t>
            </w:r>
          </w:p>
          <w:p w:rsidR="00000000" w:rsidRPr="001B7B66" w:rsidP="001B7B66">
            <w:pPr>
              <w:pStyle w:val="ListBullet2"/>
            </w:pPr>
            <w:r w:rsidRPr="001B7B66">
              <w:t>steering</w:t>
            </w:r>
          </w:p>
          <w:p w:rsidR="00000000" w:rsidP="001B7B66">
            <w:pPr>
              <w:pStyle w:val="ListBullet"/>
              <w:rPr>
                <w:lang w:val="en-NZ"/>
              </w:rPr>
            </w:pPr>
            <w:r w:rsidRPr="001B7B66">
              <w:t>Major breakdowns</w:t>
            </w:r>
          </w:p>
        </w:tc>
      </w:tr>
      <w:tr w:rsidTr="00C04D5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B7B66">
            <w:pPr>
              <w:pStyle w:val="BodyText"/>
              <w:rPr>
                <w:lang w:val="en-NZ"/>
              </w:rPr>
            </w:pPr>
            <w:r w:rsidRPr="001B7B66">
              <w:t>Operational records must include:</w:t>
            </w:r>
          </w:p>
        </w:tc>
        <w:tc>
          <w:tcPr>
            <w:tcW w:w="0" w:type="auto"/>
            <w:tcBorders>
              <w:top w:val="nil"/>
              <w:left w:val="nil"/>
              <w:bottom w:val="nil"/>
              <w:right w:val="nil"/>
            </w:tcBorders>
            <w:tcMar>
              <w:top w:w="0" w:type="dxa"/>
              <w:left w:w="62" w:type="dxa"/>
              <w:bottom w:w="0" w:type="dxa"/>
              <w:right w:w="62" w:type="dxa"/>
            </w:tcMar>
          </w:tcPr>
          <w:p w:rsidR="00000000" w:rsidRPr="001B7B66" w:rsidP="001B7B66">
            <w:pPr>
              <w:pStyle w:val="ListBullet"/>
            </w:pPr>
            <w:r w:rsidRPr="001B7B66">
              <w:t>Log books</w:t>
            </w:r>
          </w:p>
          <w:p w:rsidR="00000000" w:rsidRPr="001B7B66" w:rsidP="001B7B66">
            <w:pPr>
              <w:pStyle w:val="ListBullet"/>
            </w:pPr>
            <w:r w:rsidRPr="001B7B66">
              <w:t xml:space="preserve">Maintenance records </w:t>
            </w:r>
          </w:p>
          <w:p w:rsidR="00000000" w:rsidRPr="001B7B66" w:rsidP="001B7B66">
            <w:pPr>
              <w:pStyle w:val="ListBullet"/>
            </w:pPr>
            <w:r w:rsidRPr="001B7B66">
              <w:t xml:space="preserve">Operational orders from organisational safety management system </w:t>
            </w:r>
          </w:p>
          <w:p w:rsidR="00000000" w:rsidRPr="001B7B66" w:rsidP="001B7B66">
            <w:pPr>
              <w:pStyle w:val="ListBullet"/>
            </w:pPr>
            <w:r w:rsidRPr="001B7B66">
              <w:t>Plant and equipment manufacturer instructions and recommended procedures</w:t>
            </w:r>
          </w:p>
          <w:p w:rsidR="00000000" w:rsidRPr="001B7B66" w:rsidP="001B7B66">
            <w:pPr>
              <w:pStyle w:val="ListBullet"/>
            </w:pPr>
            <w:r w:rsidRPr="001B7B66">
              <w:t>Relevant maritime authorities documentation relating to operating marine internal combustion engines and associated systems</w:t>
            </w:r>
          </w:p>
        </w:tc>
      </w:tr>
    </w:tbl>
    <w:p w:rsidR="00000000" w:rsidRPr="001B7B66" w:rsidP="001B7B66">
      <w:pPr>
        <w:pStyle w:val="BodyText"/>
      </w:pPr>
    </w:p>
    <w:p w:rsidR="00000000" w:rsidRPr="001B7B66" w:rsidP="001B7B66">
      <w:pPr>
        <w:pStyle w:val="AllowPageBreak"/>
      </w:pPr>
    </w:p>
    <w:p w:rsidR="00000000" w:rsidRPr="001B7B66" w:rsidP="001B7B66">
      <w:pPr>
        <w:pStyle w:val="Heading1"/>
      </w:pPr>
      <w:bookmarkStart w:id="12" w:name="O_536718"/>
      <w:bookmarkEnd w:id="12"/>
      <w:r w:rsidRPr="001B7B66">
        <w:t>Unit Sector(s)</w:t>
      </w:r>
    </w:p>
    <w:p w:rsidR="00000000" w:rsidRPr="001B7B66" w:rsidP="001B7B66">
      <w:pPr>
        <w:pStyle w:val="BodyText"/>
      </w:pPr>
      <w:r w:rsidRPr="001B7B66">
        <w:t>Not applicable.</w:t>
      </w:r>
    </w:p>
    <w:p w:rsidR="00000000" w:rsidRPr="001B7B66" w:rsidP="001B7B66">
      <w:pPr>
        <w:pStyle w:val="AllowPageBreak"/>
      </w:pPr>
    </w:p>
    <w:p w:rsidR="00000000" w:rsidRPr="001B7B66" w:rsidP="001B7B66">
      <w:pPr>
        <w:pStyle w:val="Heading1"/>
      </w:pPr>
      <w:bookmarkStart w:id="13" w:name="O_536717"/>
      <w:bookmarkEnd w:id="13"/>
      <w:r w:rsidRPr="001B7B66">
        <w:t>Competency Field</w:t>
      </w:r>
    </w:p>
    <w:p w:rsidR="00000000" w:rsidRPr="001B7B66" w:rsidP="001B7B66">
      <w:pPr>
        <w:pStyle w:val="BodyText"/>
      </w:pPr>
      <w:r w:rsidRPr="001B7B66">
        <w:t>Equipment Operations</w:t>
      </w:r>
    </w:p>
    <w:p w:rsidR="00000000" w:rsidRPr="001B7B66" w:rsidP="001B7B66"/>
    <w:sectPr w:rsidSect="001B7B6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B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B66" w:rsidRPr="00C04D5D" w:rsidP="00C04D5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B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D5D" w:rsidP="001B7B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C04D5D" w:rsidP="001B7B6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C04D5D" w:rsidP="001B7B6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B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B66" w:rsidRPr="00C04D5D" w:rsidP="00C04D5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B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D5D" w:rsidRPr="002D2AF8" w:rsidP="001B7B66">
    <w:pPr>
      <w:pStyle w:val="Header"/>
      <w:framePr w:wrap="around"/>
    </w:pPr>
    <w:r>
      <w:fldChar w:fldCharType="begin"/>
    </w:r>
    <w:r>
      <w:instrText xml:space="preserve"> TITLE   \* MERGEFORMAT </w:instrText>
    </w:r>
    <w:r>
      <w:fldChar w:fldCharType="separate"/>
    </w:r>
    <w:r>
      <w:t>MARC4005A Operate marine internal combustion engines and associated systems up to 1500 kW</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June 2013</w:t>
    </w:r>
    <w:r>
      <w:fldChar w:fldCharType="end"/>
    </w:r>
  </w:p>
  <w:p w:rsidR="00C04D5D" w:rsidP="001B7B6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3F0CD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0B694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2387E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7B6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B7B66"/>
    <w:pPr>
      <w:spacing w:before="360" w:after="60"/>
      <w:outlineLvl w:val="0"/>
    </w:pPr>
    <w:rPr>
      <w:sz w:val="32"/>
    </w:rPr>
  </w:style>
  <w:style w:type="paragraph" w:styleId="Heading2">
    <w:name w:val="heading 2"/>
    <w:basedOn w:val="HeadingBase"/>
    <w:next w:val="BodyText"/>
    <w:link w:val="Heading2Char"/>
    <w:qFormat/>
    <w:rsid w:val="001B7B66"/>
    <w:pPr>
      <w:keepLines/>
      <w:spacing w:before="240" w:after="120"/>
      <w:outlineLvl w:val="1"/>
    </w:pPr>
    <w:rPr>
      <w:sz w:val="28"/>
      <w:szCs w:val="40"/>
    </w:rPr>
  </w:style>
  <w:style w:type="paragraph" w:styleId="Heading3">
    <w:name w:val="heading 3"/>
    <w:basedOn w:val="HeadingBase"/>
    <w:next w:val="BodyText"/>
    <w:link w:val="Heading3Char"/>
    <w:qFormat/>
    <w:rsid w:val="001B7B66"/>
    <w:pPr>
      <w:spacing w:before="180" w:after="120"/>
      <w:outlineLvl w:val="2"/>
    </w:pPr>
    <w:rPr>
      <w:spacing w:val="-10"/>
      <w:kern w:val="32"/>
    </w:rPr>
  </w:style>
  <w:style w:type="paragraph" w:styleId="Heading4">
    <w:name w:val="heading 4"/>
    <w:basedOn w:val="HeadingBase"/>
    <w:next w:val="BodyText"/>
    <w:link w:val="Heading4Char"/>
    <w:qFormat/>
    <w:rsid w:val="001B7B66"/>
    <w:pPr>
      <w:spacing w:before="160" w:after="120"/>
      <w:outlineLvl w:val="3"/>
    </w:pPr>
    <w:rPr>
      <w:sz w:val="22"/>
    </w:rPr>
  </w:style>
  <w:style w:type="paragraph" w:styleId="Heading5">
    <w:name w:val="heading 5"/>
    <w:basedOn w:val="HeadingBase"/>
    <w:next w:val="Normal"/>
    <w:link w:val="Heading5Char"/>
    <w:qFormat/>
    <w:rsid w:val="001B7B66"/>
    <w:pPr>
      <w:spacing w:before="80"/>
      <w:outlineLvl w:val="4"/>
    </w:pPr>
    <w:rPr>
      <w:color w:val="918585"/>
      <w:sz w:val="20"/>
    </w:rPr>
  </w:style>
  <w:style w:type="paragraph" w:styleId="Heading6">
    <w:name w:val="heading 6"/>
    <w:basedOn w:val="HeadingBase"/>
    <w:next w:val="Normal"/>
    <w:link w:val="Heading6Char"/>
    <w:qFormat/>
    <w:rsid w:val="001B7B66"/>
    <w:pPr>
      <w:spacing w:before="60"/>
      <w:outlineLvl w:val="5"/>
    </w:pPr>
    <w:rPr>
      <w:color w:val="918585"/>
      <w:sz w:val="20"/>
    </w:rPr>
  </w:style>
  <w:style w:type="paragraph" w:styleId="Heading7">
    <w:name w:val="heading 7"/>
    <w:basedOn w:val="Normal"/>
    <w:next w:val="Normal"/>
    <w:link w:val="Heading7Char"/>
    <w:qFormat/>
    <w:rsid w:val="001B7B66"/>
    <w:pPr>
      <w:ind w:left="720"/>
      <w:outlineLvl w:val="6"/>
    </w:pPr>
    <w:rPr>
      <w:i/>
    </w:rPr>
  </w:style>
  <w:style w:type="paragraph" w:styleId="Heading8">
    <w:name w:val="heading 8"/>
    <w:basedOn w:val="Normal"/>
    <w:next w:val="Normal"/>
    <w:link w:val="Heading8Char"/>
    <w:qFormat/>
    <w:rsid w:val="001B7B66"/>
    <w:pPr>
      <w:ind w:left="720"/>
      <w:outlineLvl w:val="7"/>
    </w:pPr>
    <w:rPr>
      <w:i/>
    </w:rPr>
  </w:style>
  <w:style w:type="paragraph" w:styleId="Heading9">
    <w:name w:val="heading 9"/>
    <w:basedOn w:val="Normal"/>
    <w:next w:val="Normal"/>
    <w:link w:val="Heading9Char"/>
    <w:qFormat/>
    <w:rsid w:val="001B7B66"/>
    <w:pPr>
      <w:ind w:left="720"/>
      <w:outlineLvl w:val="8"/>
    </w:pPr>
    <w:rPr>
      <w:i/>
    </w:rPr>
  </w:style>
  <w:style w:type="character" w:default="1" w:styleId="DefaultParagraphFont">
    <w:name w:val="Default Paragraph Font"/>
    <w:uiPriority w:val="1"/>
    <w:unhideWhenUsed/>
    <w:rsid w:val="001B7B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7B66"/>
  </w:style>
  <w:style w:type="character" w:customStyle="1" w:styleId="Heading1Char">
    <w:name w:val="Heading 1 Char"/>
    <w:basedOn w:val="DefaultParagraphFont"/>
    <w:link w:val="Heading1"/>
    <w:rsid w:val="001B7B66"/>
    <w:rPr>
      <w:rFonts w:ascii="Times New Roman" w:eastAsia="Times New Roman" w:hAnsi="Times New Roman" w:cs="Times New Roman"/>
      <w:b/>
      <w:sz w:val="32"/>
      <w:szCs w:val="20"/>
      <w:lang w:eastAsia="en-US"/>
    </w:rPr>
  </w:style>
  <w:style w:type="paragraph" w:styleId="BodyText">
    <w:name w:val="Body Text"/>
    <w:basedOn w:val="Normal"/>
    <w:link w:val="BodyTextChar"/>
    <w:rsid w:val="001B7B6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B7B66"/>
    <w:rPr>
      <w:rFonts w:ascii="Times New Roman" w:eastAsia="Times New Roman" w:hAnsi="Times New Roman" w:cs="Times New Roman"/>
      <w:sz w:val="24"/>
      <w:lang w:eastAsia="en-US"/>
    </w:rPr>
  </w:style>
  <w:style w:type="paragraph" w:styleId="ListBullet">
    <w:name w:val="List Bullet"/>
    <w:basedOn w:val="List"/>
    <w:rsid w:val="001B7B66"/>
    <w:pPr>
      <w:numPr>
        <w:numId w:val="13"/>
      </w:numPr>
      <w:tabs>
        <w:tab w:val="clear" w:pos="340"/>
      </w:tabs>
      <w:spacing w:before="40" w:after="40"/>
    </w:pPr>
  </w:style>
  <w:style w:type="character" w:customStyle="1" w:styleId="SpecialBold">
    <w:name w:val="Special Bold"/>
    <w:basedOn w:val="DefaultParagraphFont"/>
    <w:rsid w:val="001B7B66"/>
    <w:rPr>
      <w:b/>
      <w:spacing w:val="0"/>
    </w:rPr>
  </w:style>
  <w:style w:type="paragraph" w:styleId="ListBullet2">
    <w:name w:val="List Bullet 2"/>
    <w:basedOn w:val="List2"/>
    <w:rsid w:val="001B7B66"/>
    <w:pPr>
      <w:numPr>
        <w:numId w:val="14"/>
      </w:numPr>
      <w:tabs>
        <w:tab w:val="clear" w:pos="680"/>
      </w:tabs>
    </w:pPr>
  </w:style>
  <w:style w:type="paragraph" w:customStyle="1" w:styleId="SuperHeading">
    <w:name w:val="SuperHeading"/>
    <w:basedOn w:val="Normal"/>
    <w:rsid w:val="001B7B66"/>
    <w:pPr>
      <w:spacing w:before="240" w:after="120"/>
      <w:outlineLvl w:val="0"/>
    </w:pPr>
    <w:rPr>
      <w:rFonts w:ascii="Times New Roman" w:hAnsi="Times New Roman"/>
      <w:b/>
      <w:sz w:val="32"/>
    </w:rPr>
  </w:style>
  <w:style w:type="paragraph" w:customStyle="1" w:styleId="AllowPageBreak">
    <w:name w:val="AllowPageBreak"/>
    <w:rsid w:val="001B7B6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B7B66"/>
    <w:rPr>
      <w:b/>
      <w:i/>
      <w:u w:val="none"/>
    </w:rPr>
  </w:style>
  <w:style w:type="character" w:customStyle="1" w:styleId="Heading2Char">
    <w:name w:val="Heading 2 Char"/>
    <w:basedOn w:val="DefaultParagraphFont"/>
    <w:link w:val="Heading2"/>
    <w:rsid w:val="001B7B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7B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7B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7B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7B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7B6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B7B6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B7B66"/>
    <w:rPr>
      <w:rFonts w:ascii="Courier New" w:eastAsia="Times New Roman" w:hAnsi="Courier New" w:cs="Times New Roman"/>
      <w:i/>
      <w:szCs w:val="20"/>
      <w:lang w:eastAsia="en-US"/>
    </w:rPr>
  </w:style>
  <w:style w:type="paragraph" w:customStyle="1" w:styleId="HeadingBase">
    <w:name w:val="Heading Base"/>
    <w:rsid w:val="001B7B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7B66"/>
    <w:pPr>
      <w:tabs>
        <w:tab w:val="right" w:leader="dot" w:pos="9072"/>
      </w:tabs>
      <w:ind w:left="567"/>
    </w:pPr>
    <w:rPr>
      <w:szCs w:val="22"/>
    </w:rPr>
  </w:style>
  <w:style w:type="paragraph" w:customStyle="1" w:styleId="TOCBase">
    <w:name w:val="TOC Base"/>
    <w:rsid w:val="001B7B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7B66"/>
    <w:pPr>
      <w:tabs>
        <w:tab w:val="right" w:leader="dot" w:pos="9072"/>
      </w:tabs>
      <w:spacing w:before="40" w:after="40"/>
      <w:ind w:left="284"/>
    </w:pPr>
    <w:rPr>
      <w:rFonts w:ascii="Times New Roman" w:hAnsi="Times New Roman"/>
    </w:rPr>
  </w:style>
  <w:style w:type="paragraph" w:styleId="TOC1">
    <w:name w:val="toc 1"/>
    <w:basedOn w:val="TOCBase"/>
    <w:next w:val="Normal"/>
    <w:rsid w:val="001B7B6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B7B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7B66"/>
    <w:rPr>
      <w:rFonts w:ascii="Times New Roman" w:eastAsia="Times New Roman" w:hAnsi="Times New Roman" w:cs="Times New Roman"/>
      <w:sz w:val="16"/>
      <w:lang w:eastAsia="en-US"/>
    </w:rPr>
  </w:style>
  <w:style w:type="paragraph" w:styleId="Title">
    <w:name w:val="Title"/>
    <w:basedOn w:val="HeadingBase"/>
    <w:link w:val="TitleChar"/>
    <w:qFormat/>
    <w:rsid w:val="001B7B66"/>
    <w:pPr>
      <w:spacing w:before="5040"/>
      <w:jc w:val="center"/>
    </w:pPr>
    <w:rPr>
      <w:sz w:val="48"/>
      <w:szCs w:val="72"/>
      <w:lang w:val="en-US"/>
    </w:rPr>
  </w:style>
  <w:style w:type="character" w:customStyle="1" w:styleId="TitleChar">
    <w:name w:val="Title Char"/>
    <w:basedOn w:val="DefaultParagraphFont"/>
    <w:link w:val="Title"/>
    <w:rsid w:val="001B7B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7B66"/>
    <w:pPr>
      <w:tabs>
        <w:tab w:val="left" w:pos="3600"/>
        <w:tab w:val="left" w:pos="3958"/>
      </w:tabs>
    </w:pPr>
  </w:style>
  <w:style w:type="paragraph" w:styleId="List">
    <w:name w:val="List"/>
    <w:basedOn w:val="BodyText"/>
    <w:next w:val="BodyText"/>
    <w:rsid w:val="001B7B66"/>
    <w:pPr>
      <w:tabs>
        <w:tab w:val="left" w:pos="340"/>
      </w:tabs>
      <w:spacing w:before="60" w:after="60"/>
      <w:ind w:left="340" w:hanging="340"/>
    </w:pPr>
  </w:style>
  <w:style w:type="paragraph" w:customStyle="1" w:styleId="Note">
    <w:name w:val="Note"/>
    <w:basedOn w:val="BodyText"/>
    <w:rsid w:val="001B7B6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B7B66"/>
    <w:pPr>
      <w:framePr w:wrap="auto" w:hAnchor="text" w:y="6049"/>
    </w:pPr>
    <w:rPr>
      <w:color w:val="000000"/>
      <w:sz w:val="40"/>
    </w:rPr>
  </w:style>
  <w:style w:type="paragraph" w:customStyle="1" w:styleId="TOCTitle">
    <w:name w:val="TOCTitle"/>
    <w:basedOn w:val="Heading1"/>
    <w:rsid w:val="001B7B66"/>
    <w:pPr>
      <w:spacing w:after="240"/>
      <w:jc w:val="center"/>
      <w:outlineLvl w:val="9"/>
    </w:pPr>
    <w:rPr>
      <w:caps/>
    </w:rPr>
  </w:style>
  <w:style w:type="paragraph" w:customStyle="1" w:styleId="Version">
    <w:name w:val="Version"/>
    <w:rsid w:val="001B7B6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B7B66"/>
    <w:pPr>
      <w:keepNext w:val="0"/>
      <w:tabs>
        <w:tab w:val="right" w:pos="4176"/>
      </w:tabs>
      <w:ind w:left="198" w:hanging="198"/>
    </w:pPr>
    <w:rPr>
      <w:rFonts w:ascii="Garamond" w:hAnsi="Garamond"/>
    </w:rPr>
  </w:style>
  <w:style w:type="paragraph" w:styleId="IndexHeading">
    <w:name w:val="index heading"/>
    <w:basedOn w:val="Normal"/>
    <w:next w:val="Index1"/>
    <w:semiHidden/>
    <w:rsid w:val="001B7B66"/>
    <w:pPr>
      <w:spacing w:before="120" w:after="120"/>
    </w:pPr>
    <w:rPr>
      <w:rFonts w:ascii="Arial" w:hAnsi="Arial"/>
      <w:b/>
      <w:color w:val="918585"/>
      <w:sz w:val="24"/>
    </w:rPr>
  </w:style>
  <w:style w:type="paragraph" w:styleId="Header">
    <w:name w:val="header"/>
    <w:basedOn w:val="Normal"/>
    <w:link w:val="HeaderChar"/>
    <w:rsid w:val="001B7B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7B66"/>
    <w:rPr>
      <w:rFonts w:ascii="Times New Roman" w:eastAsia="Times New Roman" w:hAnsi="Times New Roman" w:cs="Times New Roman"/>
      <w:sz w:val="16"/>
      <w:szCs w:val="20"/>
      <w:lang w:val="en-GB" w:eastAsia="en-US"/>
    </w:rPr>
  </w:style>
  <w:style w:type="paragraph" w:customStyle="1" w:styleId="Chapter">
    <w:name w:val="Chapter"/>
    <w:basedOn w:val="Normal"/>
    <w:rsid w:val="001B7B66"/>
    <w:pPr>
      <w:spacing w:before="240"/>
    </w:pPr>
    <w:rPr>
      <w:rFonts w:ascii="Times New Roman" w:hAnsi="Times New Roman"/>
      <w:smallCaps/>
      <w:spacing w:val="80"/>
      <w:sz w:val="28"/>
    </w:rPr>
  </w:style>
  <w:style w:type="paragraph" w:customStyle="1" w:styleId="InChapter">
    <w:name w:val="InChapter"/>
    <w:basedOn w:val="Heading3"/>
    <w:rsid w:val="001B7B66"/>
    <w:pPr>
      <w:spacing w:after="240"/>
      <w:outlineLvl w:val="9"/>
    </w:pPr>
    <w:rPr>
      <w:noProof/>
    </w:rPr>
  </w:style>
  <w:style w:type="paragraph" w:styleId="Index2">
    <w:name w:val="index 2"/>
    <w:basedOn w:val="Normal"/>
    <w:next w:val="Normal"/>
    <w:semiHidden/>
    <w:rsid w:val="001B7B66"/>
    <w:pPr>
      <w:tabs>
        <w:tab w:val="right" w:pos="4176"/>
      </w:tabs>
      <w:ind w:left="568" w:hanging="284"/>
    </w:pPr>
    <w:rPr>
      <w:rFonts w:ascii="Garamond" w:hAnsi="Garamond"/>
    </w:rPr>
  </w:style>
  <w:style w:type="paragraph" w:customStyle="1" w:styleId="Byline">
    <w:name w:val="Byline"/>
    <w:rsid w:val="001B7B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7B66"/>
    <w:pPr>
      <w:tabs>
        <w:tab w:val="clear" w:pos="3600"/>
        <w:tab w:val="clear" w:pos="3958"/>
      </w:tabs>
      <w:jc w:val="right"/>
    </w:pPr>
  </w:style>
  <w:style w:type="character" w:styleId="Emphasis">
    <w:name w:val="Emphasis"/>
    <w:basedOn w:val="DefaultParagraphFont"/>
    <w:qFormat/>
    <w:rsid w:val="001B7B66"/>
    <w:rPr>
      <w:i/>
    </w:rPr>
  </w:style>
  <w:style w:type="paragraph" w:styleId="Caption">
    <w:name w:val="caption"/>
    <w:basedOn w:val="BodyText"/>
    <w:next w:val="Normal"/>
    <w:qFormat/>
    <w:rsid w:val="001B7B66"/>
    <w:pPr>
      <w:framePr w:w="2268" w:hSpace="181" w:vSpace="181" w:wrap="around" w:vAnchor="text" w:hAnchor="page" w:x="1135" w:y="285" w:anchorLock="1"/>
    </w:pPr>
    <w:rPr>
      <w:i/>
    </w:rPr>
  </w:style>
  <w:style w:type="paragraph" w:customStyle="1" w:styleId="MiniTOCTitle">
    <w:name w:val="MiniTOCTitle"/>
    <w:basedOn w:val="Heading4"/>
    <w:rsid w:val="001B7B66"/>
    <w:pPr>
      <w:spacing w:before="240"/>
      <w:outlineLvl w:val="9"/>
    </w:pPr>
    <w:rPr>
      <w:noProof/>
      <w:sz w:val="24"/>
    </w:rPr>
  </w:style>
  <w:style w:type="paragraph" w:customStyle="1" w:styleId="MiniTOCItem">
    <w:name w:val="MiniTOCItem"/>
    <w:basedOn w:val="ListBullet"/>
    <w:rsid w:val="001B7B66"/>
    <w:pPr>
      <w:numPr>
        <w:numId w:val="0"/>
      </w:numPr>
      <w:tabs>
        <w:tab w:val="right" w:leader="dot" w:pos="6521"/>
      </w:tabs>
      <w:spacing w:before="0" w:after="0"/>
    </w:pPr>
  </w:style>
  <w:style w:type="paragraph" w:customStyle="1" w:styleId="TOFTitle">
    <w:name w:val="TOFTitle"/>
    <w:basedOn w:val="TOCTitle"/>
    <w:rsid w:val="001B7B66"/>
  </w:style>
  <w:style w:type="paragraph" w:styleId="TableofFigures">
    <w:name w:val="table of figures"/>
    <w:basedOn w:val="Normal"/>
    <w:next w:val="Normal"/>
    <w:semiHidden/>
    <w:rsid w:val="001B7B66"/>
    <w:pPr>
      <w:tabs>
        <w:tab w:val="right" w:leader="dot" w:pos="9072"/>
      </w:tabs>
      <w:ind w:left="970" w:hanging="403"/>
    </w:pPr>
    <w:rPr>
      <w:rFonts w:ascii="Times New Roman" w:hAnsi="Times New Roman"/>
      <w:b/>
    </w:rPr>
  </w:style>
  <w:style w:type="paragraph" w:styleId="ListNumber">
    <w:name w:val="List Number"/>
    <w:basedOn w:val="List"/>
    <w:rsid w:val="001B7B66"/>
    <w:pPr>
      <w:numPr>
        <w:numId w:val="11"/>
      </w:numPr>
    </w:pPr>
  </w:style>
  <w:style w:type="character" w:customStyle="1" w:styleId="WingdingSymbols">
    <w:name w:val="Wingding Symbols"/>
    <w:rsid w:val="001B7B66"/>
    <w:rPr>
      <w:rFonts w:ascii="Wingdings" w:hAnsi="Wingdings"/>
    </w:rPr>
  </w:style>
  <w:style w:type="paragraph" w:customStyle="1" w:styleId="TableHeading">
    <w:name w:val="Table Heading"/>
    <w:basedOn w:val="HeadingBase"/>
    <w:rsid w:val="001B7B66"/>
    <w:pPr>
      <w:keepLines/>
      <w:pBdr>
        <w:bottom w:val="single" w:sz="6" w:space="1" w:color="918585"/>
      </w:pBdr>
      <w:spacing w:before="240"/>
    </w:pPr>
  </w:style>
  <w:style w:type="character" w:customStyle="1" w:styleId="HotSpot">
    <w:name w:val="HotSpot"/>
    <w:rsid w:val="001B7B66"/>
    <w:rPr>
      <w:color w:val="0033CC"/>
      <w:u w:val="none"/>
    </w:rPr>
  </w:style>
  <w:style w:type="paragraph" w:customStyle="1" w:styleId="BodyTextRight">
    <w:name w:val="Body Text Right"/>
    <w:basedOn w:val="BodyText"/>
    <w:rsid w:val="001B7B66"/>
    <w:pPr>
      <w:spacing w:before="0" w:after="0"/>
      <w:jc w:val="right"/>
    </w:pPr>
  </w:style>
  <w:style w:type="paragraph" w:styleId="Index3">
    <w:name w:val="index 3"/>
    <w:basedOn w:val="ListNumber2"/>
    <w:next w:val="Normal"/>
    <w:semiHidden/>
    <w:rsid w:val="001B7B66"/>
    <w:pPr>
      <w:numPr>
        <w:numId w:val="0"/>
      </w:numPr>
      <w:tabs>
        <w:tab w:val="right" w:leader="dot" w:pos="4176"/>
      </w:tabs>
    </w:pPr>
  </w:style>
  <w:style w:type="paragraph" w:styleId="ListNumber2">
    <w:name w:val="List Number 2"/>
    <w:basedOn w:val="List2"/>
    <w:rsid w:val="001B7B66"/>
    <w:pPr>
      <w:numPr>
        <w:numId w:val="10"/>
      </w:numPr>
      <w:tabs>
        <w:tab w:val="clear" w:pos="1060"/>
      </w:tabs>
    </w:pPr>
  </w:style>
  <w:style w:type="paragraph" w:customStyle="1" w:styleId="MarginNote">
    <w:name w:val="Margin Note"/>
    <w:basedOn w:val="BodyText"/>
    <w:rsid w:val="001B7B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7B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7B6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B7B66"/>
    <w:rPr>
      <w:sz w:val="32"/>
    </w:rPr>
  </w:style>
  <w:style w:type="paragraph" w:customStyle="1" w:styleId="HeadingProcedure">
    <w:name w:val="Heading Procedure"/>
    <w:basedOn w:val="HeadingBase"/>
    <w:next w:val="Normal"/>
    <w:rsid w:val="001B7B66"/>
    <w:pPr>
      <w:tabs>
        <w:tab w:val="left" w:pos="0"/>
      </w:tabs>
      <w:spacing w:before="120" w:after="60"/>
    </w:pPr>
    <w:rPr>
      <w:i/>
      <w:color w:val="918585"/>
      <w:sz w:val="22"/>
    </w:rPr>
  </w:style>
  <w:style w:type="paragraph" w:customStyle="1" w:styleId="TableBodyText">
    <w:name w:val="Table Body Text"/>
    <w:basedOn w:val="BodyText"/>
    <w:rsid w:val="001B7B66"/>
    <w:pPr>
      <w:spacing w:before="60" w:after="60"/>
    </w:pPr>
  </w:style>
  <w:style w:type="paragraph" w:styleId="ListContinue">
    <w:name w:val="List Continue"/>
    <w:basedOn w:val="List"/>
    <w:rsid w:val="001B7B66"/>
    <w:pPr>
      <w:ind w:firstLine="0"/>
    </w:pPr>
  </w:style>
  <w:style w:type="paragraph" w:customStyle="1" w:styleId="ListNote">
    <w:name w:val="List Note"/>
    <w:basedOn w:val="List"/>
    <w:rsid w:val="001B7B66"/>
    <w:pPr>
      <w:pBdr>
        <w:top w:val="single" w:sz="6" w:space="2" w:color="918585"/>
        <w:bottom w:val="single" w:sz="6" w:space="2" w:color="918585"/>
      </w:pBdr>
      <w:tabs>
        <w:tab w:val="left" w:pos="1021"/>
      </w:tabs>
      <w:ind w:firstLine="0"/>
    </w:pPr>
  </w:style>
  <w:style w:type="paragraph" w:customStyle="1" w:styleId="Warning">
    <w:name w:val="Warning"/>
    <w:basedOn w:val="BodyText"/>
    <w:rsid w:val="001B7B66"/>
    <w:pPr>
      <w:shd w:val="clear" w:color="auto" w:fill="D9D9D9"/>
      <w:tabs>
        <w:tab w:val="left" w:pos="992"/>
      </w:tabs>
      <w:ind w:left="119" w:right="119"/>
    </w:pPr>
    <w:rPr>
      <w:sz w:val="20"/>
    </w:rPr>
  </w:style>
  <w:style w:type="paragraph" w:customStyle="1" w:styleId="MarginIcons">
    <w:name w:val="Margin Icons"/>
    <w:basedOn w:val="BodyText"/>
    <w:rsid w:val="001B7B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7B66"/>
    <w:rPr>
      <w:rFonts w:ascii="Courier New" w:hAnsi="Courier New"/>
    </w:rPr>
  </w:style>
  <w:style w:type="paragraph" w:customStyle="1" w:styleId="NoteBullet">
    <w:name w:val="Note Bullet"/>
    <w:basedOn w:val="Note"/>
    <w:rsid w:val="001B7B66"/>
    <w:pPr>
      <w:tabs>
        <w:tab w:val="clear" w:pos="680"/>
      </w:tabs>
      <w:spacing w:before="60" w:after="60"/>
    </w:pPr>
  </w:style>
  <w:style w:type="paragraph" w:customStyle="1" w:styleId="SubHeading2">
    <w:name w:val="SubHeading2"/>
    <w:basedOn w:val="HeadingBase"/>
    <w:rsid w:val="001B7B66"/>
    <w:pPr>
      <w:spacing w:before="240" w:after="60"/>
    </w:pPr>
    <w:rPr>
      <w:sz w:val="20"/>
    </w:rPr>
  </w:style>
  <w:style w:type="paragraph" w:customStyle="1" w:styleId="SubHeading1">
    <w:name w:val="SubHeading1"/>
    <w:basedOn w:val="HeadingBase"/>
    <w:rsid w:val="001B7B66"/>
    <w:pPr>
      <w:spacing w:before="240" w:after="60"/>
    </w:pPr>
    <w:rPr>
      <w:color w:val="918585"/>
      <w:sz w:val="22"/>
    </w:rPr>
  </w:style>
  <w:style w:type="paragraph" w:customStyle="1" w:styleId="SideHeading">
    <w:name w:val="Side Heading"/>
    <w:basedOn w:val="HeadingBase"/>
    <w:rsid w:val="001B7B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7B66"/>
    <w:pPr>
      <w:numPr>
        <w:numId w:val="12"/>
      </w:numPr>
    </w:pPr>
  </w:style>
  <w:style w:type="paragraph" w:styleId="PlainText">
    <w:name w:val="Plain Text"/>
    <w:basedOn w:val="Normal"/>
    <w:link w:val="PlainTextChar"/>
    <w:rsid w:val="001B7B66"/>
    <w:rPr>
      <w:sz w:val="20"/>
    </w:rPr>
  </w:style>
  <w:style w:type="character" w:customStyle="1" w:styleId="PlainTextChar">
    <w:name w:val="Plain Text Char"/>
    <w:basedOn w:val="DefaultParagraphFont"/>
    <w:link w:val="PlainText"/>
    <w:rsid w:val="001B7B66"/>
    <w:rPr>
      <w:rFonts w:ascii="Courier New" w:eastAsia="Times New Roman" w:hAnsi="Courier New" w:cs="Times New Roman"/>
      <w:sz w:val="20"/>
      <w:szCs w:val="20"/>
      <w:lang w:eastAsia="en-US"/>
    </w:rPr>
  </w:style>
  <w:style w:type="character" w:customStyle="1" w:styleId="MenuOption">
    <w:name w:val="Menu Option"/>
    <w:basedOn w:val="DefaultParagraphFont"/>
    <w:rsid w:val="001B7B66"/>
    <w:rPr>
      <w:b/>
      <w:smallCaps/>
    </w:rPr>
  </w:style>
  <w:style w:type="paragraph" w:customStyle="1" w:styleId="TableListNumber">
    <w:name w:val="Table List Number"/>
    <w:basedOn w:val="ListNumber"/>
    <w:rsid w:val="001B7B66"/>
    <w:pPr>
      <w:numPr>
        <w:numId w:val="0"/>
      </w:numPr>
    </w:pPr>
  </w:style>
  <w:style w:type="paragraph" w:styleId="TOC4">
    <w:name w:val="toc 4"/>
    <w:basedOn w:val="TOCBase"/>
    <w:next w:val="Normal"/>
    <w:semiHidden/>
    <w:rsid w:val="001B7B66"/>
    <w:pPr>
      <w:tabs>
        <w:tab w:val="right" w:leader="dot" w:pos="9071"/>
      </w:tabs>
      <w:ind w:left="1701"/>
    </w:pPr>
  </w:style>
  <w:style w:type="paragraph" w:customStyle="1" w:styleId="ListAlpha">
    <w:name w:val="List Alpha"/>
    <w:basedOn w:val="List"/>
    <w:rsid w:val="001B7B66"/>
    <w:pPr>
      <w:numPr>
        <w:numId w:val="9"/>
      </w:numPr>
    </w:pPr>
  </w:style>
  <w:style w:type="paragraph" w:customStyle="1" w:styleId="ListAlpha2">
    <w:name w:val="List Alpha 2"/>
    <w:basedOn w:val="List2"/>
    <w:rsid w:val="001B7B66"/>
    <w:pPr>
      <w:numPr>
        <w:numId w:val="8"/>
      </w:numPr>
    </w:pPr>
  </w:style>
  <w:style w:type="paragraph" w:styleId="List2">
    <w:name w:val="List 2"/>
    <w:basedOn w:val="BodyText"/>
    <w:rsid w:val="001B7B66"/>
    <w:pPr>
      <w:tabs>
        <w:tab w:val="left" w:pos="680"/>
      </w:tabs>
      <w:spacing w:before="60" w:after="60"/>
      <w:ind w:left="680" w:hanging="340"/>
    </w:pPr>
  </w:style>
  <w:style w:type="paragraph" w:styleId="List3">
    <w:name w:val="List 3"/>
    <w:basedOn w:val="BodyText"/>
    <w:rsid w:val="001B7B66"/>
    <w:pPr>
      <w:tabs>
        <w:tab w:val="left" w:pos="1021"/>
      </w:tabs>
      <w:spacing w:before="60" w:after="60"/>
      <w:ind w:left="1020" w:hanging="340"/>
    </w:pPr>
  </w:style>
  <w:style w:type="paragraph" w:styleId="List4">
    <w:name w:val="List 4"/>
    <w:basedOn w:val="BodyText"/>
    <w:rsid w:val="001B7B66"/>
    <w:pPr>
      <w:tabs>
        <w:tab w:val="left" w:pos="1361"/>
      </w:tabs>
      <w:spacing w:before="60" w:after="60"/>
      <w:ind w:left="1361" w:hanging="340"/>
    </w:pPr>
  </w:style>
  <w:style w:type="paragraph" w:styleId="List5">
    <w:name w:val="List 5"/>
    <w:basedOn w:val="BodyText"/>
    <w:rsid w:val="001B7B66"/>
    <w:pPr>
      <w:tabs>
        <w:tab w:val="left" w:pos="1701"/>
      </w:tabs>
      <w:spacing w:before="60" w:after="60"/>
      <w:ind w:left="1701" w:hanging="340"/>
    </w:pPr>
  </w:style>
  <w:style w:type="paragraph" w:styleId="ListBullet3">
    <w:name w:val="List Bullet 3"/>
    <w:basedOn w:val="List3"/>
    <w:rsid w:val="001B7B66"/>
    <w:pPr>
      <w:numPr>
        <w:numId w:val="15"/>
      </w:numPr>
      <w:tabs>
        <w:tab w:val="clear" w:pos="1021"/>
      </w:tabs>
      <w:ind w:left="1037" w:hanging="357"/>
    </w:pPr>
  </w:style>
  <w:style w:type="paragraph" w:styleId="ListBullet4">
    <w:name w:val="List Bullet 4"/>
    <w:basedOn w:val="List4"/>
    <w:rsid w:val="001B7B66"/>
    <w:pPr>
      <w:numPr>
        <w:numId w:val="3"/>
      </w:numPr>
    </w:pPr>
  </w:style>
  <w:style w:type="paragraph" w:styleId="ListBullet5">
    <w:name w:val="List Bullet 5"/>
    <w:basedOn w:val="List5"/>
    <w:rsid w:val="001B7B66"/>
    <w:pPr>
      <w:numPr>
        <w:numId w:val="4"/>
      </w:numPr>
    </w:pPr>
  </w:style>
  <w:style w:type="paragraph" w:styleId="ListContinue2">
    <w:name w:val="List Continue 2"/>
    <w:basedOn w:val="List2"/>
    <w:rsid w:val="001B7B66"/>
    <w:pPr>
      <w:ind w:firstLine="0"/>
    </w:pPr>
  </w:style>
  <w:style w:type="paragraph" w:styleId="ListContinue3">
    <w:name w:val="List Continue 3"/>
    <w:basedOn w:val="List3"/>
    <w:rsid w:val="001B7B66"/>
    <w:pPr>
      <w:ind w:left="1021" w:firstLine="0"/>
    </w:pPr>
  </w:style>
  <w:style w:type="paragraph" w:styleId="ListContinue4">
    <w:name w:val="List Continue 4"/>
    <w:basedOn w:val="List4"/>
    <w:rsid w:val="001B7B66"/>
    <w:pPr>
      <w:ind w:firstLine="0"/>
    </w:pPr>
  </w:style>
  <w:style w:type="paragraph" w:styleId="ListContinue5">
    <w:name w:val="List Continue 5"/>
    <w:basedOn w:val="List5"/>
    <w:rsid w:val="001B7B66"/>
    <w:pPr>
      <w:ind w:firstLine="0"/>
    </w:pPr>
  </w:style>
  <w:style w:type="paragraph" w:styleId="ListNumber3">
    <w:name w:val="List Number 3"/>
    <w:basedOn w:val="List3"/>
    <w:rsid w:val="001B7B66"/>
    <w:pPr>
      <w:numPr>
        <w:numId w:val="5"/>
      </w:numPr>
    </w:pPr>
  </w:style>
  <w:style w:type="paragraph" w:styleId="ListNumber4">
    <w:name w:val="List Number 4"/>
    <w:basedOn w:val="List4"/>
    <w:rsid w:val="001B7B66"/>
    <w:pPr>
      <w:numPr>
        <w:numId w:val="6"/>
      </w:numPr>
    </w:pPr>
  </w:style>
  <w:style w:type="paragraph" w:styleId="ListNumber5">
    <w:name w:val="List Number 5"/>
    <w:basedOn w:val="List5"/>
    <w:rsid w:val="001B7B66"/>
    <w:pPr>
      <w:numPr>
        <w:numId w:val="7"/>
      </w:numPr>
    </w:pPr>
  </w:style>
  <w:style w:type="paragraph" w:styleId="BlockText">
    <w:name w:val="Block Text"/>
    <w:basedOn w:val="Normal"/>
    <w:rsid w:val="001B7B66"/>
    <w:pPr>
      <w:spacing w:after="120"/>
      <w:ind w:left="1440" w:right="1440"/>
    </w:pPr>
  </w:style>
  <w:style w:type="character" w:customStyle="1" w:styleId="Subscript">
    <w:name w:val="Subscript"/>
    <w:basedOn w:val="DefaultParagraphFont"/>
    <w:rsid w:val="001B7B66"/>
    <w:rPr>
      <w:sz w:val="16"/>
      <w:vertAlign w:val="subscript"/>
    </w:rPr>
  </w:style>
  <w:style w:type="character" w:customStyle="1" w:styleId="Superscript">
    <w:name w:val="Superscript"/>
    <w:basedOn w:val="DefaultParagraphFont"/>
    <w:rsid w:val="001B7B66"/>
    <w:rPr>
      <w:sz w:val="16"/>
      <w:vertAlign w:val="superscript"/>
    </w:rPr>
  </w:style>
  <w:style w:type="character" w:customStyle="1" w:styleId="Symbols">
    <w:name w:val="Symbols"/>
    <w:basedOn w:val="DefaultParagraphFont"/>
    <w:rsid w:val="001B7B66"/>
    <w:rPr>
      <w:rFonts w:ascii="Symbol" w:hAnsi="Symbol"/>
    </w:rPr>
  </w:style>
  <w:style w:type="character" w:customStyle="1" w:styleId="MenuOptions">
    <w:name w:val="Menu Options"/>
    <w:basedOn w:val="DefaultParagraphFont"/>
    <w:rsid w:val="001B7B66"/>
    <w:rPr>
      <w:rFonts w:ascii="Arial Narrow" w:hAnsi="Arial Narrow"/>
      <w:smallCaps/>
    </w:rPr>
  </w:style>
  <w:style w:type="character" w:customStyle="1" w:styleId="Buttons">
    <w:name w:val="Buttons"/>
    <w:basedOn w:val="DefaultParagraphFont"/>
    <w:rsid w:val="001B7B66"/>
    <w:rPr>
      <w:b/>
    </w:rPr>
  </w:style>
  <w:style w:type="character" w:customStyle="1" w:styleId="Underlined">
    <w:name w:val="Underlined"/>
    <w:basedOn w:val="DefaultParagraphFont"/>
    <w:rsid w:val="001B7B66"/>
    <w:rPr>
      <w:u w:val="single"/>
    </w:rPr>
  </w:style>
  <w:style w:type="paragraph" w:customStyle="1" w:styleId="TableBodyTextRight">
    <w:name w:val="Table Body Text Right"/>
    <w:basedOn w:val="TableBodyText"/>
    <w:rsid w:val="001B7B66"/>
    <w:pPr>
      <w:widowControl w:val="0"/>
      <w:autoSpaceDE w:val="0"/>
      <w:autoSpaceDN w:val="0"/>
      <w:adjustRightInd w:val="0"/>
      <w:jc w:val="right"/>
    </w:pPr>
    <w:rPr>
      <w:rFonts w:cs="Arial"/>
      <w:szCs w:val="18"/>
    </w:rPr>
  </w:style>
  <w:style w:type="paragraph" w:customStyle="1" w:styleId="CopyrightText">
    <w:name w:val="Copyright Text"/>
    <w:basedOn w:val="BodyText"/>
    <w:rsid w:val="001B7B66"/>
    <w:rPr>
      <w:sz w:val="18"/>
    </w:rPr>
  </w:style>
  <w:style w:type="paragraph" w:customStyle="1" w:styleId="BodySmallRight">
    <w:name w:val="Body Small Right"/>
    <w:basedOn w:val="BodyTextRight"/>
    <w:rsid w:val="001B7B66"/>
    <w:rPr>
      <w:sz w:val="18"/>
      <w:szCs w:val="18"/>
    </w:rPr>
  </w:style>
  <w:style w:type="paragraph" w:customStyle="1" w:styleId="MarginEdition">
    <w:name w:val="Margin Edition"/>
    <w:basedOn w:val="MarginNote"/>
    <w:rsid w:val="001B7B66"/>
    <w:pPr>
      <w:spacing w:before="0" w:after="0"/>
    </w:pPr>
    <w:rPr>
      <w:rFonts w:ascii="Times New Roman" w:hAnsi="Times New Roman"/>
      <w:color w:val="999999"/>
    </w:rPr>
  </w:style>
  <w:style w:type="paragraph" w:customStyle="1" w:styleId="Spacer">
    <w:name w:val="Spacer"/>
    <w:basedOn w:val="Normal"/>
    <w:rsid w:val="001B7B66"/>
    <w:rPr>
      <w:sz w:val="2"/>
      <w:szCs w:val="2"/>
    </w:rPr>
  </w:style>
  <w:style w:type="character" w:customStyle="1" w:styleId="Small">
    <w:name w:val="Small"/>
    <w:basedOn w:val="DefaultParagraphFont"/>
    <w:rsid w:val="001B7B66"/>
    <w:rPr>
      <w:sz w:val="16"/>
    </w:rPr>
  </w:style>
  <w:style w:type="paragraph" w:customStyle="1" w:styleId="WideTable">
    <w:name w:val="Wide Table"/>
    <w:basedOn w:val="Normal"/>
    <w:rsid w:val="001B7B66"/>
    <w:pPr>
      <w:ind w:left="-1418"/>
    </w:pPr>
    <w:rPr>
      <w:sz w:val="2"/>
      <w:szCs w:val="2"/>
    </w:rPr>
  </w:style>
  <w:style w:type="character" w:styleId="PageNumber">
    <w:name w:val="page number"/>
    <w:basedOn w:val="DefaultParagraphFont"/>
    <w:rsid w:val="001B7B66"/>
  </w:style>
  <w:style w:type="paragraph" w:styleId="Quote">
    <w:name w:val="Quote"/>
    <w:basedOn w:val="Heading1"/>
    <w:link w:val="QuoteChar"/>
    <w:qFormat/>
    <w:rsid w:val="001B7B66"/>
    <w:rPr>
      <w:b w:val="0"/>
      <w:sz w:val="72"/>
      <w:szCs w:val="72"/>
      <w:lang w:val="en-NZ"/>
    </w:rPr>
  </w:style>
  <w:style w:type="character" w:customStyle="1" w:styleId="QuoteChar">
    <w:name w:val="Quote Char"/>
    <w:basedOn w:val="DefaultParagraphFont"/>
    <w:link w:val="Quote"/>
    <w:rsid w:val="001B7B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7B66"/>
    <w:pPr>
      <w:pageBreakBefore/>
    </w:pPr>
  </w:style>
  <w:style w:type="paragraph" w:customStyle="1" w:styleId="Border">
    <w:name w:val="Border"/>
    <w:basedOn w:val="Normal"/>
    <w:qFormat/>
    <w:rsid w:val="001B7B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7B66"/>
    <w:rPr>
      <w:b/>
      <w:bCs/>
      <w:i/>
      <w:iCs/>
      <w:color w:val="auto"/>
    </w:rPr>
  </w:style>
  <w:style w:type="paragraph" w:styleId="IntenseQuote">
    <w:name w:val="Intense Quote"/>
    <w:basedOn w:val="Normal"/>
    <w:next w:val="Normal"/>
    <w:link w:val="IntenseQuoteChar"/>
    <w:uiPriority w:val="30"/>
    <w:qFormat/>
    <w:rsid w:val="001B7B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7B6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B7B66"/>
    <w:rPr>
      <w:smallCaps/>
      <w:color w:val="auto"/>
      <w:u w:val="single"/>
    </w:rPr>
  </w:style>
  <w:style w:type="character" w:styleId="IntenseReference">
    <w:name w:val="Intense Reference"/>
    <w:basedOn w:val="DefaultParagraphFont"/>
    <w:uiPriority w:val="32"/>
    <w:qFormat/>
    <w:rsid w:val="001B7B66"/>
    <w:rPr>
      <w:b/>
      <w:bCs/>
      <w:smallCaps/>
      <w:color w:val="auto"/>
      <w:spacing w:val="5"/>
      <w:u w:val="single"/>
    </w:rPr>
  </w:style>
  <w:style w:type="paragraph" w:customStyle="1" w:styleId="2ColumnHeading">
    <w:name w:val="2Column Heading"/>
    <w:basedOn w:val="BodyText"/>
    <w:qFormat/>
    <w:rsid w:val="001B7B66"/>
    <w:pPr>
      <w:spacing w:after="60"/>
      <w:ind w:left="-2268"/>
    </w:pPr>
    <w:rPr>
      <w:b/>
    </w:rPr>
  </w:style>
  <w:style w:type="paragraph" w:customStyle="1" w:styleId="Heading1TOC">
    <w:name w:val="Heading1 TOC"/>
    <w:basedOn w:val="Normal"/>
    <w:qFormat/>
    <w:rsid w:val="001B7B66"/>
    <w:pPr>
      <w:spacing w:before="240" w:after="120"/>
    </w:pPr>
    <w:rPr>
      <w:rFonts w:ascii="Times New Roman" w:hAnsi="Times New Roman"/>
      <w:b/>
      <w:sz w:val="32"/>
    </w:rPr>
  </w:style>
  <w:style w:type="paragraph" w:customStyle="1" w:styleId="Heading2TOC">
    <w:name w:val="Heading2 TOC"/>
    <w:basedOn w:val="Normal"/>
    <w:qFormat/>
    <w:rsid w:val="001B7B66"/>
    <w:pPr>
      <w:spacing w:before="240" w:after="60"/>
    </w:pPr>
    <w:rPr>
      <w:rFonts w:ascii="Times New Roman" w:hAnsi="Times New Roman"/>
      <w:b/>
      <w:sz w:val="28"/>
    </w:rPr>
  </w:style>
  <w:style w:type="character" w:customStyle="1" w:styleId="Underline">
    <w:name w:val="Underline"/>
    <w:basedOn w:val="DefaultParagraphFont"/>
    <w:qFormat/>
    <w:rsid w:val="001B7B66"/>
    <w:rPr>
      <w:u w:val="single"/>
    </w:rPr>
  </w:style>
  <w:style w:type="paragraph" w:styleId="BalloonText">
    <w:name w:val="Balloon Text"/>
    <w:basedOn w:val="Normal"/>
    <w:link w:val="BalloonTextChar"/>
    <w:rsid w:val="001B7B66"/>
    <w:rPr>
      <w:rFonts w:ascii="Tahoma" w:hAnsi="Tahoma" w:cs="Tahoma"/>
      <w:sz w:val="16"/>
      <w:szCs w:val="16"/>
    </w:rPr>
  </w:style>
  <w:style w:type="character" w:customStyle="1" w:styleId="BalloonTextChar">
    <w:name w:val="Balloon Text Char"/>
    <w:basedOn w:val="DefaultParagraphFont"/>
    <w:link w:val="BalloonText"/>
    <w:rsid w:val="001B7B6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B7B6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B7B6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B7B66"/>
    <w:rPr>
      <w:b/>
      <w:color w:val="660033"/>
      <w:spacing w:val="0"/>
    </w:rPr>
  </w:style>
  <w:style w:type="paragraph" w:customStyle="1" w:styleId="Nameditemlist">
    <w:name w:val="Named item list"/>
    <w:basedOn w:val="BodyText"/>
    <w:qFormat/>
    <w:rsid w:val="001B7B6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1268</Words>
  <Characters>8202</Characters>
  <Application>Microsoft Office Word</Application>
  <DocSecurity>0</DocSecurity>
  <Lines>275</Lines>
  <Paragraphs>150</Paragraphs>
  <ScaleCrop>false</ScaleCrop>
  <Company>Author-it Software Corporation Ltd.</Company>
  <LinksUpToDate>false</LinksUpToDate>
  <CharactersWithSpaces>9398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MARC4005A Operate marine internal combustion engines and associated systems up to 1500 kW</dc:title>
  <dc:subject>Approved</dc:subject>
  <dc:creator>Transport &amp; Logistics Industry Skills Council</dc:creator>
  <cp:keywords>Release 1</cp:keywords>
  <dc:description>Review Date: 12 April 2008</dc:description>
  <cp:lastModifiedBy>TPCMS</cp:lastModifiedBy>
  <cp:revision>3</cp:revision>
  <dcterms:created xsi:type="dcterms:W3CDTF">2013-06-06T04:51:00Z</dcterms:created>
  <dcterms:modified xsi:type="dcterms:W3CDTF">2013-06-06T04:51:00Z</dcterms:modified>
</cp:coreProperties>
</file>