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CA8" w:rsidP="00611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MARC4004A Operate deck machinery and steering gear on a vessel up to 80 metres</w:t>
      </w:r>
      <w:r>
        <w:fldChar w:fldCharType="end"/>
      </w:r>
    </w:p>
    <w:p w:rsidR="00611CA8" w:rsidP="00611CA8">
      <w:pPr>
        <w:pStyle w:val="Version"/>
        <w:sectPr w:rsidSect="00E211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211DE" w:rsidP="00E211DE">
      <w:pPr>
        <w:pStyle w:val="SuperHeading"/>
      </w:pPr>
      <w:r w:rsidRPr="00E211DE">
        <w:t>MARC4004A Operate deck machinery and steering gear on a vessel up to 80 metres</w:t>
      </w:r>
    </w:p>
    <w:p w:rsidR="00000000" w:rsidRPr="00E211DE" w:rsidP="00E211DE">
      <w:pPr>
        <w:pStyle w:val="Heading1"/>
      </w:pPr>
      <w:bookmarkStart w:id="1" w:name="O_536701"/>
      <w:bookmarkEnd w:id="1"/>
      <w:r w:rsidRPr="00E211DE">
        <w:t>Modification History</w:t>
      </w:r>
    </w:p>
    <w:p w:rsidR="00000000" w:rsidRPr="00E211DE" w:rsidP="00E211DE">
      <w:pPr>
        <w:pStyle w:val="BodyText"/>
      </w:pPr>
      <w:r w:rsidRPr="00E211DE">
        <w:t>Release 1</w:t>
      </w:r>
    </w:p>
    <w:p w:rsidR="00000000" w:rsidRPr="00E211DE" w:rsidP="00E211DE">
      <w:pPr>
        <w:pStyle w:val="BodyText"/>
      </w:pPr>
      <w:r w:rsidRPr="00E211DE">
        <w:t>This is the first release of this unit.</w:t>
      </w:r>
    </w:p>
    <w:p w:rsidR="00000000" w:rsidRPr="00E211DE" w:rsidP="00E211DE">
      <w:pPr>
        <w:pStyle w:val="AllowPageBreak"/>
      </w:pPr>
    </w:p>
    <w:p w:rsidR="00000000" w:rsidRPr="00E211DE" w:rsidP="00E211DE">
      <w:pPr>
        <w:pStyle w:val="Heading1"/>
      </w:pPr>
      <w:bookmarkStart w:id="2" w:name="O_536713"/>
      <w:bookmarkEnd w:id="2"/>
      <w:r w:rsidRPr="00E211DE">
        <w:t>Unit Descriptor</w:t>
      </w:r>
    </w:p>
    <w:p w:rsidR="00000000" w:rsidRPr="00E211DE" w:rsidP="00E211DE">
      <w:pPr>
        <w:pStyle w:val="BodyText"/>
      </w:pPr>
      <w:r w:rsidRPr="00E211DE">
        <w:t>This unit involves the skills and knowledge required to operate steering gear and deck machinery on a vessel up to 80 metres.</w:t>
      </w:r>
    </w:p>
    <w:p w:rsidR="00000000" w:rsidRPr="00E211DE" w:rsidP="00E211DE">
      <w:pPr>
        <w:pStyle w:val="AllowPageBreak"/>
      </w:pPr>
    </w:p>
    <w:p w:rsidR="00000000" w:rsidRPr="00E211DE" w:rsidP="00E211DE">
      <w:pPr>
        <w:pStyle w:val="Heading1"/>
      </w:pPr>
      <w:bookmarkStart w:id="3" w:name="O_536712"/>
      <w:bookmarkEnd w:id="3"/>
      <w:r w:rsidRPr="00E211DE">
        <w:t>Application of the Unit</w:t>
      </w:r>
    </w:p>
    <w:p w:rsidR="00000000" w:rsidRPr="00E211DE" w:rsidP="00E211DE">
      <w:pPr>
        <w:pStyle w:val="BodyText"/>
      </w:pPr>
      <w:r w:rsidRPr="00E211DE">
        <w:t>This unit applies to working in the capacity of Master on a range of vessels up to 80 met</w:t>
      </w:r>
      <w:r w:rsidRPr="00E211DE">
        <w:t>res.</w:t>
      </w:r>
    </w:p>
    <w:p w:rsidR="00000000" w:rsidRPr="00E211DE" w:rsidP="00E211DE">
      <w:pPr>
        <w:pStyle w:val="AllowPageBreak"/>
      </w:pPr>
    </w:p>
    <w:p w:rsidR="00000000" w:rsidRPr="00E211DE" w:rsidP="00E211DE">
      <w:pPr>
        <w:pStyle w:val="Heading1"/>
      </w:pPr>
      <w:bookmarkStart w:id="4" w:name="O_536711"/>
      <w:bookmarkEnd w:id="4"/>
      <w:r w:rsidRPr="00E211DE">
        <w:t>Licensing/Regulatory Information</w:t>
      </w:r>
    </w:p>
    <w:p w:rsidR="00000000" w:rsidRPr="00E211DE" w:rsidP="00E211DE">
      <w:pPr>
        <w:pStyle w:val="BodyText"/>
      </w:pPr>
      <w:r w:rsidRPr="00E211DE">
        <w:t>Not applicable.</w:t>
      </w:r>
    </w:p>
    <w:p w:rsidR="00000000" w:rsidRPr="00E211DE" w:rsidP="00E211DE">
      <w:pPr>
        <w:pStyle w:val="AllowPageBreak"/>
      </w:pPr>
    </w:p>
    <w:p w:rsidR="00000000" w:rsidRPr="00E211DE" w:rsidP="00E211DE">
      <w:pPr>
        <w:pStyle w:val="Heading1"/>
      </w:pPr>
      <w:bookmarkStart w:id="5" w:name="O_536710"/>
      <w:bookmarkEnd w:id="5"/>
      <w:r w:rsidRPr="00E211DE">
        <w:t>Pre-Requisites</w:t>
      </w:r>
    </w:p>
    <w:p w:rsidR="00000000" w:rsidRPr="00E211DE" w:rsidP="00E211DE">
      <w:pPr>
        <w:pStyle w:val="BodyText"/>
      </w:pPr>
      <w:r w:rsidRPr="00E211DE">
        <w:t>Not applicable.</w:t>
      </w:r>
    </w:p>
    <w:p w:rsidR="00000000" w:rsidRPr="00E211DE" w:rsidP="00E211DE">
      <w:pPr>
        <w:pStyle w:val="AllowPageBreak"/>
      </w:pPr>
    </w:p>
    <w:p w:rsidR="00000000" w:rsidRPr="00E211DE" w:rsidP="00E211DE">
      <w:pPr>
        <w:pStyle w:val="Heading1"/>
      </w:pPr>
      <w:bookmarkStart w:id="6" w:name="O_536709"/>
      <w:bookmarkEnd w:id="6"/>
      <w:r w:rsidRPr="00E211DE">
        <w:t>Employability Skills Information</w:t>
      </w:r>
    </w:p>
    <w:p w:rsidR="00000000" w:rsidRPr="00E211DE" w:rsidP="00E211DE">
      <w:pPr>
        <w:pStyle w:val="BodyText"/>
      </w:pPr>
      <w:r w:rsidRPr="00E211DE">
        <w:t>This unit contains employability skills.</w:t>
      </w:r>
    </w:p>
    <w:p w:rsidR="00000000" w:rsidRPr="00E211DE" w:rsidP="00E211DE">
      <w:pPr>
        <w:pStyle w:val="AllowPageBreak"/>
      </w:pPr>
    </w:p>
    <w:p w:rsidR="00000000" w:rsidRPr="00E211DE" w:rsidP="00E211DE">
      <w:pPr>
        <w:pStyle w:val="Heading1"/>
      </w:pPr>
      <w:bookmarkStart w:id="7" w:name="O_536708"/>
      <w:bookmarkEnd w:id="7"/>
      <w:r w:rsidRPr="00E211DE">
        <w:t>Elements and Performance Crit</w:t>
      </w:r>
      <w:r w:rsidRPr="00E211DE">
        <w:t>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BodyText"/>
            </w:pPr>
            <w:r w:rsidRPr="00E211DE">
              <w:t>Performance criteria describe the required performance needed to demonstrate achievement of the element. Assessment of performance is to be consistent with the evidence guid</w:t>
            </w:r>
            <w:r w:rsidRPr="00E211DE">
              <w:t>e.</w:t>
            </w:r>
          </w:p>
        </w:tc>
      </w:tr>
    </w:tbl>
    <w:p w:rsidR="00000000" w:rsidRPr="00E211DE" w:rsidP="00E211DE">
      <w:pPr>
        <w:pStyle w:val="BodyText"/>
      </w:pPr>
    </w:p>
    <w:p w:rsidR="00000000" w:rsidRPr="00E211DE" w:rsidP="00E211DE">
      <w:pPr>
        <w:pStyle w:val="AllowPageBreak"/>
      </w:pPr>
    </w:p>
    <w:p w:rsidR="00000000" w:rsidRPr="00E211DE" w:rsidP="00E211DE">
      <w:pPr>
        <w:pStyle w:val="Heading1"/>
      </w:pPr>
      <w:bookmarkStart w:id="8" w:name="O_536707"/>
      <w:bookmarkEnd w:id="8"/>
      <w:r w:rsidRPr="00E211D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BodyText"/>
            </w:pPr>
            <w:r w:rsidRPr="00E211DE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rPr>
                <w:rStyle w:val="SpecialBold"/>
              </w:rPr>
              <w:t>Prepare for operation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 xml:space="preserve">Routine pre-operational checks of </w:t>
            </w:r>
            <w:r w:rsidRPr="00E211DE">
              <w:rPr>
                <w:rStyle w:val="BoldandItalics"/>
              </w:rPr>
              <w:t xml:space="preserve">steering gear or deck machinery </w:t>
            </w:r>
            <w:r w:rsidRPr="00E211DE">
              <w:t>are completed prior to use according to manufacturer specifications and organisational procedures</w:t>
            </w:r>
          </w:p>
        </w:tc>
      </w:tr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 xml:space="preserve">Equipment is set up </w:t>
            </w:r>
          </w:p>
        </w:tc>
      </w:tr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BodyText"/>
            </w:pPr>
            <w:r w:rsidRPr="00E211DE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rPr>
                <w:rStyle w:val="BoldandItalics"/>
              </w:rPr>
              <w:t>Tools and equipment</w:t>
            </w:r>
            <w:r w:rsidRPr="00E211DE">
              <w:t xml:space="preserve"> appropriate to work requirements are selected, checked for safety and set up for operation</w:t>
            </w:r>
          </w:p>
        </w:tc>
      </w:tr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Equipment faults or malfunctions are identified and reported according to organisational procedures</w:t>
            </w:r>
          </w:p>
        </w:tc>
      </w:tr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Work health and safety (WHS)/occupational health and safety (OHS) hazards in the work area are identified, and risks are assessed and reported according to organisational procedures</w:t>
            </w:r>
          </w:p>
        </w:tc>
      </w:tr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BodyText"/>
            </w:pPr>
            <w:r w:rsidRPr="00E211DE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rPr>
                <w:rStyle w:val="SpecialBold"/>
              </w:rPr>
              <w:t xml:space="preserve">Operate steering gear and deck machinery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Suitable personal protect</w:t>
            </w:r>
            <w:r w:rsidRPr="00E211DE">
              <w:t>ive equipment is selected and used according to organisational procedures</w:t>
            </w:r>
          </w:p>
        </w:tc>
      </w:tr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Steering gear and deck machinery are operated in a safe and controlled manner</w:t>
            </w:r>
          </w:p>
        </w:tc>
      </w:tr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Performance and efficiency of steering gear and deck machinery operations is monitored</w:t>
            </w:r>
          </w:p>
        </w:tc>
      </w:tr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Safe operational practices are used to anticipate and control hazards</w:t>
            </w:r>
          </w:p>
        </w:tc>
      </w:tr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 xml:space="preserve">Adverse sea and weather conditions which may impact on the operation of steering gear and deck machinery are identified and operational practices </w:t>
            </w:r>
            <w:r w:rsidRPr="00E211DE">
              <w:t>are adjusted to maintain safety of vessel and personnel</w:t>
            </w:r>
          </w:p>
        </w:tc>
      </w:tr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BodyText"/>
            </w:pPr>
            <w:r w:rsidRPr="00E211DE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rPr>
                <w:rStyle w:val="SpecialBold"/>
              </w:rPr>
              <w:t>Complete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Shut-down procedures are conducted according to manufacturer instructions and organisational procedures</w:t>
            </w:r>
          </w:p>
        </w:tc>
      </w:tr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Malfunctions, faults, irregular performance or damage to steering gear and deck machinery are reported according to organisational procedures</w:t>
            </w:r>
          </w:p>
        </w:tc>
      </w:tr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Steering gear and deck machinery is cleaned and secured according to organisational procedures</w:t>
            </w:r>
          </w:p>
        </w:tc>
      </w:tr>
      <w:tr w:rsidTr="00611C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BodyText"/>
            </w:pPr>
            <w:r w:rsidRPr="00E211DE">
              <w:t>Opera</w:t>
            </w:r>
            <w:r w:rsidRPr="00E211DE">
              <w:t>tional records are completed according to organisational procedures</w:t>
            </w:r>
          </w:p>
        </w:tc>
      </w:tr>
    </w:tbl>
    <w:p w:rsidR="00000000" w:rsidRPr="00E211DE" w:rsidP="00E211DE">
      <w:pPr>
        <w:pStyle w:val="BodyText"/>
      </w:pPr>
    </w:p>
    <w:p w:rsidR="00000000" w:rsidRPr="00E211DE" w:rsidP="00E211DE">
      <w:pPr>
        <w:pStyle w:val="AllowPageBreak"/>
      </w:pPr>
    </w:p>
    <w:p w:rsidR="00000000" w:rsidRPr="00E211DE" w:rsidP="00E211DE">
      <w:pPr>
        <w:pStyle w:val="Heading1"/>
      </w:pPr>
      <w:bookmarkStart w:id="9" w:name="O_536706"/>
      <w:bookmarkEnd w:id="9"/>
      <w:r w:rsidRPr="00E211DE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This section describes the skills and knowledge required for this unit.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rPr>
                <w:rStyle w:val="SpecialBold"/>
              </w:rPr>
              <w:t>Required Skills: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Complete required records relating t</w:t>
            </w:r>
            <w:r w:rsidRPr="00E211DE">
              <w:t>o the operation of steering gear and deck machinery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Follow work schedules laid down in organisational instructions and safety management systems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Initiate and operate emergency steering systems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Read, interpret and apply instructions on the operation o</w:t>
            </w:r>
            <w:r w:rsidRPr="00E211DE">
              <w:t>f steering gear and deck machinery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Recognise faulty equipment and take appropriate action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Recognise routine hazards and problems while operating steering gear and deck machinery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Select and use relevant tools and equipment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ListBullet"/>
            </w:pPr>
            <w:r w:rsidRPr="00E211DE">
              <w:t>Work safely and collaboratively with others when operating and maintaining deck machinery and steering gear</w:t>
            </w:r>
          </w:p>
        </w:tc>
      </w:tr>
    </w:tbl>
    <w:p w:rsidR="00000000" w:rsidRPr="00E211DE" w:rsidP="00E211DE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rPr>
                <w:rStyle w:val="SpecialBold"/>
              </w:rPr>
              <w:t>Required Knowledge: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Basic principles of hydraulics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 xml:space="preserve">Communication techniques and signals needed during the operation of steering gear and deck </w:t>
            </w:r>
            <w:r w:rsidRPr="00E211DE">
              <w:t>machinery on vessels up to 80 metres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Principal features and operating characteristics of steering gear and deck machinery used on vessels up to 80 metres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 xml:space="preserve">Problems related to the operation of steering gear and deck machinery and appropriate actions and </w:t>
            </w:r>
            <w:r w:rsidRPr="00E211DE">
              <w:t>solutions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Procedures for checking and inspecting steering gear and deck machinery used on vessels up to 80 metres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Procedures for the safe operation of steering gear and deck machinery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Procedures for, and operation of, emergency steering systems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Records that must be maintained on a vessel up to 80 metres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Relevant state and territory maritime WHS/OHS and pollution control regulations and policies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ListBullet"/>
            </w:pPr>
            <w:r w:rsidRPr="00E211DE">
              <w:t>Safety, environmental and hazard control precautions and procedures relevant to the operation of st</w:t>
            </w:r>
            <w:r w:rsidRPr="00E211DE">
              <w:t>eering gear and deck machinery</w:t>
            </w:r>
          </w:p>
        </w:tc>
      </w:tr>
    </w:tbl>
    <w:p w:rsidR="00000000" w:rsidRPr="00E211DE" w:rsidP="00E211DE">
      <w:pPr>
        <w:pStyle w:val="BodyText"/>
      </w:pPr>
    </w:p>
    <w:p w:rsidR="00000000" w:rsidRPr="00E211DE" w:rsidP="00E211DE">
      <w:pPr>
        <w:pStyle w:val="AllowPageBreak"/>
      </w:pPr>
    </w:p>
    <w:p w:rsidR="00000000" w:rsidRPr="00E211DE" w:rsidP="00E211DE">
      <w:pPr>
        <w:pStyle w:val="Heading1"/>
      </w:pPr>
      <w:bookmarkStart w:id="10" w:name="O_536705"/>
      <w:bookmarkEnd w:id="10"/>
      <w:r w:rsidRPr="00E211D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E211D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The evidence guide provides advice on assessment and must be read in conjunction with the performance criteria, the required skills and knowledge, t</w:t>
            </w:r>
            <w:r w:rsidRPr="00E211DE">
              <w:t>he range statement and the Assessment Guidelines for the Training Package.</w:t>
            </w:r>
          </w:p>
        </w:tc>
      </w:tr>
      <w:tr w:rsidTr="00E211D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BodyText"/>
            </w:pPr>
            <w:r w:rsidRPr="00E211DE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E211DE" w:rsidP="00E211DE">
            <w:pPr>
              <w:pStyle w:val="ListBullet"/>
            </w:pPr>
            <w:r w:rsidRPr="00E211DE">
              <w:t>communicating effectively with others</w:t>
            </w:r>
          </w:p>
          <w:p w:rsidR="00000000" w:rsidRPr="00E211DE" w:rsidP="00E211DE">
            <w:pPr>
              <w:pStyle w:val="ListBullet"/>
            </w:pPr>
            <w:r w:rsidRPr="00E211DE">
              <w:t>providing th</w:t>
            </w:r>
            <w:r w:rsidRPr="00E211DE">
              <w:t>e required amount of detail in reports</w:t>
            </w:r>
          </w:p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attention to appropriate level of detail in recordkeeping.</w:t>
            </w:r>
          </w:p>
        </w:tc>
      </w:tr>
      <w:tr w:rsidTr="00E211D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BodyText"/>
            </w:pPr>
            <w:r w:rsidRPr="00E211DE">
              <w:t>Performance is demonstrated consistently over time and in a suitable range of contexts.</w:t>
            </w:r>
          </w:p>
          <w:p w:rsidR="00000000" w:rsidRPr="00E211DE" w:rsidP="00E211DE">
            <w:pPr>
              <w:pStyle w:val="BodyText"/>
            </w:pPr>
            <w:r w:rsidRPr="00E211DE">
              <w:t>Resources for assessment include access to:</w:t>
            </w:r>
          </w:p>
          <w:p w:rsidR="00000000" w:rsidRPr="00E211DE" w:rsidP="00E211DE">
            <w:pPr>
              <w:pStyle w:val="ListBullet"/>
            </w:pPr>
            <w:r w:rsidRPr="00E211DE">
              <w:t>industry-approved marine operations site where operating steering gear and deck machinery on a vessel up to 80 metres may be conducted</w:t>
            </w:r>
          </w:p>
          <w:p w:rsidR="00000000" w:rsidRPr="00E211DE" w:rsidP="00E211DE">
            <w:pPr>
              <w:pStyle w:val="ListBullet"/>
            </w:pPr>
            <w:r w:rsidRPr="00E211DE">
              <w:t>tools, equipment and personal protective equipment currently used in industr</w:t>
            </w:r>
            <w:r w:rsidRPr="00E211DE">
              <w:t>y</w:t>
            </w:r>
          </w:p>
          <w:p w:rsidR="00000000" w:rsidRPr="00E211DE" w:rsidP="00E211DE">
            <w:pPr>
              <w:pStyle w:val="ListBullet"/>
            </w:pPr>
            <w:r w:rsidRPr="00E211DE">
              <w:t>relevant regulatory and equipment documentation that impacts on work activities</w:t>
            </w:r>
          </w:p>
          <w:p w:rsidR="00000000" w:rsidRPr="00E211DE" w:rsidP="00E211DE">
            <w:pPr>
              <w:pStyle w:val="ListBullet"/>
            </w:pPr>
            <w:r w:rsidRPr="00E211DE">
              <w:t>range of relevant exercises, case studies and/or other simulated practical and knowledge assessments</w:t>
            </w:r>
          </w:p>
          <w:p w:rsidR="00000000" w:rsidRPr="00E211DE" w:rsidP="00E211DE">
            <w:pPr>
              <w:pStyle w:val="ListBullet"/>
            </w:pPr>
            <w:r w:rsidRPr="00E211DE">
              <w:t>appropriate range of relevant operational situations in the workplace.</w:t>
            </w:r>
          </w:p>
          <w:p w:rsidR="00000000" w:rsidRPr="00E211DE" w:rsidP="00E211DE">
            <w:pPr>
              <w:pStyle w:val="BodyText"/>
            </w:pPr>
            <w:r w:rsidRPr="00E211DE">
              <w:t>In</w:t>
            </w:r>
            <w:r w:rsidRPr="00E211DE">
              <w:t xml:space="preserve"> both real and simulated environments, access is required to:</w:t>
            </w:r>
          </w:p>
          <w:p w:rsidR="00000000" w:rsidRPr="00E211DE" w:rsidP="00E211DE">
            <w:pPr>
              <w:pStyle w:val="ListBullet"/>
            </w:pPr>
            <w:r w:rsidRPr="00E211DE">
              <w:t>relevant and appropriate materials and equipment</w:t>
            </w:r>
          </w:p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applicable documentation including workplace procedures, regulations, codes of practice and operation manuals.</w:t>
            </w:r>
          </w:p>
        </w:tc>
      </w:tr>
      <w:tr w:rsidTr="00E211D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BodyText"/>
            </w:pPr>
            <w:r w:rsidRPr="00E211DE">
              <w:t>Practical a</w:t>
            </w:r>
            <w:r w:rsidRPr="00E211DE">
              <w:t>ssessment must occur in an:</w:t>
            </w:r>
          </w:p>
          <w:p w:rsidR="00000000" w:rsidRPr="00E211DE" w:rsidP="00E211DE">
            <w:pPr>
              <w:pStyle w:val="ListBullet"/>
            </w:pPr>
            <w:r w:rsidRPr="00E211DE">
              <w:t>appropriately simulated workplace environment and/or</w:t>
            </w:r>
          </w:p>
          <w:p w:rsidR="00000000" w:rsidRPr="00E211DE" w:rsidP="00E211DE">
            <w:pPr>
              <w:pStyle w:val="ListBullet"/>
            </w:pPr>
            <w:r w:rsidRPr="00E211DE">
              <w:t>appropriate range of situations in the workplace.</w:t>
            </w:r>
          </w:p>
          <w:p w:rsidR="00000000" w:rsidRPr="00E211DE" w:rsidP="00E211DE">
            <w:pPr>
              <w:pStyle w:val="BodyText"/>
            </w:pPr>
            <w:r w:rsidRPr="00E211DE">
              <w:t>A range of assessment methods should be used to assess practical skills and knowledge. The following examples are appropriat</w:t>
            </w:r>
            <w:r w:rsidRPr="00E211DE">
              <w:t>e to this unit:</w:t>
            </w:r>
          </w:p>
          <w:p w:rsidR="00000000" w:rsidRPr="00E211DE" w:rsidP="00E211DE">
            <w:pPr>
              <w:pStyle w:val="ListBullet"/>
            </w:pPr>
            <w:r w:rsidRPr="00E211DE">
              <w:t>direct observation of the candidate operating steering gear and deck machinery on a vessel up to 80 metres</w:t>
            </w:r>
          </w:p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direct observation of the candidate applying relevant WHS/OHS requirements and work practices.</w:t>
            </w:r>
          </w:p>
        </w:tc>
      </w:tr>
      <w:tr w:rsidTr="00E211D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BodyText"/>
            </w:pPr>
            <w:r w:rsidRPr="00E211DE">
              <w:t>Holistic assessment with other units relevant to the industry sector, workplace and job role is recommended.</w:t>
            </w:r>
          </w:p>
          <w:p w:rsidR="00000000" w:rsidRPr="00E211DE" w:rsidP="00E211DE">
            <w:pPr>
              <w:pStyle w:val="BodyText"/>
            </w:pPr>
            <w:r w:rsidRPr="00E211DE">
              <w:t>In all cases where practical assessment is used it should be combined with targeted questioning to assess Required Knowledge.</w:t>
            </w:r>
          </w:p>
          <w:p w:rsidR="00000000" w:rsidRPr="00E211DE" w:rsidP="00E211DE">
            <w:pPr>
              <w:pStyle w:val="BodyText"/>
            </w:pPr>
            <w:r w:rsidRPr="00E211DE">
              <w:t xml:space="preserve">Assessment processes </w:t>
            </w:r>
            <w:r w:rsidRPr="00E211DE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E211DE" w:rsidP="00E211DE">
      <w:pPr>
        <w:pStyle w:val="BodyText"/>
      </w:pPr>
    </w:p>
    <w:p w:rsidR="00000000" w:rsidRPr="00E211DE" w:rsidP="00E211DE">
      <w:pPr>
        <w:pStyle w:val="AllowPageBreak"/>
      </w:pPr>
    </w:p>
    <w:p w:rsidR="00000000" w:rsidRPr="00E211DE" w:rsidP="00E211DE">
      <w:pPr>
        <w:pStyle w:val="Heading1"/>
      </w:pPr>
      <w:bookmarkStart w:id="11" w:name="O_536704"/>
      <w:bookmarkEnd w:id="11"/>
      <w:r w:rsidRPr="00E211DE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The range statement relates to the unit of competency as a whole. It allows for d</w:t>
            </w:r>
            <w:r w:rsidRPr="00E211DE">
              <w:t>ifferent work environments and situations that may affect performance. Bold italicised wording, if used in the performance criteria, is detailed below.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Steering gear or deck machinery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ListBullet"/>
            </w:pPr>
            <w:r w:rsidRPr="00E211DE">
              <w:t>Basic hydraulic systems</w:t>
            </w:r>
          </w:p>
          <w:p w:rsidR="00000000" w:rsidRPr="00E211DE" w:rsidP="00E211DE">
            <w:pPr>
              <w:pStyle w:val="ListBullet"/>
            </w:pPr>
            <w:r w:rsidRPr="00E211DE">
              <w:t xml:space="preserve">Cranes </w:t>
            </w:r>
          </w:p>
          <w:p w:rsidR="00000000" w:rsidRPr="00E211DE" w:rsidP="00E211DE">
            <w:pPr>
              <w:pStyle w:val="ListBullet"/>
            </w:pPr>
            <w:r w:rsidRPr="00E211DE">
              <w:t>Emergency steering gear</w:t>
            </w:r>
          </w:p>
          <w:p w:rsidR="00000000" w:rsidRPr="00E211DE" w:rsidP="00E211DE">
            <w:pPr>
              <w:pStyle w:val="ListBullet"/>
            </w:pPr>
            <w:r w:rsidRPr="00E211DE">
              <w:t>Fishing gear</w:t>
            </w:r>
          </w:p>
          <w:p w:rsidR="00000000" w:rsidRPr="00E211DE" w:rsidP="00E211DE">
            <w:pPr>
              <w:pStyle w:val="ListBullet"/>
            </w:pPr>
            <w:r w:rsidRPr="00E211DE">
              <w:t>Steering gear</w:t>
            </w:r>
          </w:p>
          <w:p w:rsidR="00000000" w:rsidRPr="00E211DE" w:rsidP="00E211DE">
            <w:pPr>
              <w:pStyle w:val="ListBullet"/>
            </w:pPr>
            <w:r w:rsidRPr="00E211DE">
              <w:t>Winches and capstans</w:t>
            </w:r>
          </w:p>
          <w:p w:rsidR="00000000" w:rsidP="00E211DE">
            <w:pPr>
              <w:pStyle w:val="ListBullet"/>
              <w:rPr>
                <w:lang w:val="en-NZ"/>
              </w:rPr>
            </w:pPr>
            <w:r w:rsidRPr="00E211DE">
              <w:t>Windlass</w:t>
            </w:r>
          </w:p>
        </w:tc>
      </w:tr>
      <w:tr w:rsidTr="00611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1DE">
            <w:pPr>
              <w:pStyle w:val="BodyText"/>
              <w:rPr>
                <w:lang w:val="en-NZ"/>
              </w:rPr>
            </w:pPr>
            <w:r w:rsidRPr="00E211DE">
              <w:t>Tools and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1DE" w:rsidP="00E211DE">
            <w:pPr>
              <w:pStyle w:val="ListBullet"/>
            </w:pPr>
            <w:r w:rsidRPr="00E211DE">
              <w:t>Greasing and lubrication tools</w:t>
            </w:r>
          </w:p>
          <w:p w:rsidR="00000000" w:rsidRPr="00E211DE" w:rsidP="00E211DE">
            <w:pPr>
              <w:pStyle w:val="ListBullet"/>
            </w:pPr>
            <w:r w:rsidRPr="00E211DE">
              <w:t>Hand and power tools, including screwdrivers, drills, grinders, spanners, wrenches, wire cutters</w:t>
            </w:r>
          </w:p>
          <w:p w:rsidR="00000000" w:rsidRPr="00E211DE" w:rsidP="00E211DE">
            <w:pPr>
              <w:pStyle w:val="ListBullet"/>
            </w:pPr>
            <w:r w:rsidRPr="00E211DE">
              <w:t>Protective clothing and equipment</w:t>
            </w:r>
          </w:p>
        </w:tc>
      </w:tr>
    </w:tbl>
    <w:p w:rsidR="00000000" w:rsidRPr="00E211DE" w:rsidP="00E211DE">
      <w:pPr>
        <w:pStyle w:val="BodyText"/>
      </w:pPr>
    </w:p>
    <w:p w:rsidR="00000000" w:rsidRPr="00E211DE" w:rsidP="00E211DE">
      <w:pPr>
        <w:pStyle w:val="AllowPageBreak"/>
      </w:pPr>
    </w:p>
    <w:p w:rsidR="00000000" w:rsidRPr="00E211DE" w:rsidP="00E211DE">
      <w:pPr>
        <w:pStyle w:val="Heading1"/>
      </w:pPr>
      <w:bookmarkStart w:id="12" w:name="O_536703"/>
      <w:bookmarkEnd w:id="12"/>
      <w:r w:rsidRPr="00E211DE">
        <w:t>Unit Sector(s)</w:t>
      </w:r>
    </w:p>
    <w:p w:rsidR="00000000" w:rsidRPr="00E211DE" w:rsidP="00E211DE">
      <w:pPr>
        <w:pStyle w:val="BodyText"/>
      </w:pPr>
      <w:r w:rsidRPr="00E211DE">
        <w:t>Not applicable.</w:t>
      </w:r>
    </w:p>
    <w:p w:rsidR="00000000" w:rsidRPr="00E211DE" w:rsidP="00E211DE">
      <w:pPr>
        <w:pStyle w:val="AllowPageBreak"/>
      </w:pPr>
    </w:p>
    <w:p w:rsidR="00000000" w:rsidRPr="00E211DE" w:rsidP="00E211DE">
      <w:pPr>
        <w:pStyle w:val="Heading1"/>
      </w:pPr>
      <w:bookmarkStart w:id="13" w:name="O_536702"/>
      <w:bookmarkEnd w:id="13"/>
      <w:r w:rsidRPr="00E211DE">
        <w:t>Competency Field</w:t>
      </w:r>
    </w:p>
    <w:p w:rsidR="00000000" w:rsidRPr="00E211DE" w:rsidP="00E211DE">
      <w:pPr>
        <w:pStyle w:val="BodyText"/>
      </w:pPr>
      <w:r w:rsidRPr="00E211DE">
        <w:t>Equipment Operations</w:t>
      </w:r>
    </w:p>
    <w:p w:rsidR="00000000" w:rsidRPr="00E211DE" w:rsidP="00E211DE"/>
    <w:sectPr w:rsidSect="00E211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DE" w:rsidRPr="00611CA8" w:rsidP="00611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A8" w:rsidP="00E21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11CA8" w:rsidP="00E21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11CA8" w:rsidP="00E211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DE" w:rsidRPr="00611CA8" w:rsidP="00611C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A8" w:rsidRPr="002D2AF8" w:rsidP="00E21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MARC4004A Operate deck machinery and steering gear on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611CA8" w:rsidP="00E211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7CC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0486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1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1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1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1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1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1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1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1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1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1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1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1DE"/>
  </w:style>
  <w:style w:type="character" w:customStyle="1" w:styleId="Heading1Char">
    <w:name w:val="Heading 1 Char"/>
    <w:basedOn w:val="DefaultParagraphFont"/>
    <w:link w:val="Heading1"/>
    <w:rsid w:val="00E211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1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1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1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11DE"/>
    <w:rPr>
      <w:b/>
      <w:spacing w:val="0"/>
    </w:rPr>
  </w:style>
  <w:style w:type="paragraph" w:customStyle="1" w:styleId="SuperHeading">
    <w:name w:val="SuperHeading"/>
    <w:basedOn w:val="Normal"/>
    <w:rsid w:val="00E211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1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211D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211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1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1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1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1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1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1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1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1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1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1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1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1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1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1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1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11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1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1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11D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11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1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1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1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1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1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1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1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1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11DE"/>
    <w:rPr>
      <w:i/>
    </w:rPr>
  </w:style>
  <w:style w:type="paragraph" w:styleId="Caption">
    <w:name w:val="caption"/>
    <w:basedOn w:val="BodyText"/>
    <w:next w:val="Normal"/>
    <w:qFormat/>
    <w:rsid w:val="00E211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1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1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1DE"/>
  </w:style>
  <w:style w:type="paragraph" w:styleId="TableofFigures">
    <w:name w:val="table of figures"/>
    <w:basedOn w:val="Normal"/>
    <w:next w:val="Normal"/>
    <w:semiHidden/>
    <w:rsid w:val="00E211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1DE"/>
    <w:pPr>
      <w:numPr>
        <w:numId w:val="10"/>
      </w:numPr>
    </w:pPr>
  </w:style>
  <w:style w:type="character" w:customStyle="1" w:styleId="WingdingSymbols">
    <w:name w:val="Wingding Symbols"/>
    <w:rsid w:val="00E211DE"/>
    <w:rPr>
      <w:rFonts w:ascii="Wingdings" w:hAnsi="Wingdings"/>
    </w:rPr>
  </w:style>
  <w:style w:type="paragraph" w:customStyle="1" w:styleId="TableHeading">
    <w:name w:val="Table Heading"/>
    <w:basedOn w:val="HeadingBase"/>
    <w:rsid w:val="00E211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1DE"/>
    <w:rPr>
      <w:color w:val="0033CC"/>
      <w:u w:val="none"/>
    </w:rPr>
  </w:style>
  <w:style w:type="paragraph" w:customStyle="1" w:styleId="BodyTextRight">
    <w:name w:val="Body Text Right"/>
    <w:basedOn w:val="BodyText"/>
    <w:rsid w:val="00E211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1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1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1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1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1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1DE"/>
    <w:rPr>
      <w:sz w:val="32"/>
    </w:rPr>
  </w:style>
  <w:style w:type="paragraph" w:customStyle="1" w:styleId="HeadingProcedure">
    <w:name w:val="Heading Procedure"/>
    <w:basedOn w:val="HeadingBase"/>
    <w:next w:val="Normal"/>
    <w:rsid w:val="00E211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1DE"/>
    <w:pPr>
      <w:spacing w:before="60" w:after="60"/>
    </w:pPr>
  </w:style>
  <w:style w:type="paragraph" w:styleId="ListContinue">
    <w:name w:val="List Continue"/>
    <w:basedOn w:val="List"/>
    <w:rsid w:val="00E211DE"/>
    <w:pPr>
      <w:ind w:firstLine="0"/>
    </w:pPr>
  </w:style>
  <w:style w:type="paragraph" w:customStyle="1" w:styleId="ListNote">
    <w:name w:val="List Note"/>
    <w:basedOn w:val="List"/>
    <w:rsid w:val="00E211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1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1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1DE"/>
    <w:rPr>
      <w:rFonts w:ascii="Courier New" w:hAnsi="Courier New"/>
    </w:rPr>
  </w:style>
  <w:style w:type="paragraph" w:customStyle="1" w:styleId="NoteBullet">
    <w:name w:val="Note Bullet"/>
    <w:basedOn w:val="Note"/>
    <w:rsid w:val="00E211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1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1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1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1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11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1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1DE"/>
    <w:rPr>
      <w:b/>
      <w:smallCaps/>
    </w:rPr>
  </w:style>
  <w:style w:type="paragraph" w:customStyle="1" w:styleId="TableListNumber">
    <w:name w:val="Table List Number"/>
    <w:basedOn w:val="ListNumber"/>
    <w:rsid w:val="00E211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1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1DE"/>
    <w:pPr>
      <w:numPr>
        <w:numId w:val="8"/>
      </w:numPr>
    </w:pPr>
  </w:style>
  <w:style w:type="paragraph" w:customStyle="1" w:styleId="ListAlpha2">
    <w:name w:val="List Alpha 2"/>
    <w:basedOn w:val="List2"/>
    <w:rsid w:val="00E211DE"/>
    <w:pPr>
      <w:numPr>
        <w:numId w:val="7"/>
      </w:numPr>
    </w:pPr>
  </w:style>
  <w:style w:type="paragraph" w:styleId="List2">
    <w:name w:val="List 2"/>
    <w:basedOn w:val="BodyText"/>
    <w:rsid w:val="00E211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1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1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1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1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1DE"/>
    <w:pPr>
      <w:numPr>
        <w:numId w:val="2"/>
      </w:numPr>
    </w:pPr>
  </w:style>
  <w:style w:type="paragraph" w:styleId="ListBullet5">
    <w:name w:val="List Bullet 5"/>
    <w:basedOn w:val="List5"/>
    <w:rsid w:val="00E211DE"/>
    <w:pPr>
      <w:numPr>
        <w:numId w:val="3"/>
      </w:numPr>
    </w:pPr>
  </w:style>
  <w:style w:type="paragraph" w:styleId="ListContinue2">
    <w:name w:val="List Continue 2"/>
    <w:basedOn w:val="List2"/>
    <w:rsid w:val="00E211DE"/>
    <w:pPr>
      <w:ind w:firstLine="0"/>
    </w:pPr>
  </w:style>
  <w:style w:type="paragraph" w:styleId="ListContinue3">
    <w:name w:val="List Continue 3"/>
    <w:basedOn w:val="List3"/>
    <w:rsid w:val="00E211DE"/>
    <w:pPr>
      <w:ind w:left="1021" w:firstLine="0"/>
    </w:pPr>
  </w:style>
  <w:style w:type="paragraph" w:styleId="ListContinue4">
    <w:name w:val="List Continue 4"/>
    <w:basedOn w:val="List4"/>
    <w:rsid w:val="00E211DE"/>
    <w:pPr>
      <w:ind w:firstLine="0"/>
    </w:pPr>
  </w:style>
  <w:style w:type="paragraph" w:styleId="ListContinue5">
    <w:name w:val="List Continue 5"/>
    <w:basedOn w:val="List5"/>
    <w:rsid w:val="00E211DE"/>
    <w:pPr>
      <w:ind w:firstLine="0"/>
    </w:pPr>
  </w:style>
  <w:style w:type="paragraph" w:styleId="ListNumber3">
    <w:name w:val="List Number 3"/>
    <w:basedOn w:val="List3"/>
    <w:rsid w:val="00E211DE"/>
    <w:pPr>
      <w:numPr>
        <w:numId w:val="4"/>
      </w:numPr>
    </w:pPr>
  </w:style>
  <w:style w:type="paragraph" w:styleId="ListNumber4">
    <w:name w:val="List Number 4"/>
    <w:basedOn w:val="List4"/>
    <w:rsid w:val="00E211DE"/>
    <w:pPr>
      <w:numPr>
        <w:numId w:val="5"/>
      </w:numPr>
    </w:pPr>
  </w:style>
  <w:style w:type="paragraph" w:styleId="ListNumber5">
    <w:name w:val="List Number 5"/>
    <w:basedOn w:val="List5"/>
    <w:rsid w:val="00E211DE"/>
    <w:pPr>
      <w:numPr>
        <w:numId w:val="6"/>
      </w:numPr>
    </w:pPr>
  </w:style>
  <w:style w:type="paragraph" w:styleId="BlockText">
    <w:name w:val="Block Text"/>
    <w:basedOn w:val="Normal"/>
    <w:rsid w:val="00E211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1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1DE"/>
    <w:rPr>
      <w:sz w:val="16"/>
      <w:vertAlign w:val="superscript"/>
    </w:rPr>
  </w:style>
  <w:style w:type="character" w:customStyle="1" w:styleId="Symbols">
    <w:name w:val="Symbols"/>
    <w:basedOn w:val="DefaultParagraphFont"/>
    <w:rsid w:val="00E211DE"/>
    <w:rPr>
      <w:rFonts w:ascii="Symbol" w:hAnsi="Symbol"/>
    </w:rPr>
  </w:style>
  <w:style w:type="character" w:customStyle="1" w:styleId="MenuOptions">
    <w:name w:val="Menu Options"/>
    <w:basedOn w:val="DefaultParagraphFont"/>
    <w:rsid w:val="00E211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1DE"/>
    <w:rPr>
      <w:b/>
    </w:rPr>
  </w:style>
  <w:style w:type="character" w:customStyle="1" w:styleId="Underlined">
    <w:name w:val="Underlined"/>
    <w:basedOn w:val="DefaultParagraphFont"/>
    <w:rsid w:val="00E211DE"/>
    <w:rPr>
      <w:u w:val="single"/>
    </w:rPr>
  </w:style>
  <w:style w:type="paragraph" w:customStyle="1" w:styleId="TableBodyTextRight">
    <w:name w:val="Table Body Text Right"/>
    <w:basedOn w:val="TableBodyText"/>
    <w:rsid w:val="00E211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1DE"/>
    <w:rPr>
      <w:sz w:val="18"/>
    </w:rPr>
  </w:style>
  <w:style w:type="paragraph" w:customStyle="1" w:styleId="BodySmallRight">
    <w:name w:val="Body Small Right"/>
    <w:basedOn w:val="BodyTextRight"/>
    <w:rsid w:val="00E211DE"/>
    <w:rPr>
      <w:sz w:val="18"/>
      <w:szCs w:val="18"/>
    </w:rPr>
  </w:style>
  <w:style w:type="paragraph" w:customStyle="1" w:styleId="MarginEdition">
    <w:name w:val="Margin Edition"/>
    <w:basedOn w:val="MarginNote"/>
    <w:rsid w:val="00E211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1DE"/>
    <w:rPr>
      <w:sz w:val="2"/>
      <w:szCs w:val="2"/>
    </w:rPr>
  </w:style>
  <w:style w:type="character" w:customStyle="1" w:styleId="Small">
    <w:name w:val="Small"/>
    <w:basedOn w:val="DefaultParagraphFont"/>
    <w:rsid w:val="00E211DE"/>
    <w:rPr>
      <w:sz w:val="16"/>
    </w:rPr>
  </w:style>
  <w:style w:type="paragraph" w:customStyle="1" w:styleId="WideTable">
    <w:name w:val="Wide Table"/>
    <w:basedOn w:val="Normal"/>
    <w:rsid w:val="00E211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1DE"/>
  </w:style>
  <w:style w:type="paragraph" w:styleId="Quote">
    <w:name w:val="Quote"/>
    <w:basedOn w:val="Heading1"/>
    <w:link w:val="QuoteChar"/>
    <w:qFormat/>
    <w:rsid w:val="00E211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1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1DE"/>
    <w:pPr>
      <w:pageBreakBefore/>
    </w:pPr>
  </w:style>
  <w:style w:type="paragraph" w:customStyle="1" w:styleId="Border">
    <w:name w:val="Border"/>
    <w:basedOn w:val="Normal"/>
    <w:qFormat/>
    <w:rsid w:val="00E211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1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1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1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1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1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1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1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1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1DE"/>
    <w:rPr>
      <w:u w:val="single"/>
    </w:rPr>
  </w:style>
  <w:style w:type="paragraph" w:styleId="BalloonText">
    <w:name w:val="Balloon Text"/>
    <w:basedOn w:val="Normal"/>
    <w:link w:val="BalloonTextChar"/>
    <w:rsid w:val="00E21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1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1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1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1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1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1067</Words>
  <Characters>6439</Characters>
  <Application>Microsoft Office Word</Application>
  <DocSecurity>0</DocSecurity>
  <Lines>231</Lines>
  <Paragraphs>123</Paragraphs>
  <ScaleCrop>false</ScaleCrop>
  <Company>Author-it Software Corporation Ltd.</Company>
  <LinksUpToDate>false</LinksUpToDate>
  <CharactersWithSpaces>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MARC4004A Operate deck machinery and steering gear on a vessel up to 80 metres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2013-06-06T04:42:00Z</dcterms:created>
  <dcterms:modified xsi:type="dcterms:W3CDTF">2013-06-06T04:42:00Z</dcterms:modified>
</cp:coreProperties>
</file>