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75CC" w:rsidP="001975CC">
      <w:pPr>
        <w:pStyle w:val="Title"/>
      </w:pPr>
      <w:r>
        <w:fldChar w:fldCharType="begin"/>
      </w:r>
      <w:r>
        <w:instrText xml:space="preserve"> TITLE   \* MERGEFORMAT </w:instrText>
      </w:r>
      <w:r>
        <w:fldChar w:fldCharType="separate"/>
      </w:r>
      <w:r>
        <w:t>MARC3005A Operate and monitor marine internal combustion engines, propulsion plant and auxiliary systems</w:t>
      </w:r>
      <w:r>
        <w:fldChar w:fldCharType="end"/>
      </w:r>
    </w:p>
    <w:p w:rsidR="001975CC" w:rsidP="001975CC">
      <w:pPr>
        <w:pStyle w:val="Version"/>
        <w:sectPr w:rsidSect="007127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2707" w:rsidP="00712707">
      <w:pPr>
        <w:pStyle w:val="SuperHeading"/>
      </w:pPr>
      <w:r w:rsidRPr="00712707">
        <w:t>MARC3005A Operate and monitor marine internal combustion engines, propulsion plant and auxiliary systems</w:t>
      </w:r>
    </w:p>
    <w:p w:rsidR="00000000" w:rsidRPr="00712707" w:rsidP="00712707">
      <w:pPr>
        <w:pStyle w:val="Heading1"/>
      </w:pPr>
      <w:bookmarkStart w:id="1" w:name="O_536556"/>
      <w:bookmarkEnd w:id="1"/>
      <w:r w:rsidRPr="00712707">
        <w:t>Modification History</w:t>
      </w:r>
    </w:p>
    <w:p w:rsidR="00000000" w:rsidRPr="00712707" w:rsidP="00712707">
      <w:pPr>
        <w:pStyle w:val="BodyText"/>
      </w:pPr>
      <w:r w:rsidRPr="00712707">
        <w:t>Release 1</w:t>
      </w:r>
    </w:p>
    <w:p w:rsidR="00000000" w:rsidRPr="00712707" w:rsidP="00712707">
      <w:pPr>
        <w:pStyle w:val="BodyText"/>
      </w:pPr>
      <w:r w:rsidRPr="00712707">
        <w:t>This is the first release of this unit.</w:t>
      </w:r>
    </w:p>
    <w:p w:rsidR="00000000" w:rsidRPr="00712707" w:rsidP="00712707">
      <w:pPr>
        <w:pStyle w:val="BodyText"/>
      </w:pPr>
      <w:r w:rsidRPr="00712707">
        <w:t>This unit replaces and is equivalent to TDMMR2707B Operate and maintain marine internal combustion engines within the limits of responsibility of a Marine Engine Driver Grade 2.</w:t>
      </w:r>
    </w:p>
    <w:p w:rsidR="00000000" w:rsidRPr="00712707" w:rsidP="00712707">
      <w:pPr>
        <w:pStyle w:val="AllowPageBreak"/>
      </w:pPr>
    </w:p>
    <w:p w:rsidR="00000000" w:rsidRPr="00712707" w:rsidP="00712707">
      <w:pPr>
        <w:pStyle w:val="Heading1"/>
      </w:pPr>
      <w:bookmarkStart w:id="2" w:name="O_536568"/>
      <w:bookmarkEnd w:id="2"/>
      <w:r w:rsidRPr="00712707">
        <w:t>Unit Descriptor</w:t>
      </w:r>
    </w:p>
    <w:p w:rsidR="00000000" w:rsidRPr="00712707" w:rsidP="00712707">
      <w:pPr>
        <w:pStyle w:val="BodyText"/>
      </w:pPr>
      <w:r w:rsidRPr="00712707">
        <w:t>This unit involves the skills and knowledge r</w:t>
      </w:r>
      <w:r w:rsidRPr="00712707">
        <w:t>equired to safely operate marine internal combustion engines, propulsion plant and auxiliary systems on a vessel up to 750 kW.</w:t>
      </w:r>
    </w:p>
    <w:p w:rsidR="00000000" w:rsidRPr="00712707" w:rsidP="00712707">
      <w:pPr>
        <w:pStyle w:val="AllowPageBreak"/>
      </w:pPr>
    </w:p>
    <w:p w:rsidR="00000000" w:rsidRPr="00712707" w:rsidP="00712707">
      <w:pPr>
        <w:pStyle w:val="Heading1"/>
      </w:pPr>
      <w:bookmarkStart w:id="3" w:name="O_536567"/>
      <w:bookmarkEnd w:id="3"/>
      <w:r w:rsidRPr="00712707">
        <w:t>Application of the Unit</w:t>
      </w:r>
    </w:p>
    <w:p w:rsidR="00000000" w:rsidRPr="00712707" w:rsidP="00712707">
      <w:pPr>
        <w:pStyle w:val="BodyText"/>
      </w:pPr>
      <w:r w:rsidRPr="00712707">
        <w:t xml:space="preserve">This unit applies to engine workers in the maritime industry working as a Marine Engine </w:t>
      </w:r>
      <w:r w:rsidRPr="00712707">
        <w:t>Driver Grade 2 on vessels up to 750 kW or as a Marine Engine Driver Steam.</w:t>
      </w:r>
    </w:p>
    <w:p w:rsidR="00000000" w:rsidRPr="00712707" w:rsidP="00712707">
      <w:pPr>
        <w:pStyle w:val="AllowPageBreak"/>
      </w:pPr>
    </w:p>
    <w:p w:rsidR="00000000" w:rsidRPr="00712707" w:rsidP="00712707">
      <w:pPr>
        <w:pStyle w:val="Heading1"/>
      </w:pPr>
      <w:bookmarkStart w:id="4" w:name="O_536566"/>
      <w:bookmarkEnd w:id="4"/>
      <w:r w:rsidRPr="00712707">
        <w:t>Licensing/Regulatory Information</w:t>
      </w:r>
    </w:p>
    <w:p w:rsidR="00000000" w:rsidRPr="00712707" w:rsidP="00712707">
      <w:pPr>
        <w:pStyle w:val="BodyText"/>
      </w:pPr>
      <w:r w:rsidRPr="00712707">
        <w:t>Not applicable.</w:t>
      </w:r>
    </w:p>
    <w:p w:rsidR="00000000" w:rsidRPr="00712707" w:rsidP="00712707">
      <w:pPr>
        <w:pStyle w:val="AllowPageBreak"/>
      </w:pPr>
    </w:p>
    <w:p w:rsidR="00000000" w:rsidRPr="00712707" w:rsidP="00712707">
      <w:pPr>
        <w:pStyle w:val="Heading1"/>
      </w:pPr>
      <w:bookmarkStart w:id="5" w:name="O_536565"/>
      <w:bookmarkEnd w:id="5"/>
      <w:r w:rsidRPr="00712707">
        <w:t>Pre-Requisites</w:t>
      </w:r>
    </w:p>
    <w:p w:rsidR="00000000" w:rsidRPr="00712707" w:rsidP="00712707">
      <w:pPr>
        <w:pStyle w:val="BodyText"/>
      </w:pPr>
      <w:r w:rsidRPr="00712707">
        <w:t>Not applicable.</w:t>
      </w:r>
    </w:p>
    <w:p w:rsidR="00000000" w:rsidRPr="00712707" w:rsidP="00712707">
      <w:pPr>
        <w:pStyle w:val="AllowPageBreak"/>
      </w:pPr>
    </w:p>
    <w:p w:rsidR="00000000" w:rsidRPr="00712707" w:rsidP="00712707">
      <w:pPr>
        <w:pStyle w:val="Heading1"/>
      </w:pPr>
      <w:bookmarkStart w:id="6" w:name="O_536564"/>
      <w:bookmarkEnd w:id="6"/>
      <w:r w:rsidRPr="00712707">
        <w:t>Employability Skills Information</w:t>
      </w:r>
    </w:p>
    <w:p w:rsidR="00000000" w:rsidRPr="00712707" w:rsidP="00712707">
      <w:pPr>
        <w:pStyle w:val="BodyText"/>
      </w:pPr>
      <w:r w:rsidRPr="00712707">
        <w:t>This unit contain</w:t>
      </w:r>
      <w:r w:rsidRPr="00712707">
        <w:t>s employability skills.</w:t>
      </w:r>
    </w:p>
    <w:p w:rsidR="00000000" w:rsidRPr="00712707" w:rsidP="00712707">
      <w:pPr>
        <w:pStyle w:val="AllowPageBreak"/>
      </w:pPr>
    </w:p>
    <w:p w:rsidR="00000000" w:rsidRPr="00712707" w:rsidP="00712707">
      <w:pPr>
        <w:pStyle w:val="Heading1"/>
      </w:pPr>
      <w:bookmarkStart w:id="7" w:name="O_536563"/>
      <w:bookmarkEnd w:id="7"/>
      <w:r w:rsidRPr="00712707">
        <w:t>Elements and Performance Criteria Pre-Content</w:t>
      </w:r>
    </w:p>
    <w:tbl>
      <w:tblPr>
        <w:tblW w:w="9640" w:type="dxa"/>
        <w:tblLayout w:type="fixed"/>
        <w:tblCellMar>
          <w:left w:w="62" w:type="dxa"/>
          <w:right w:w="62" w:type="dxa"/>
        </w:tblCellMar>
        <w:tblLook w:val="0000"/>
      </w:tblPr>
      <w:tblGrid>
        <w:gridCol w:w="2776"/>
        <w:gridCol w:w="6864"/>
      </w:tblGrid>
      <w:tr w:rsidTr="001975C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712707" w:rsidP="00712707">
            <w:pPr>
              <w:pStyle w:val="BodyText"/>
            </w:pPr>
            <w:r w:rsidRPr="00712707">
              <w:t>Performance criteria describe the required performance needed to demonstrate achievement of the element</w:t>
            </w:r>
            <w:r w:rsidRPr="00712707">
              <w:t>. Assessment of performance is to be consistent with the evidence guide.</w:t>
            </w:r>
          </w:p>
        </w:tc>
      </w:tr>
    </w:tbl>
    <w:p w:rsidR="00000000" w:rsidRPr="00712707" w:rsidP="00712707">
      <w:pPr>
        <w:pStyle w:val="BodyText"/>
      </w:pPr>
    </w:p>
    <w:p w:rsidR="00000000" w:rsidRPr="00712707" w:rsidP="00712707">
      <w:pPr>
        <w:pStyle w:val="AllowPageBreak"/>
      </w:pPr>
    </w:p>
    <w:p w:rsidR="00000000" w:rsidRPr="00712707" w:rsidP="00712707">
      <w:pPr>
        <w:pStyle w:val="Heading1"/>
      </w:pPr>
      <w:bookmarkStart w:id="8" w:name="O_536562"/>
      <w:bookmarkEnd w:id="8"/>
      <w:r w:rsidRPr="00712707">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1975C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12707" w:rsidP="00712707">
            <w:pPr>
              <w:pStyle w:val="BodyText"/>
            </w:pPr>
            <w:r w:rsidRPr="00712707">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rPr>
                <w:rStyle w:val="SpecialBold"/>
              </w:rPr>
              <w:t>Prepare for sea</w:t>
            </w:r>
          </w:p>
        </w:tc>
        <w:tc>
          <w:tcPr>
            <w:tcW w:w="584"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t>1.1</w:t>
            </w:r>
          </w:p>
        </w:tc>
        <w:tc>
          <w:tcPr>
            <w:tcW w:w="6864"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t xml:space="preserve">Fuels and lubricating fluids required for proposed voyage are acquired </w:t>
            </w:r>
          </w:p>
        </w:tc>
      </w:tr>
      <w:tr w:rsidTr="001975C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712707" w:rsidP="00712707">
            <w:pPr>
              <w:pStyle w:val="BodyText"/>
            </w:pPr>
            <w:r w:rsidRPr="00712707">
              <w:t>1.2</w:t>
            </w:r>
          </w:p>
        </w:tc>
        <w:tc>
          <w:tcPr>
            <w:tcW w:w="6864"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rPr>
                <w:rStyle w:val="BoldandItalics"/>
              </w:rPr>
              <w:t>Spares and stores</w:t>
            </w:r>
            <w:r w:rsidRPr="00712707">
              <w:t xml:space="preserve"> required for proposed voyage are acquired</w:t>
            </w:r>
          </w:p>
        </w:tc>
      </w:tr>
      <w:tr w:rsidTr="001975C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712707" w:rsidP="00712707">
            <w:pPr>
              <w:pStyle w:val="BodyText"/>
            </w:pPr>
            <w:r w:rsidRPr="00712707">
              <w:t>1.3</w:t>
            </w:r>
          </w:p>
        </w:tc>
        <w:tc>
          <w:tcPr>
            <w:tcW w:w="6864"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rPr>
                <w:rStyle w:val="BoldandItalics"/>
              </w:rPr>
              <w:t>Flammable/explosive materials</w:t>
            </w:r>
            <w:r w:rsidRPr="00712707">
              <w:t xml:space="preserve"> are stowed and managed according to regulatory and organisational requirements</w:t>
            </w:r>
          </w:p>
        </w:tc>
      </w:tr>
      <w:tr w:rsidTr="001975C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712707" w:rsidP="00712707">
            <w:pPr>
              <w:pStyle w:val="BodyText"/>
            </w:pPr>
            <w:r w:rsidRPr="00712707">
              <w:t>1.4</w:t>
            </w:r>
          </w:p>
        </w:tc>
        <w:tc>
          <w:tcPr>
            <w:tcW w:w="6864"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rPr>
                <w:rStyle w:val="BoldandItalics"/>
              </w:rPr>
              <w:t>Work health and safety (WHS)/occupational health and safety (OHS) hazards</w:t>
            </w:r>
            <w:r w:rsidRPr="00712707">
              <w:t xml:space="preserve"> in engine room are identified, risk assessed and corrective actions taken according to organisational practices </w:t>
            </w:r>
          </w:p>
        </w:tc>
      </w:tr>
      <w:tr w:rsidTr="001975C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t>1.5</w:t>
            </w:r>
          </w:p>
        </w:tc>
        <w:tc>
          <w:tcPr>
            <w:tcW w:w="6864"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t>Pre-start checks are conducted on machinery and equipment according to organisational procedures and manufacturer specifications</w:t>
            </w:r>
          </w:p>
        </w:tc>
      </w:tr>
      <w:tr w:rsidTr="001975C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t>1.6</w:t>
            </w:r>
          </w:p>
        </w:tc>
        <w:tc>
          <w:tcPr>
            <w:tcW w:w="6864"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t>Engines are started according to manufacturer specifications and vessel procedures</w:t>
            </w:r>
          </w:p>
        </w:tc>
      </w:tr>
      <w:tr w:rsidTr="001975C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t>1.7</w:t>
            </w:r>
          </w:p>
        </w:tc>
        <w:tc>
          <w:tcPr>
            <w:tcW w:w="6864"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t xml:space="preserve">Starting faults are recognised and rectified according to manufacturer specifications and fault-finding procedures </w:t>
            </w:r>
          </w:p>
        </w:tc>
      </w:tr>
      <w:tr w:rsidTr="001975C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12707" w:rsidP="00712707">
            <w:pPr>
              <w:pStyle w:val="BodyText"/>
            </w:pPr>
            <w:r w:rsidRPr="00712707">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rPr>
                <w:rStyle w:val="SpecialBold"/>
              </w:rPr>
              <w:t>Operate engines, propulsion plant and auxiliary systems</w:t>
            </w:r>
          </w:p>
        </w:tc>
        <w:tc>
          <w:tcPr>
            <w:tcW w:w="584" w:type="dxa"/>
            <w:tcBorders>
              <w:top w:val="nil"/>
              <w:left w:val="nil"/>
              <w:bottom w:val="nil"/>
              <w:right w:val="nil"/>
            </w:tcBorders>
            <w:tcMar>
              <w:top w:w="0" w:type="dxa"/>
              <w:left w:w="62" w:type="dxa"/>
              <w:bottom w:w="0" w:type="dxa"/>
              <w:right w:w="62" w:type="dxa"/>
            </w:tcMar>
          </w:tcPr>
          <w:p w:rsidR="00000000" w:rsidRPr="00712707" w:rsidP="00712707">
            <w:pPr>
              <w:pStyle w:val="BodyText"/>
            </w:pPr>
            <w:r w:rsidRPr="00712707">
              <w:t>2.1</w:t>
            </w:r>
          </w:p>
        </w:tc>
        <w:tc>
          <w:tcPr>
            <w:tcW w:w="6864"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rPr>
                <w:rStyle w:val="BoldandItalics"/>
              </w:rPr>
              <w:t>Engines, propulsion plant and auxiliary systems</w:t>
            </w:r>
            <w:r w:rsidRPr="00712707">
              <w:t xml:space="preserve"> are operated within technical specifications</w:t>
            </w:r>
          </w:p>
        </w:tc>
      </w:tr>
      <w:tr w:rsidTr="001975C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t>2.2</w:t>
            </w:r>
          </w:p>
        </w:tc>
        <w:tc>
          <w:tcPr>
            <w:tcW w:w="6864"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t>Main propulsion plant and auxiliary systems are operated and monitored to ensure they are within</w:t>
            </w:r>
            <w:r w:rsidRPr="00712707">
              <w:t xml:space="preserve"> operating limits specified by vessel procedures and manufacturer recommendations</w:t>
            </w:r>
          </w:p>
        </w:tc>
      </w:tr>
      <w:tr w:rsidTr="001975C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712707" w:rsidP="00712707">
            <w:pPr>
              <w:pStyle w:val="BodyText"/>
            </w:pPr>
            <w:r w:rsidRPr="00712707">
              <w:t>2.3</w:t>
            </w:r>
          </w:p>
        </w:tc>
        <w:tc>
          <w:tcPr>
            <w:tcW w:w="6864"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rPr>
                <w:rStyle w:val="BoldandItalics"/>
              </w:rPr>
              <w:t>Environmental implications</w:t>
            </w:r>
            <w:r w:rsidRPr="00712707">
              <w:t xml:space="preserve"> associated with operation of engine, propulsion plant and auxiliary systems are identified and controlled where possible</w:t>
            </w:r>
          </w:p>
        </w:tc>
      </w:tr>
      <w:tr w:rsidTr="001975C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t>2.4</w:t>
            </w:r>
          </w:p>
        </w:tc>
        <w:tc>
          <w:tcPr>
            <w:tcW w:w="6864"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t>Accidental or operational discharge of</w:t>
            </w:r>
            <w:r w:rsidRPr="00712707">
              <w:rPr>
                <w:rStyle w:val="BoldandItalics"/>
              </w:rPr>
              <w:t xml:space="preserve"> polluting substances</w:t>
            </w:r>
            <w:r w:rsidRPr="00712707">
              <w:t xml:space="preserve"> are recorded according to regulatory requirements and organisational procedures</w:t>
            </w:r>
          </w:p>
        </w:tc>
      </w:tr>
      <w:tr w:rsidTr="001975C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t>2.5</w:t>
            </w:r>
          </w:p>
        </w:tc>
        <w:tc>
          <w:tcPr>
            <w:tcW w:w="6864"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t>Operational faults are recognised and rectified in accordance with manufacturer’s specifications and fault-fi</w:t>
            </w:r>
            <w:r w:rsidRPr="00712707">
              <w:t>nding procedures</w:t>
            </w:r>
          </w:p>
        </w:tc>
      </w:tr>
      <w:tr w:rsidTr="001975C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712707" w:rsidP="00712707">
            <w:pPr>
              <w:pStyle w:val="BodyText"/>
            </w:pPr>
            <w:r w:rsidRPr="00712707">
              <w:t>2.6</w:t>
            </w:r>
          </w:p>
        </w:tc>
        <w:tc>
          <w:tcPr>
            <w:tcW w:w="6864"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rPr>
                <w:rStyle w:val="BoldandItalics"/>
              </w:rPr>
              <w:t>Operational records</w:t>
            </w:r>
            <w:r w:rsidRPr="00712707">
              <w:t xml:space="preserve"> are kept according to regulatory requirements and organisational procedures</w:t>
            </w:r>
          </w:p>
        </w:tc>
      </w:tr>
      <w:tr w:rsidTr="001975C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t>2.7</w:t>
            </w:r>
          </w:p>
        </w:tc>
        <w:tc>
          <w:tcPr>
            <w:tcW w:w="6864"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t xml:space="preserve">Appropriate action is taken when a malfunction or </w:t>
            </w:r>
            <w:r w:rsidRPr="00712707">
              <w:rPr>
                <w:rStyle w:val="BoldandItalics"/>
              </w:rPr>
              <w:t xml:space="preserve">emergency </w:t>
            </w:r>
            <w:r w:rsidRPr="00712707">
              <w:t>occurs</w:t>
            </w:r>
          </w:p>
        </w:tc>
      </w:tr>
      <w:tr w:rsidTr="001975C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12707" w:rsidP="00712707">
            <w:pPr>
              <w:pStyle w:val="BodyText"/>
            </w:pPr>
            <w:r w:rsidRPr="00712707">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rPr>
                <w:rStyle w:val="SpecialBold"/>
              </w:rPr>
              <w:t>Secure vessel after voyage</w:t>
            </w:r>
          </w:p>
        </w:tc>
        <w:tc>
          <w:tcPr>
            <w:tcW w:w="584"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t>3.1</w:t>
            </w:r>
          </w:p>
        </w:tc>
        <w:tc>
          <w:tcPr>
            <w:tcW w:w="6864"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t>Engines, propulsion plant and auxiliary systems are shut-down according to manufacturer specifications and vessel procedures</w:t>
            </w:r>
          </w:p>
        </w:tc>
      </w:tr>
      <w:tr w:rsidTr="001975C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t>3.2</w:t>
            </w:r>
          </w:p>
        </w:tc>
        <w:tc>
          <w:tcPr>
            <w:tcW w:w="6864" w:type="dxa"/>
            <w:tcBorders>
              <w:top w:val="nil"/>
              <w:left w:val="nil"/>
              <w:bottom w:val="nil"/>
              <w:right w:val="nil"/>
            </w:tcBorders>
            <w:tcMar>
              <w:top w:w="0" w:type="dxa"/>
              <w:left w:w="62" w:type="dxa"/>
              <w:bottom w:w="0" w:type="dxa"/>
              <w:right w:w="62" w:type="dxa"/>
            </w:tcMar>
          </w:tcPr>
          <w:p w:rsidR="00000000" w:rsidRPr="00712707" w:rsidP="00712707">
            <w:pPr>
              <w:pStyle w:val="BodyText"/>
            </w:pPr>
            <w:r w:rsidRPr="00712707">
              <w:t xml:space="preserve">All damage and repairs requiring action are recorded according to organisational procedures </w:t>
            </w:r>
          </w:p>
        </w:tc>
      </w:tr>
    </w:tbl>
    <w:p w:rsidR="00000000" w:rsidRPr="00712707" w:rsidP="00712707">
      <w:pPr>
        <w:pStyle w:val="BodyText"/>
      </w:pPr>
    </w:p>
    <w:p w:rsidR="00000000" w:rsidRPr="00712707" w:rsidP="00712707">
      <w:pPr>
        <w:pStyle w:val="AllowPageBreak"/>
      </w:pPr>
    </w:p>
    <w:p w:rsidR="00000000" w:rsidRPr="00712707" w:rsidP="00712707">
      <w:pPr>
        <w:pStyle w:val="Heading1"/>
      </w:pPr>
      <w:bookmarkStart w:id="9" w:name="O_536561"/>
      <w:bookmarkEnd w:id="9"/>
      <w:r w:rsidRPr="00712707">
        <w:t>Required Skills and Knowledge</w:t>
      </w:r>
    </w:p>
    <w:tbl>
      <w:tblPr>
        <w:tblW w:w="9640" w:type="dxa"/>
        <w:tblLayout w:type="fixed"/>
        <w:tblCellMar>
          <w:left w:w="62" w:type="dxa"/>
          <w:right w:w="62" w:type="dxa"/>
        </w:tblCellMar>
        <w:tblLook w:val="0000"/>
      </w:tblPr>
      <w:tblGrid>
        <w:gridCol w:w="9640"/>
      </w:tblGrid>
      <w:tr w:rsidTr="00712707">
        <w:tblPrEx>
          <w:tblW w:w="9640" w:type="dxa"/>
          <w:tblLayout w:type="fixed"/>
          <w:tblCellMar>
            <w:left w:w="62" w:type="dxa"/>
            <w:right w:w="62" w:type="dxa"/>
          </w:tblCellMar>
          <w:tblLook w:val="0000"/>
        </w:tblPrEx>
        <w:trPr>
          <w:trHeight w:val="267"/>
        </w:trPr>
        <w:tc>
          <w:tcPr>
            <w:tcW w:w="9640"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t>This section describes the skills and knowledge required for this unit.</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rPr>
                <w:rStyle w:val="SpecialBold"/>
              </w:rPr>
              <w:t>Required Skills:</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12707" w:rsidP="00712707">
            <w:pPr>
              <w:pStyle w:val="ListBullet"/>
            </w:pPr>
            <w:r w:rsidRPr="00712707">
              <w:t>Explain:</w:t>
            </w:r>
          </w:p>
          <w:p w:rsidR="00000000" w:rsidRPr="00712707" w:rsidP="00712707">
            <w:pPr>
              <w:pStyle w:val="ListBullet2"/>
            </w:pPr>
            <w:r w:rsidRPr="00712707">
              <w:t xml:space="preserve">method of propulsion plant reversal </w:t>
            </w:r>
          </w:p>
          <w:p w:rsidR="00000000" w:rsidRPr="00712707" w:rsidP="00712707">
            <w:pPr>
              <w:pStyle w:val="ListBullet2"/>
            </w:pPr>
            <w:r w:rsidRPr="00712707">
              <w:t>operation of marine gearboxes</w:t>
            </w:r>
          </w:p>
          <w:p w:rsidR="00000000" w:rsidP="00712707">
            <w:pPr>
              <w:pStyle w:val="ListBullet2"/>
              <w:rPr>
                <w:lang w:val="en-NZ"/>
              </w:rPr>
            </w:pPr>
            <w:r w:rsidRPr="00712707">
              <w:t>two- and four-stroke cycles of operation</w:t>
            </w:r>
          </w:p>
        </w:tc>
      </w:tr>
      <w:tr w:rsidTr="00712707">
        <w:tblPrEx>
          <w:tblW w:w="9640" w:type="dxa"/>
          <w:tblLayout w:type="fixed"/>
          <w:tblCellMar>
            <w:left w:w="62" w:type="dxa"/>
            <w:right w:w="62" w:type="dxa"/>
          </w:tblCellMar>
          <w:tblLook w:val="0000"/>
        </w:tblPrEx>
        <w:trPr>
          <w:trHeight w:val="223"/>
        </w:trPr>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Identify constructional parts of marine internal combustion engines</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Keep running and maintenance logs</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12707" w:rsidP="00712707">
            <w:pPr>
              <w:pStyle w:val="ListBullet"/>
            </w:pPr>
            <w:r w:rsidRPr="00712707">
              <w:t>Manage:</w:t>
            </w:r>
          </w:p>
          <w:p w:rsidR="00000000" w:rsidRPr="00712707" w:rsidP="00712707">
            <w:pPr>
              <w:pStyle w:val="ListBullet2"/>
            </w:pPr>
            <w:r w:rsidRPr="00712707">
              <w:t>lubricating systems and prevent pollution of marine environment</w:t>
            </w:r>
          </w:p>
          <w:p w:rsidR="00000000" w:rsidRPr="00712707" w:rsidP="00712707">
            <w:pPr>
              <w:pStyle w:val="ListBullet2"/>
            </w:pPr>
            <w:r w:rsidRPr="00712707">
              <w:t>cooling systems</w:t>
            </w:r>
          </w:p>
          <w:p w:rsidR="00000000" w:rsidRPr="00712707" w:rsidP="00712707">
            <w:pPr>
              <w:pStyle w:val="ListBullet2"/>
            </w:pPr>
            <w:r w:rsidRPr="00712707">
              <w:t>pumping systems and prevent pollution of marine environment</w:t>
            </w:r>
          </w:p>
          <w:p w:rsidR="00000000" w:rsidP="00712707">
            <w:pPr>
              <w:pStyle w:val="ListBullet2"/>
              <w:rPr>
                <w:lang w:val="en-NZ"/>
              </w:rPr>
            </w:pPr>
            <w:r w:rsidRPr="00712707">
              <w:t>stowage of flammable/explosive materials and refrigerant gases</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12707" w:rsidP="00712707">
            <w:pPr>
              <w:pStyle w:val="ListBullet"/>
            </w:pPr>
            <w:r w:rsidRPr="00712707">
              <w:t>Operate:</w:t>
            </w:r>
          </w:p>
          <w:p w:rsidR="00000000" w:rsidRPr="00712707" w:rsidP="00712707">
            <w:pPr>
              <w:pStyle w:val="ListBullet2"/>
            </w:pPr>
            <w:r w:rsidRPr="00712707">
              <w:t>refrigeration system</w:t>
            </w:r>
          </w:p>
          <w:p w:rsidR="00000000" w:rsidP="00712707">
            <w:pPr>
              <w:pStyle w:val="ListBullet2"/>
              <w:rPr>
                <w:lang w:val="en-NZ"/>
              </w:rPr>
            </w:pPr>
            <w:r w:rsidRPr="00712707">
              <w:t>marine internal combustion engines within technical specifications</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Operate main propulsion plant and auxiliary systems within recommended parameters</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Operate and maintain steering systems</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Prepare vessel and machinery for sea</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Recognise and rectify operational faults</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12707" w:rsidP="00712707">
            <w:pPr>
              <w:pStyle w:val="ListBullet"/>
            </w:pPr>
            <w:r w:rsidRPr="00712707">
              <w:t>Secure vessel and machinery after voyage</w:t>
            </w:r>
          </w:p>
        </w:tc>
      </w:tr>
    </w:tbl>
    <w:p w:rsidR="00000000" w:rsidRPr="00712707" w:rsidP="00712707">
      <w:pPr>
        <w:pStyle w:val="BodyText"/>
      </w:pPr>
    </w:p>
    <w:tbl>
      <w:tblPr>
        <w:tblW w:w="9640" w:type="dxa"/>
        <w:tblLayout w:type="fixed"/>
        <w:tblCellMar>
          <w:left w:w="62" w:type="dxa"/>
          <w:right w:w="62" w:type="dxa"/>
        </w:tblCellMar>
        <w:tblLook w:val="0000"/>
      </w:tblPr>
      <w:tblGrid>
        <w:gridCol w:w="9640"/>
      </w:tblGrid>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rPr>
                <w:rStyle w:val="SpecialBold"/>
              </w:rPr>
              <w:t>Required Knowledge:</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Bilge pumping for vessels with several compartments</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12707" w:rsidP="00712707">
            <w:pPr>
              <w:pStyle w:val="ListBullet"/>
            </w:pPr>
            <w:r w:rsidRPr="00712707">
              <w:t>Common faults:</w:t>
            </w:r>
          </w:p>
          <w:p w:rsidR="00000000" w:rsidRPr="00712707" w:rsidP="00712707">
            <w:pPr>
              <w:pStyle w:val="ListBullet2"/>
            </w:pPr>
            <w:r w:rsidRPr="00712707">
              <w:t>in steering gear</w:t>
            </w:r>
          </w:p>
          <w:p w:rsidR="00000000" w:rsidP="00712707">
            <w:pPr>
              <w:pStyle w:val="ListBullet2"/>
              <w:rPr>
                <w:lang w:val="en-NZ"/>
              </w:rPr>
            </w:pPr>
            <w:r w:rsidRPr="00712707">
              <w:t>of deck machinery</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Construction of heat exchangers</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Controllable pitch propellers (CPP) construction and operation</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Coolant circulation and thermostats</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Correct pressure and flow conditions</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Corrosion prevention</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12707" w:rsidP="00712707">
            <w:pPr>
              <w:pStyle w:val="ListBullet"/>
            </w:pPr>
            <w:r w:rsidRPr="00712707">
              <w:t>Cross connections between:</w:t>
            </w:r>
          </w:p>
          <w:p w:rsidR="00000000" w:rsidRPr="00712707" w:rsidP="00712707">
            <w:pPr>
              <w:pStyle w:val="ListBullet2"/>
            </w:pPr>
            <w:r w:rsidRPr="00712707">
              <w:t>bilge/ballast/seawater systems and fire main</w:t>
            </w:r>
          </w:p>
          <w:p w:rsidR="00000000" w:rsidP="00712707">
            <w:pPr>
              <w:pStyle w:val="ListBullet2"/>
              <w:rPr>
                <w:lang w:val="en-NZ"/>
              </w:rPr>
            </w:pPr>
            <w:r w:rsidRPr="00712707">
              <w:t>seawater systems and bilge systems</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12707" w:rsidP="00712707">
            <w:pPr>
              <w:pStyle w:val="ListBullet"/>
            </w:pPr>
            <w:r w:rsidRPr="00712707">
              <w:t>Dangers associated with:</w:t>
            </w:r>
          </w:p>
          <w:p w:rsidR="00000000" w:rsidRPr="00712707" w:rsidP="00712707">
            <w:pPr>
              <w:pStyle w:val="ListBullet2"/>
            </w:pPr>
            <w:r w:rsidRPr="00712707">
              <w:t>back-flooding and methods to prevent back-flooding</w:t>
            </w:r>
          </w:p>
          <w:p w:rsidR="00000000" w:rsidRPr="00712707" w:rsidP="00712707">
            <w:pPr>
              <w:pStyle w:val="ListBullet2"/>
            </w:pPr>
            <w:r w:rsidRPr="00712707">
              <w:t>LPG and petrol vapours</w:t>
            </w:r>
          </w:p>
          <w:p w:rsidR="00000000" w:rsidP="00712707">
            <w:pPr>
              <w:pStyle w:val="ListBullet2"/>
              <w:rPr>
                <w:lang w:val="en-NZ"/>
              </w:rPr>
            </w:pPr>
            <w:r w:rsidRPr="00712707">
              <w:t>refrigerant gas leaks in confined spaces</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12707" w:rsidP="00712707">
            <w:pPr>
              <w:pStyle w:val="ListBullet"/>
            </w:pPr>
            <w:r w:rsidRPr="00712707">
              <w:t>Diesel engine:</w:t>
            </w:r>
          </w:p>
          <w:p w:rsidR="00000000" w:rsidRPr="00712707" w:rsidP="00712707">
            <w:pPr>
              <w:pStyle w:val="ListBullet2"/>
            </w:pPr>
            <w:r w:rsidRPr="00712707">
              <w:t>construction</w:t>
            </w:r>
          </w:p>
          <w:p w:rsidR="00000000" w:rsidRPr="00712707" w:rsidP="00712707">
            <w:pPr>
              <w:pStyle w:val="ListBullet2"/>
            </w:pPr>
            <w:r w:rsidRPr="00712707">
              <w:t>operation</w:t>
            </w:r>
          </w:p>
          <w:p w:rsidR="00000000" w:rsidP="00712707">
            <w:pPr>
              <w:pStyle w:val="ListBullet2"/>
              <w:rPr>
                <w:lang w:val="en-NZ"/>
              </w:rPr>
            </w:pPr>
            <w:r w:rsidRPr="00712707">
              <w:t>fuel injection, timing and control equipment</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Dry sump and wet sump lubrication systems and components</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Electrohydraulic steering gear</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Emergency steering</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12707" w:rsidP="00712707">
            <w:pPr>
              <w:pStyle w:val="ListBullet"/>
            </w:pPr>
            <w:r w:rsidRPr="00712707">
              <w:t>Engine:</w:t>
            </w:r>
          </w:p>
          <w:p w:rsidR="00000000" w:rsidRPr="00712707" w:rsidP="00712707">
            <w:pPr>
              <w:pStyle w:val="ListBullet2"/>
            </w:pPr>
            <w:r w:rsidRPr="00712707">
              <w:t>protection arrangements</w:t>
            </w:r>
          </w:p>
          <w:p w:rsidR="00000000" w:rsidRPr="00712707" w:rsidP="00712707">
            <w:pPr>
              <w:pStyle w:val="ListBullet2"/>
            </w:pPr>
            <w:r w:rsidRPr="00712707">
              <w:t>performance and reasons for lack of performance</w:t>
            </w:r>
          </w:p>
          <w:p w:rsidR="00000000" w:rsidP="00712707">
            <w:pPr>
              <w:pStyle w:val="ListBullet2"/>
              <w:rPr>
                <w:lang w:val="en-NZ"/>
              </w:rPr>
            </w:pPr>
            <w:r w:rsidRPr="00712707">
              <w:t>watchkeeping duties</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Environmental responsibilities , regulations and legislative requirements</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Gearbox fault identification and emergency operation</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Governor operation</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Hazards of refrigerants</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Heat exchanger, keel cooler and raw water cooling systems</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12707" w:rsidP="00712707">
            <w:pPr>
              <w:pStyle w:val="ListBullet"/>
            </w:pPr>
            <w:r w:rsidRPr="00712707">
              <w:t>Lubrication and cooling:</w:t>
            </w:r>
          </w:p>
          <w:p w:rsidR="00000000" w:rsidRPr="00712707" w:rsidP="00712707">
            <w:pPr>
              <w:pStyle w:val="ListBullet2"/>
            </w:pPr>
            <w:r w:rsidRPr="00712707">
              <w:t>of gearboxes</w:t>
            </w:r>
          </w:p>
          <w:p w:rsidR="00000000" w:rsidP="00712707">
            <w:pPr>
              <w:pStyle w:val="ListBullet2"/>
              <w:rPr>
                <w:lang w:val="en-NZ"/>
              </w:rPr>
            </w:pPr>
            <w:r w:rsidRPr="00712707">
              <w:t>effects</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Lubricating oil system faults</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Method of propulsion plant reversal including CPP</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Preparations and checks necessary before sailing</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Pump capabilities and requirements for priming</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Refrigeration system and components</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Reverse/reduction gearbox operation</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Routine for operating and maintaining steering systems</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Seawater circulating systems</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Securing vessel after voyage</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Ship side va</w:t>
            </w:r>
            <w:r w:rsidRPr="00712707">
              <w:t>lves</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Shutting down machinery</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Spares and stores required for proposed voyage</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Storage of LPG cylinders</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12707" w:rsidP="00712707">
            <w:pPr>
              <w:pStyle w:val="ListBullet"/>
            </w:pPr>
            <w:r w:rsidRPr="00712707">
              <w:t>Testing:</w:t>
            </w:r>
          </w:p>
          <w:p w:rsidR="00000000" w:rsidRPr="00712707" w:rsidP="00712707">
            <w:pPr>
              <w:pStyle w:val="ListBullet2"/>
            </w:pPr>
            <w:r w:rsidRPr="00712707">
              <w:t>steering gear</w:t>
            </w:r>
          </w:p>
          <w:p w:rsidR="00000000" w:rsidP="00712707">
            <w:pPr>
              <w:pStyle w:val="ListBullet2"/>
              <w:rPr>
                <w:lang w:val="en-NZ"/>
              </w:rPr>
            </w:pPr>
            <w:r w:rsidRPr="00712707">
              <w:t>LPG detectors</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Turbo charging and supercharging arrangements</w:t>
            </w:r>
          </w:p>
        </w:tc>
      </w:tr>
      <w:tr w:rsidTr="00712707">
        <w:tblPrEx>
          <w:tblW w:w="9640" w:type="dxa"/>
          <w:tblLayout w:type="fixed"/>
          <w:tblCellMar>
            <w:left w:w="62" w:type="dxa"/>
            <w:right w:w="62" w:type="dxa"/>
          </w:tblCellMar>
          <w:tblLook w:val="0000"/>
        </w:tblPrEx>
        <w:trPr>
          <w:trHeight w:val="238"/>
        </w:trPr>
        <w:tc>
          <w:tcPr>
            <w:tcW w:w="9640" w:type="dxa"/>
            <w:tcBorders>
              <w:top w:val="nil"/>
              <w:left w:val="nil"/>
              <w:bottom w:val="nil"/>
              <w:right w:val="nil"/>
            </w:tcBorders>
            <w:tcMar>
              <w:top w:w="0" w:type="dxa"/>
              <w:left w:w="62" w:type="dxa"/>
              <w:bottom w:w="0" w:type="dxa"/>
              <w:right w:w="62" w:type="dxa"/>
            </w:tcMar>
          </w:tcPr>
          <w:p w:rsidR="00000000" w:rsidP="00712707">
            <w:pPr>
              <w:pStyle w:val="ListBullet"/>
              <w:rPr>
                <w:lang w:val="en-NZ"/>
              </w:rPr>
            </w:pPr>
            <w:r w:rsidRPr="00712707">
              <w:t>Types and operation of deck machinery including basic hydraulic systems</w:t>
            </w:r>
          </w:p>
        </w:tc>
      </w:tr>
      <w:tr w:rsidTr="007127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12707" w:rsidP="00712707">
            <w:pPr>
              <w:pStyle w:val="ListBullet"/>
            </w:pPr>
            <w:r w:rsidRPr="00712707">
              <w:t>Types of:</w:t>
            </w:r>
          </w:p>
          <w:p w:rsidR="00000000" w:rsidRPr="00712707" w:rsidP="00712707">
            <w:pPr>
              <w:pStyle w:val="ListBullet2"/>
            </w:pPr>
            <w:r w:rsidRPr="00712707">
              <w:t>gear trains</w:t>
            </w:r>
          </w:p>
          <w:p w:rsidR="00000000" w:rsidRPr="00712707" w:rsidP="00712707">
            <w:pPr>
              <w:pStyle w:val="ListBullet2"/>
            </w:pPr>
            <w:r w:rsidRPr="00712707">
              <w:t>pumps and safety devices</w:t>
            </w:r>
          </w:p>
        </w:tc>
      </w:tr>
    </w:tbl>
    <w:p w:rsidR="00000000" w:rsidRPr="00712707" w:rsidP="00712707">
      <w:pPr>
        <w:pStyle w:val="BodyText"/>
      </w:pPr>
    </w:p>
    <w:p w:rsidR="00000000" w:rsidRPr="00712707" w:rsidP="00712707">
      <w:pPr>
        <w:pStyle w:val="AllowPageBreak"/>
      </w:pPr>
    </w:p>
    <w:p w:rsidR="00000000" w:rsidRPr="00712707" w:rsidP="00712707">
      <w:pPr>
        <w:pStyle w:val="Heading1"/>
      </w:pPr>
      <w:bookmarkStart w:id="10" w:name="O_536560"/>
      <w:bookmarkEnd w:id="10"/>
      <w:r w:rsidRPr="00712707">
        <w:t>Evidence Guide</w:t>
      </w:r>
    </w:p>
    <w:tbl>
      <w:tblPr>
        <w:tblW w:w="9499" w:type="dxa"/>
        <w:tblLayout w:type="fixed"/>
        <w:tblCellMar>
          <w:left w:w="62" w:type="dxa"/>
          <w:right w:w="62" w:type="dxa"/>
        </w:tblCellMar>
        <w:tblLook w:val="0000"/>
      </w:tblPr>
      <w:tblGrid>
        <w:gridCol w:w="3340"/>
        <w:gridCol w:w="6159"/>
      </w:tblGrid>
      <w:tr w:rsidTr="0071270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t>The evidence guide provides advice on assessment and must be read in conjunction with the performance criteria, the required skills and knowledge, the range statement and the Assessment Guidelines for the Training Package.</w:t>
            </w:r>
          </w:p>
        </w:tc>
      </w:tr>
      <w:tr w:rsidTr="00712707">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rPr>
                <w:rStyle w:val="SpecialBold"/>
              </w:rPr>
              <w:t>Critic</w:t>
            </w:r>
            <w:r w:rsidRPr="00712707">
              <w:rPr>
                <w:rStyle w:val="SpecialBold"/>
              </w:rPr>
              <w:t>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712707" w:rsidP="00712707">
            <w:pPr>
              <w:pStyle w:val="BodyText"/>
            </w:pPr>
            <w:r w:rsidRPr="00712707">
              <w:t>The evidence required to demonstrate competence in this unit must be relevant to and satisfy all of the requirements of the Elements, Performance Criteria, Required Skil</w:t>
            </w:r>
            <w:r w:rsidRPr="00712707">
              <w:t>ls, Required Knowledge and include:</w:t>
            </w:r>
          </w:p>
          <w:p w:rsidR="00000000" w:rsidRPr="00712707" w:rsidP="00712707">
            <w:pPr>
              <w:pStyle w:val="ListBullet"/>
            </w:pPr>
            <w:r w:rsidRPr="00712707">
              <w:t>being aware of own ability and limits to rectify irregularities and faults</w:t>
            </w:r>
          </w:p>
          <w:p w:rsidR="00000000" w:rsidP="00712707">
            <w:pPr>
              <w:pStyle w:val="ListBullet"/>
              <w:rPr>
                <w:lang w:val="en-NZ"/>
              </w:rPr>
            </w:pPr>
            <w:r w:rsidRPr="00712707">
              <w:t>implementing workplace environmental and waste management procedures correctly.</w:t>
            </w:r>
          </w:p>
        </w:tc>
      </w:tr>
      <w:tr w:rsidTr="00712707">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712707" w:rsidP="00712707">
            <w:pPr>
              <w:pStyle w:val="BodyText"/>
            </w:pPr>
            <w:r w:rsidRPr="00712707">
              <w:t>Performance is</w:t>
            </w:r>
            <w:r w:rsidRPr="00712707">
              <w:t xml:space="preserve"> demonstrated consistently over time and in a suitable range of contexts.</w:t>
            </w:r>
          </w:p>
          <w:p w:rsidR="00000000" w:rsidRPr="00712707" w:rsidP="00712707">
            <w:pPr>
              <w:pStyle w:val="BodyText"/>
            </w:pPr>
            <w:r w:rsidRPr="00712707">
              <w:t>Resources for assessment include access to:</w:t>
            </w:r>
          </w:p>
          <w:p w:rsidR="00000000" w:rsidRPr="00712707" w:rsidP="00712707">
            <w:pPr>
              <w:pStyle w:val="ListBullet"/>
            </w:pPr>
            <w:r w:rsidRPr="00712707">
              <w:t xml:space="preserve">industry-approved marine operations site where operating marine internal combustion engines, propulsion plant and auxiliary systems on a </w:t>
            </w:r>
            <w:r w:rsidRPr="00712707">
              <w:t>vessel up to 1500 kW can be conducted</w:t>
            </w:r>
          </w:p>
          <w:p w:rsidR="00000000" w:rsidRPr="00712707" w:rsidP="00712707">
            <w:pPr>
              <w:pStyle w:val="ListBullet"/>
            </w:pPr>
            <w:r w:rsidRPr="00712707">
              <w:t>tools, equipment and personal protective equipment currently used in industry</w:t>
            </w:r>
          </w:p>
          <w:p w:rsidR="00000000" w:rsidRPr="00712707" w:rsidP="00712707">
            <w:pPr>
              <w:pStyle w:val="ListBullet"/>
            </w:pPr>
            <w:r w:rsidRPr="00712707">
              <w:t>relevant regulatory and equipment documentation that impacts on work activities</w:t>
            </w:r>
          </w:p>
          <w:p w:rsidR="00000000" w:rsidRPr="00712707" w:rsidP="00712707">
            <w:pPr>
              <w:pStyle w:val="ListBullet"/>
            </w:pPr>
            <w:r w:rsidRPr="00712707">
              <w:t>range of relevant exercises, case studies and/or other simulated practical and knowledge assessments</w:t>
            </w:r>
          </w:p>
          <w:p w:rsidR="00000000" w:rsidRPr="00712707" w:rsidP="00712707">
            <w:pPr>
              <w:pStyle w:val="ListBullet"/>
            </w:pPr>
            <w:r w:rsidRPr="00712707">
              <w:t>appropriate range of relevant operational situations in the workplace.</w:t>
            </w:r>
          </w:p>
          <w:p w:rsidR="00000000" w:rsidRPr="00712707" w:rsidP="00712707">
            <w:pPr>
              <w:pStyle w:val="BodyText"/>
            </w:pPr>
            <w:r w:rsidRPr="00712707">
              <w:t>In both real and simulated environments, access is required to:</w:t>
            </w:r>
          </w:p>
          <w:p w:rsidR="00000000" w:rsidRPr="00712707" w:rsidP="00712707">
            <w:pPr>
              <w:pStyle w:val="ListBullet"/>
            </w:pPr>
            <w:r w:rsidRPr="00712707">
              <w:t>relevant and approp</w:t>
            </w:r>
            <w:r w:rsidRPr="00712707">
              <w:t>riate materials and equipment</w:t>
            </w:r>
          </w:p>
          <w:p w:rsidR="00000000" w:rsidP="00712707">
            <w:pPr>
              <w:pStyle w:val="ListBullet"/>
              <w:rPr>
                <w:lang w:val="en-NZ"/>
              </w:rPr>
            </w:pPr>
            <w:r w:rsidRPr="00712707">
              <w:t>applicable documentation including workplace procedures, regulations, codes of practice and operation manuals.</w:t>
            </w:r>
          </w:p>
        </w:tc>
      </w:tr>
      <w:tr w:rsidTr="00712707">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712707" w:rsidP="00712707">
            <w:pPr>
              <w:pStyle w:val="BodyText"/>
            </w:pPr>
            <w:r w:rsidRPr="00712707">
              <w:t>Practical assessment must occur in an:</w:t>
            </w:r>
          </w:p>
          <w:p w:rsidR="00000000" w:rsidRPr="00712707" w:rsidP="00712707">
            <w:pPr>
              <w:pStyle w:val="ListBullet"/>
            </w:pPr>
            <w:r w:rsidRPr="00712707">
              <w:t>appropriately simulated workplace environment and/or</w:t>
            </w:r>
          </w:p>
          <w:p w:rsidR="00000000" w:rsidRPr="00712707" w:rsidP="00712707">
            <w:pPr>
              <w:pStyle w:val="ListBullet"/>
            </w:pPr>
            <w:r w:rsidRPr="00712707">
              <w:t>appropriate range of situations in the workplace.</w:t>
            </w:r>
          </w:p>
          <w:p w:rsidR="00000000" w:rsidRPr="00712707" w:rsidP="00712707">
            <w:pPr>
              <w:pStyle w:val="BodyText"/>
            </w:pPr>
            <w:r w:rsidRPr="00712707">
              <w:t>A range of assessment methods should be used to assess practical skills and knowledge. The following examples are appropriate to this unit:</w:t>
            </w:r>
          </w:p>
          <w:p w:rsidR="00000000" w:rsidRPr="00712707" w:rsidP="00712707">
            <w:pPr>
              <w:pStyle w:val="ListBullet"/>
            </w:pPr>
            <w:r w:rsidRPr="00712707">
              <w:t>direct observation of the candidate operating marine internal com</w:t>
            </w:r>
            <w:r w:rsidRPr="00712707">
              <w:t>bustion engines, propulsion plant and auxiliary systems on a vessel up to1500 kW</w:t>
            </w:r>
          </w:p>
          <w:p w:rsidR="00000000" w:rsidP="00712707">
            <w:pPr>
              <w:pStyle w:val="ListBullet"/>
              <w:rPr>
                <w:lang w:val="en-NZ"/>
              </w:rPr>
            </w:pPr>
            <w:r w:rsidRPr="00712707">
              <w:t>direct observation of the candidate applying relevant WHS/OHS requirements and work practices.</w:t>
            </w:r>
          </w:p>
        </w:tc>
      </w:tr>
      <w:tr w:rsidTr="00712707">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712707" w:rsidP="00712707">
            <w:pPr>
              <w:pStyle w:val="BodyText"/>
            </w:pPr>
            <w:r w:rsidRPr="00712707">
              <w:t>Holistic assessment with other units relevant to the industry sector, workplace and job role is recommended.</w:t>
            </w:r>
          </w:p>
          <w:p w:rsidR="00000000" w:rsidRPr="00712707" w:rsidP="00712707">
            <w:pPr>
              <w:pStyle w:val="BodyText"/>
            </w:pPr>
            <w:r w:rsidRPr="00712707">
              <w:t>In all cases where practical assessment is used it should be combined with targeted questioning to assess Required Knowledge.</w:t>
            </w:r>
          </w:p>
          <w:p w:rsidR="00000000" w:rsidRPr="00712707" w:rsidP="00712707">
            <w:pPr>
              <w:pStyle w:val="BodyText"/>
            </w:pPr>
            <w:r w:rsidRPr="00712707">
              <w:t xml:space="preserve">Assessment processes </w:t>
            </w:r>
            <w:r w:rsidRPr="00712707">
              <w:t>and techniques must be appropriate to the language and literacy requirements of the work being performed and the capacity of the candidate.</w:t>
            </w:r>
          </w:p>
        </w:tc>
      </w:tr>
    </w:tbl>
    <w:p w:rsidR="00000000" w:rsidRPr="00712707" w:rsidP="00712707">
      <w:pPr>
        <w:pStyle w:val="BodyText"/>
      </w:pPr>
    </w:p>
    <w:p w:rsidR="00000000" w:rsidRPr="00712707" w:rsidP="00712707">
      <w:pPr>
        <w:pStyle w:val="AllowPageBreak"/>
      </w:pPr>
    </w:p>
    <w:p w:rsidR="00000000" w:rsidRPr="00712707" w:rsidP="00712707">
      <w:pPr>
        <w:pStyle w:val="Heading1"/>
      </w:pPr>
      <w:bookmarkStart w:id="11" w:name="O_536559"/>
      <w:bookmarkEnd w:id="11"/>
      <w:r w:rsidRPr="00712707">
        <w:t>Range Statement</w:t>
      </w:r>
    </w:p>
    <w:tbl>
      <w:tblPr>
        <w:tblW w:w="0" w:type="auto"/>
        <w:tblCellMar>
          <w:left w:w="62" w:type="dxa"/>
          <w:right w:w="62" w:type="dxa"/>
        </w:tblCellMar>
        <w:tblLook w:val="0000"/>
      </w:tblPr>
      <w:tblGrid>
        <w:gridCol w:w="2586"/>
        <w:gridCol w:w="6610"/>
      </w:tblGrid>
      <w:tr w:rsidTr="001975C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t>The range statement relates to the unit of competency as a whole. It allows for d</w:t>
            </w:r>
            <w:r w:rsidRPr="00712707">
              <w:t>ifferent work environments and situations that may affect performance. Bold italicised wording, if used in the performance criteria, is detailed below.</w:t>
            </w:r>
          </w:p>
        </w:tc>
      </w:tr>
      <w:tr w:rsidTr="001975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t>Spares and stores may include:</w:t>
            </w:r>
          </w:p>
        </w:tc>
        <w:tc>
          <w:tcPr>
            <w:tcW w:w="0" w:type="auto"/>
            <w:tcBorders>
              <w:top w:val="nil"/>
              <w:left w:val="nil"/>
              <w:bottom w:val="nil"/>
              <w:right w:val="nil"/>
            </w:tcBorders>
            <w:tcMar>
              <w:top w:w="0" w:type="dxa"/>
              <w:left w:w="62" w:type="dxa"/>
              <w:bottom w:w="0" w:type="dxa"/>
              <w:right w:w="62" w:type="dxa"/>
            </w:tcMar>
          </w:tcPr>
          <w:p w:rsidR="00000000" w:rsidRPr="00712707" w:rsidP="00712707">
            <w:pPr>
              <w:pStyle w:val="ListBullet"/>
            </w:pPr>
            <w:r w:rsidRPr="00712707">
              <w:t>Cleaning products and materials</w:t>
            </w:r>
          </w:p>
          <w:p w:rsidR="00000000" w:rsidRPr="00712707" w:rsidP="00712707">
            <w:pPr>
              <w:pStyle w:val="ListBullet"/>
            </w:pPr>
            <w:r w:rsidRPr="00712707">
              <w:t>Grease</w:t>
            </w:r>
          </w:p>
          <w:p w:rsidR="00000000" w:rsidRPr="00712707" w:rsidP="00712707">
            <w:pPr>
              <w:pStyle w:val="ListBullet"/>
            </w:pPr>
            <w:r w:rsidRPr="00712707">
              <w:t>LPG</w:t>
            </w:r>
          </w:p>
          <w:p w:rsidR="00000000" w:rsidRPr="00712707" w:rsidP="00712707">
            <w:pPr>
              <w:pStyle w:val="ListBullet"/>
            </w:pPr>
            <w:r w:rsidRPr="00712707">
              <w:t>Machinery spare parts</w:t>
            </w:r>
          </w:p>
          <w:p w:rsidR="00000000" w:rsidRPr="00712707" w:rsidP="00712707">
            <w:pPr>
              <w:pStyle w:val="ListBullet"/>
            </w:pPr>
            <w:r w:rsidRPr="00712707">
              <w:t>Oils</w:t>
            </w:r>
          </w:p>
          <w:p w:rsidR="00000000" w:rsidRPr="00712707" w:rsidP="00712707">
            <w:pPr>
              <w:pStyle w:val="ListBullet"/>
            </w:pPr>
            <w:r w:rsidRPr="00712707">
              <w:t>Paint</w:t>
            </w:r>
          </w:p>
          <w:p w:rsidR="00000000" w:rsidRPr="00712707" w:rsidP="00712707">
            <w:pPr>
              <w:pStyle w:val="ListBullet"/>
            </w:pPr>
            <w:r w:rsidRPr="00712707">
              <w:t>Refrigeration gas</w:t>
            </w:r>
          </w:p>
          <w:p w:rsidR="00000000" w:rsidP="00712707">
            <w:pPr>
              <w:pStyle w:val="ListBullet"/>
              <w:rPr>
                <w:lang w:val="en-NZ"/>
              </w:rPr>
            </w:pPr>
            <w:r w:rsidRPr="00712707">
              <w:t>Tools, hand and power</w:t>
            </w:r>
          </w:p>
        </w:tc>
      </w:tr>
      <w:tr w:rsidTr="001975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t>Flammable/explosive materials must include:</w:t>
            </w:r>
          </w:p>
        </w:tc>
        <w:tc>
          <w:tcPr>
            <w:tcW w:w="0" w:type="auto"/>
            <w:tcBorders>
              <w:top w:val="nil"/>
              <w:left w:val="nil"/>
              <w:bottom w:val="nil"/>
              <w:right w:val="nil"/>
            </w:tcBorders>
            <w:tcMar>
              <w:top w:w="0" w:type="dxa"/>
              <w:left w:w="62" w:type="dxa"/>
              <w:bottom w:w="0" w:type="dxa"/>
              <w:right w:w="62" w:type="dxa"/>
            </w:tcMar>
          </w:tcPr>
          <w:p w:rsidR="00000000" w:rsidRPr="00712707" w:rsidP="00712707">
            <w:pPr>
              <w:pStyle w:val="ListBullet"/>
            </w:pPr>
            <w:r w:rsidRPr="00712707">
              <w:t>Liquid fuels</w:t>
            </w:r>
          </w:p>
          <w:p w:rsidR="00000000" w:rsidRPr="00712707" w:rsidP="00712707">
            <w:pPr>
              <w:pStyle w:val="ListBullet"/>
            </w:pPr>
            <w:r w:rsidRPr="00712707">
              <w:t>LPG</w:t>
            </w:r>
          </w:p>
          <w:p w:rsidR="00000000" w:rsidP="00712707">
            <w:pPr>
              <w:pStyle w:val="ListBullet"/>
              <w:rPr>
                <w:lang w:val="en-NZ"/>
              </w:rPr>
            </w:pPr>
            <w:r w:rsidRPr="00712707">
              <w:t>Refrigerant gas</w:t>
            </w:r>
          </w:p>
        </w:tc>
      </w:tr>
      <w:tr w:rsidTr="001975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t>Work health and safety (WHS)/occupational health and safety (OHS) hazards may include:</w:t>
            </w:r>
          </w:p>
        </w:tc>
        <w:tc>
          <w:tcPr>
            <w:tcW w:w="0" w:type="auto"/>
            <w:tcBorders>
              <w:top w:val="nil"/>
              <w:left w:val="nil"/>
              <w:bottom w:val="nil"/>
              <w:right w:val="nil"/>
            </w:tcBorders>
            <w:tcMar>
              <w:top w:w="0" w:type="dxa"/>
              <w:left w:w="62" w:type="dxa"/>
              <w:bottom w:w="0" w:type="dxa"/>
              <w:right w:w="62" w:type="dxa"/>
            </w:tcMar>
          </w:tcPr>
          <w:p w:rsidR="00000000" w:rsidRPr="00712707" w:rsidP="00712707">
            <w:pPr>
              <w:pStyle w:val="ListBullet"/>
            </w:pPr>
            <w:r w:rsidRPr="00712707">
              <w:t>Heavy objects securely lashed</w:t>
            </w:r>
          </w:p>
          <w:p w:rsidR="00000000" w:rsidRPr="00712707" w:rsidP="00712707">
            <w:pPr>
              <w:pStyle w:val="ListBullet"/>
            </w:pPr>
            <w:r w:rsidRPr="00712707">
              <w:t>Leaking fuel</w:t>
            </w:r>
          </w:p>
          <w:p w:rsidR="00000000" w:rsidRPr="00712707" w:rsidP="00712707">
            <w:pPr>
              <w:pStyle w:val="ListBullet"/>
            </w:pPr>
            <w:r w:rsidRPr="00712707">
              <w:t>Loose machinery guards</w:t>
            </w:r>
          </w:p>
          <w:p w:rsidR="00000000" w:rsidP="00712707">
            <w:pPr>
              <w:pStyle w:val="ListBullet"/>
              <w:rPr>
                <w:lang w:val="en-NZ"/>
              </w:rPr>
            </w:pPr>
            <w:r w:rsidRPr="00712707">
              <w:t>Slippery decks</w:t>
            </w:r>
          </w:p>
        </w:tc>
      </w:tr>
      <w:tr w:rsidTr="001975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t>Engines, propulsion plant and auxiliary systems may include:</w:t>
            </w:r>
          </w:p>
        </w:tc>
        <w:tc>
          <w:tcPr>
            <w:tcW w:w="0" w:type="auto"/>
            <w:tcBorders>
              <w:top w:val="nil"/>
              <w:left w:val="nil"/>
              <w:bottom w:val="nil"/>
              <w:right w:val="nil"/>
            </w:tcBorders>
            <w:tcMar>
              <w:top w:w="0" w:type="dxa"/>
              <w:left w:w="62" w:type="dxa"/>
              <w:bottom w:w="0" w:type="dxa"/>
              <w:right w:w="62" w:type="dxa"/>
            </w:tcMar>
          </w:tcPr>
          <w:p w:rsidR="00000000" w:rsidRPr="00712707" w:rsidP="00712707">
            <w:pPr>
              <w:pStyle w:val="ListBullet"/>
            </w:pPr>
            <w:r w:rsidRPr="00712707">
              <w:t>Auxiliary equipment and associated spaces</w:t>
            </w:r>
          </w:p>
          <w:p w:rsidR="00000000" w:rsidRPr="00712707" w:rsidP="00712707">
            <w:pPr>
              <w:pStyle w:val="ListBullet"/>
            </w:pPr>
            <w:r w:rsidRPr="00712707">
              <w:t>Cooling systems</w:t>
            </w:r>
          </w:p>
          <w:p w:rsidR="00000000" w:rsidRPr="00712707" w:rsidP="00712707">
            <w:pPr>
              <w:pStyle w:val="ListBullet"/>
            </w:pPr>
            <w:r w:rsidRPr="00712707">
              <w:t>Fuel systems</w:t>
            </w:r>
          </w:p>
          <w:p w:rsidR="00000000" w:rsidRPr="00712707" w:rsidP="00712707">
            <w:pPr>
              <w:pStyle w:val="ListBullet"/>
            </w:pPr>
            <w:r w:rsidRPr="00712707">
              <w:t>Gearbox</w:t>
            </w:r>
          </w:p>
          <w:p w:rsidR="00000000" w:rsidRPr="00712707" w:rsidP="00712707">
            <w:pPr>
              <w:pStyle w:val="ListBullet"/>
            </w:pPr>
            <w:r w:rsidRPr="00712707">
              <w:t>Lubricating systems</w:t>
            </w:r>
          </w:p>
          <w:p w:rsidR="00000000" w:rsidRPr="00712707" w:rsidP="00712707">
            <w:pPr>
              <w:pStyle w:val="ListBullet"/>
            </w:pPr>
            <w:r w:rsidRPr="00712707">
              <w:t>Marine two- and four-stroke:</w:t>
            </w:r>
          </w:p>
          <w:p w:rsidR="00000000" w:rsidRPr="00712707" w:rsidP="00712707">
            <w:pPr>
              <w:pStyle w:val="ListBullet2"/>
            </w:pPr>
            <w:r w:rsidRPr="00712707">
              <w:t>diesel engines</w:t>
            </w:r>
          </w:p>
          <w:p w:rsidR="00000000" w:rsidRPr="00712707" w:rsidP="00712707">
            <w:pPr>
              <w:pStyle w:val="ListBullet2"/>
            </w:pPr>
            <w:r w:rsidRPr="00712707">
              <w:t>petrol engines</w:t>
            </w:r>
          </w:p>
          <w:p w:rsidR="00000000" w:rsidRPr="00712707" w:rsidP="00712707">
            <w:pPr>
              <w:pStyle w:val="ListBullet"/>
            </w:pPr>
            <w:r w:rsidRPr="00712707">
              <w:t>Propeller and immediate shafting alignment</w:t>
            </w:r>
          </w:p>
          <w:p w:rsidR="00000000" w:rsidRPr="00712707" w:rsidP="00712707">
            <w:pPr>
              <w:pStyle w:val="ListBullet"/>
            </w:pPr>
            <w:r w:rsidRPr="00712707">
              <w:t>Pumping systems</w:t>
            </w:r>
          </w:p>
          <w:p w:rsidR="00000000" w:rsidRPr="00712707" w:rsidP="00712707">
            <w:pPr>
              <w:pStyle w:val="ListBullet"/>
            </w:pPr>
            <w:r w:rsidRPr="00712707">
              <w:t>Refrigeration systems</w:t>
            </w:r>
          </w:p>
          <w:p w:rsidR="00000000" w:rsidRPr="00712707" w:rsidP="00712707">
            <w:pPr>
              <w:pStyle w:val="ListBullet"/>
            </w:pPr>
            <w:r w:rsidRPr="00712707">
              <w:t>Steering systems</w:t>
            </w:r>
          </w:p>
          <w:p w:rsidR="00000000" w:rsidP="00712707">
            <w:pPr>
              <w:pStyle w:val="ListBullet"/>
              <w:rPr>
                <w:lang w:val="en-NZ"/>
              </w:rPr>
            </w:pPr>
            <w:r w:rsidRPr="00712707">
              <w:t>Sterndrive and water jet drive units</w:t>
            </w:r>
          </w:p>
        </w:tc>
      </w:tr>
      <w:tr w:rsidTr="001975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t>Environmental implications may include:</w:t>
            </w:r>
          </w:p>
        </w:tc>
        <w:tc>
          <w:tcPr>
            <w:tcW w:w="0" w:type="auto"/>
            <w:tcBorders>
              <w:top w:val="nil"/>
              <w:left w:val="nil"/>
              <w:bottom w:val="nil"/>
              <w:right w:val="nil"/>
            </w:tcBorders>
            <w:tcMar>
              <w:top w:w="0" w:type="dxa"/>
              <w:left w:w="62" w:type="dxa"/>
              <w:bottom w:w="0" w:type="dxa"/>
              <w:right w:w="62" w:type="dxa"/>
            </w:tcMar>
          </w:tcPr>
          <w:p w:rsidR="00000000" w:rsidRPr="00712707" w:rsidP="00712707">
            <w:pPr>
              <w:pStyle w:val="ListBullet"/>
            </w:pPr>
            <w:r w:rsidRPr="00712707">
              <w:t>Accidental release of refrigeration gas</w:t>
            </w:r>
          </w:p>
          <w:p w:rsidR="00000000" w:rsidRPr="00712707" w:rsidP="00712707">
            <w:pPr>
              <w:pStyle w:val="ListBullet"/>
            </w:pPr>
            <w:r w:rsidRPr="00712707">
              <w:t>Excessive noise</w:t>
            </w:r>
          </w:p>
          <w:p w:rsidR="00000000" w:rsidRPr="00712707" w:rsidP="00712707">
            <w:pPr>
              <w:pStyle w:val="ListBullet"/>
            </w:pPr>
            <w:r w:rsidRPr="00712707">
              <w:t>Exhaust emissions</w:t>
            </w:r>
          </w:p>
          <w:p w:rsidR="00000000" w:rsidRPr="00712707" w:rsidP="00712707">
            <w:pPr>
              <w:pStyle w:val="ListBullet"/>
            </w:pPr>
            <w:r w:rsidRPr="00712707">
              <w:t>Loss of fuel and oil overboard</w:t>
            </w:r>
          </w:p>
          <w:p w:rsidR="00000000" w:rsidP="00712707">
            <w:pPr>
              <w:pStyle w:val="ListBullet"/>
              <w:rPr>
                <w:lang w:val="en-NZ"/>
              </w:rPr>
            </w:pPr>
            <w:r w:rsidRPr="00712707">
              <w:t>Pumping bilges</w:t>
            </w:r>
          </w:p>
        </w:tc>
      </w:tr>
      <w:tr w:rsidTr="001975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t>Polluting substances may include:</w:t>
            </w:r>
          </w:p>
        </w:tc>
        <w:tc>
          <w:tcPr>
            <w:tcW w:w="0" w:type="auto"/>
            <w:tcBorders>
              <w:top w:val="nil"/>
              <w:left w:val="nil"/>
              <w:bottom w:val="nil"/>
              <w:right w:val="nil"/>
            </w:tcBorders>
            <w:tcMar>
              <w:top w:w="0" w:type="dxa"/>
              <w:left w:w="62" w:type="dxa"/>
              <w:bottom w:w="0" w:type="dxa"/>
              <w:right w:w="62" w:type="dxa"/>
            </w:tcMar>
          </w:tcPr>
          <w:p w:rsidR="00000000" w:rsidRPr="00712707" w:rsidP="00712707">
            <w:pPr>
              <w:pStyle w:val="ListBullet"/>
            </w:pPr>
            <w:r w:rsidRPr="00712707">
              <w:t>Chemicals</w:t>
            </w:r>
          </w:p>
          <w:p w:rsidR="00000000" w:rsidRPr="00712707" w:rsidP="00712707">
            <w:pPr>
              <w:pStyle w:val="ListBullet"/>
            </w:pPr>
            <w:r w:rsidRPr="00712707">
              <w:t>Oils</w:t>
            </w:r>
          </w:p>
          <w:p w:rsidR="00000000" w:rsidRPr="00712707" w:rsidP="00712707">
            <w:pPr>
              <w:pStyle w:val="ListBullet"/>
            </w:pPr>
            <w:r w:rsidRPr="00712707">
              <w:t>Refrigeration gases</w:t>
            </w:r>
          </w:p>
          <w:p w:rsidR="00000000" w:rsidP="00712707">
            <w:pPr>
              <w:pStyle w:val="ListBullet"/>
              <w:rPr>
                <w:lang w:val="en-NZ"/>
              </w:rPr>
            </w:pPr>
            <w:r w:rsidRPr="00712707">
              <w:t>Sewage</w:t>
            </w:r>
          </w:p>
        </w:tc>
      </w:tr>
      <w:tr w:rsidTr="001975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t>Operational records may include:</w:t>
            </w:r>
          </w:p>
        </w:tc>
        <w:tc>
          <w:tcPr>
            <w:tcW w:w="0" w:type="auto"/>
            <w:tcBorders>
              <w:top w:val="nil"/>
              <w:left w:val="nil"/>
              <w:bottom w:val="nil"/>
              <w:right w:val="nil"/>
            </w:tcBorders>
            <w:tcMar>
              <w:top w:w="0" w:type="dxa"/>
              <w:left w:w="62" w:type="dxa"/>
              <w:bottom w:w="0" w:type="dxa"/>
              <w:right w:w="62" w:type="dxa"/>
            </w:tcMar>
          </w:tcPr>
          <w:p w:rsidR="00000000" w:rsidRPr="00712707" w:rsidP="00712707">
            <w:pPr>
              <w:pStyle w:val="ListBullet"/>
            </w:pPr>
            <w:r w:rsidRPr="00712707">
              <w:t xml:space="preserve">Ballast log </w:t>
            </w:r>
          </w:p>
          <w:p w:rsidR="00000000" w:rsidRPr="00712707" w:rsidP="00712707">
            <w:pPr>
              <w:pStyle w:val="ListBullet"/>
            </w:pPr>
            <w:r w:rsidRPr="00712707">
              <w:t>Maintenance logs</w:t>
            </w:r>
          </w:p>
          <w:p w:rsidR="00000000" w:rsidRPr="00712707" w:rsidP="00712707">
            <w:pPr>
              <w:pStyle w:val="ListBullet"/>
            </w:pPr>
            <w:r w:rsidRPr="00712707">
              <w:t>Oil record book</w:t>
            </w:r>
          </w:p>
          <w:p w:rsidR="00000000" w:rsidP="00712707">
            <w:pPr>
              <w:pStyle w:val="ListBullet"/>
              <w:rPr>
                <w:lang w:val="en-NZ"/>
              </w:rPr>
            </w:pPr>
            <w:r w:rsidRPr="00712707">
              <w:t>Running logs</w:t>
            </w:r>
          </w:p>
        </w:tc>
      </w:tr>
      <w:tr w:rsidTr="001975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2707">
            <w:pPr>
              <w:pStyle w:val="BodyText"/>
              <w:rPr>
                <w:lang w:val="en-NZ"/>
              </w:rPr>
            </w:pPr>
            <w:r w:rsidRPr="00712707">
              <w:t>Emergencies may include:</w:t>
            </w:r>
          </w:p>
        </w:tc>
        <w:tc>
          <w:tcPr>
            <w:tcW w:w="0" w:type="auto"/>
            <w:tcBorders>
              <w:top w:val="nil"/>
              <w:left w:val="nil"/>
              <w:bottom w:val="nil"/>
              <w:right w:val="nil"/>
            </w:tcBorders>
            <w:tcMar>
              <w:top w:w="0" w:type="dxa"/>
              <w:left w:w="62" w:type="dxa"/>
              <w:bottom w:w="0" w:type="dxa"/>
              <w:right w:w="62" w:type="dxa"/>
            </w:tcMar>
          </w:tcPr>
          <w:p w:rsidR="00000000" w:rsidRPr="00712707" w:rsidP="00712707">
            <w:pPr>
              <w:pStyle w:val="ListBullet"/>
            </w:pPr>
            <w:r w:rsidRPr="00712707">
              <w:t>Emergency steering</w:t>
            </w:r>
          </w:p>
          <w:p w:rsidR="00000000" w:rsidRPr="00712707" w:rsidP="00712707">
            <w:pPr>
              <w:pStyle w:val="ListBullet"/>
            </w:pPr>
            <w:r w:rsidRPr="00712707">
              <w:t>Failure of the main engine</w:t>
            </w:r>
          </w:p>
          <w:p w:rsidR="00000000" w:rsidRPr="00712707" w:rsidP="00712707">
            <w:pPr>
              <w:pStyle w:val="ListBullet"/>
            </w:pPr>
            <w:r w:rsidRPr="00712707">
              <w:t>Fire</w:t>
            </w:r>
          </w:p>
          <w:p w:rsidR="00000000" w:rsidRPr="00712707" w:rsidP="00712707">
            <w:pPr>
              <w:pStyle w:val="ListBullet"/>
            </w:pPr>
            <w:r w:rsidRPr="00712707">
              <w:t>Flooding</w:t>
            </w:r>
          </w:p>
        </w:tc>
      </w:tr>
    </w:tbl>
    <w:p w:rsidR="00000000" w:rsidRPr="00712707" w:rsidP="00712707">
      <w:pPr>
        <w:pStyle w:val="BodyText"/>
      </w:pPr>
    </w:p>
    <w:p w:rsidR="00000000" w:rsidRPr="00712707" w:rsidP="00712707">
      <w:pPr>
        <w:pStyle w:val="AllowPageBreak"/>
      </w:pPr>
    </w:p>
    <w:p w:rsidR="00000000" w:rsidRPr="00712707" w:rsidP="00712707">
      <w:pPr>
        <w:pStyle w:val="Heading1"/>
      </w:pPr>
      <w:bookmarkStart w:id="12" w:name="O_536558"/>
      <w:bookmarkEnd w:id="12"/>
      <w:r w:rsidRPr="00712707">
        <w:t>Unit Sector(s)</w:t>
      </w:r>
    </w:p>
    <w:p w:rsidR="00000000" w:rsidRPr="00712707" w:rsidP="00712707">
      <w:pPr>
        <w:pStyle w:val="BodyText"/>
      </w:pPr>
      <w:r w:rsidRPr="00712707">
        <w:t>Not applicable.</w:t>
      </w:r>
    </w:p>
    <w:p w:rsidR="00000000" w:rsidRPr="00712707" w:rsidP="00712707">
      <w:pPr>
        <w:pStyle w:val="AllowPageBreak"/>
      </w:pPr>
    </w:p>
    <w:p w:rsidR="00000000" w:rsidRPr="00712707" w:rsidP="00712707">
      <w:pPr>
        <w:pStyle w:val="Heading1"/>
      </w:pPr>
      <w:bookmarkStart w:id="13" w:name="O_536557"/>
      <w:bookmarkEnd w:id="13"/>
      <w:r w:rsidRPr="00712707">
        <w:t>Competency Field</w:t>
      </w:r>
    </w:p>
    <w:p w:rsidR="00000000" w:rsidRPr="00712707" w:rsidP="00712707">
      <w:pPr>
        <w:pStyle w:val="BodyText"/>
      </w:pPr>
      <w:r w:rsidRPr="00712707">
        <w:t>Equipment Operations</w:t>
      </w:r>
    </w:p>
    <w:p w:rsidR="00000000" w:rsidRPr="00712707" w:rsidP="00712707"/>
    <w:sectPr w:rsidSect="007127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7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707" w:rsidRPr="001975CC" w:rsidP="001975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7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5CC" w:rsidP="007127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975CC" w:rsidP="0071270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975CC" w:rsidP="007127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7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707" w:rsidRPr="001975CC" w:rsidP="001975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7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5CC" w:rsidRPr="002D2AF8" w:rsidP="00712707">
    <w:pPr>
      <w:pStyle w:val="Header"/>
      <w:framePr w:wrap="around"/>
    </w:pPr>
    <w:r>
      <w:fldChar w:fldCharType="begin"/>
    </w:r>
    <w:r>
      <w:instrText xml:space="preserve"> TITLE   \* MERGEFORMAT </w:instrText>
    </w:r>
    <w:r>
      <w:fldChar w:fldCharType="separate"/>
    </w:r>
    <w:r>
      <w:t>MARC3005A Operate and monitor marine internal combustion engines, propulsion plant and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1975CC" w:rsidP="007127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ECE9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1878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44D5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7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2707"/>
    <w:pPr>
      <w:spacing w:before="360" w:after="60"/>
      <w:outlineLvl w:val="0"/>
    </w:pPr>
    <w:rPr>
      <w:sz w:val="32"/>
    </w:rPr>
  </w:style>
  <w:style w:type="paragraph" w:styleId="Heading2">
    <w:name w:val="heading 2"/>
    <w:basedOn w:val="HeadingBase"/>
    <w:next w:val="BodyText"/>
    <w:link w:val="Heading2Char"/>
    <w:qFormat/>
    <w:rsid w:val="00712707"/>
    <w:pPr>
      <w:keepLines/>
      <w:spacing w:before="240" w:after="120"/>
      <w:outlineLvl w:val="1"/>
    </w:pPr>
    <w:rPr>
      <w:sz w:val="28"/>
      <w:szCs w:val="40"/>
    </w:rPr>
  </w:style>
  <w:style w:type="paragraph" w:styleId="Heading3">
    <w:name w:val="heading 3"/>
    <w:basedOn w:val="HeadingBase"/>
    <w:next w:val="BodyText"/>
    <w:link w:val="Heading3Char"/>
    <w:qFormat/>
    <w:rsid w:val="00712707"/>
    <w:pPr>
      <w:spacing w:before="180" w:after="120"/>
      <w:outlineLvl w:val="2"/>
    </w:pPr>
    <w:rPr>
      <w:spacing w:val="-10"/>
      <w:kern w:val="32"/>
    </w:rPr>
  </w:style>
  <w:style w:type="paragraph" w:styleId="Heading4">
    <w:name w:val="heading 4"/>
    <w:basedOn w:val="HeadingBase"/>
    <w:next w:val="BodyText"/>
    <w:link w:val="Heading4Char"/>
    <w:qFormat/>
    <w:rsid w:val="00712707"/>
    <w:pPr>
      <w:spacing w:before="160" w:after="120"/>
      <w:outlineLvl w:val="3"/>
    </w:pPr>
    <w:rPr>
      <w:sz w:val="22"/>
    </w:rPr>
  </w:style>
  <w:style w:type="paragraph" w:styleId="Heading5">
    <w:name w:val="heading 5"/>
    <w:basedOn w:val="HeadingBase"/>
    <w:next w:val="Normal"/>
    <w:link w:val="Heading5Char"/>
    <w:qFormat/>
    <w:rsid w:val="00712707"/>
    <w:pPr>
      <w:spacing w:before="80"/>
      <w:outlineLvl w:val="4"/>
    </w:pPr>
    <w:rPr>
      <w:color w:val="918585"/>
      <w:sz w:val="20"/>
    </w:rPr>
  </w:style>
  <w:style w:type="paragraph" w:styleId="Heading6">
    <w:name w:val="heading 6"/>
    <w:basedOn w:val="HeadingBase"/>
    <w:next w:val="Normal"/>
    <w:link w:val="Heading6Char"/>
    <w:qFormat/>
    <w:rsid w:val="00712707"/>
    <w:pPr>
      <w:spacing w:before="60"/>
      <w:outlineLvl w:val="5"/>
    </w:pPr>
    <w:rPr>
      <w:color w:val="918585"/>
      <w:sz w:val="20"/>
    </w:rPr>
  </w:style>
  <w:style w:type="paragraph" w:styleId="Heading7">
    <w:name w:val="heading 7"/>
    <w:basedOn w:val="Normal"/>
    <w:next w:val="Normal"/>
    <w:link w:val="Heading7Char"/>
    <w:qFormat/>
    <w:rsid w:val="00712707"/>
    <w:pPr>
      <w:ind w:left="720"/>
      <w:outlineLvl w:val="6"/>
    </w:pPr>
    <w:rPr>
      <w:i/>
    </w:rPr>
  </w:style>
  <w:style w:type="paragraph" w:styleId="Heading8">
    <w:name w:val="heading 8"/>
    <w:basedOn w:val="Normal"/>
    <w:next w:val="Normal"/>
    <w:link w:val="Heading8Char"/>
    <w:qFormat/>
    <w:rsid w:val="00712707"/>
    <w:pPr>
      <w:ind w:left="720"/>
      <w:outlineLvl w:val="7"/>
    </w:pPr>
    <w:rPr>
      <w:i/>
    </w:rPr>
  </w:style>
  <w:style w:type="paragraph" w:styleId="Heading9">
    <w:name w:val="heading 9"/>
    <w:basedOn w:val="Normal"/>
    <w:next w:val="Normal"/>
    <w:link w:val="Heading9Char"/>
    <w:qFormat/>
    <w:rsid w:val="00712707"/>
    <w:pPr>
      <w:ind w:left="720"/>
      <w:outlineLvl w:val="8"/>
    </w:pPr>
    <w:rPr>
      <w:i/>
    </w:rPr>
  </w:style>
  <w:style w:type="character" w:default="1" w:styleId="DefaultParagraphFont">
    <w:name w:val="Default Paragraph Font"/>
    <w:uiPriority w:val="1"/>
    <w:unhideWhenUsed/>
    <w:rsid w:val="007127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2707"/>
  </w:style>
  <w:style w:type="character" w:customStyle="1" w:styleId="Heading1Char">
    <w:name w:val="Heading 1 Char"/>
    <w:basedOn w:val="DefaultParagraphFont"/>
    <w:link w:val="Heading1"/>
    <w:rsid w:val="00712707"/>
    <w:rPr>
      <w:rFonts w:ascii="Times New Roman" w:eastAsia="Times New Roman" w:hAnsi="Times New Roman" w:cs="Times New Roman"/>
      <w:b/>
      <w:sz w:val="32"/>
      <w:szCs w:val="20"/>
      <w:lang w:eastAsia="en-US"/>
    </w:rPr>
  </w:style>
  <w:style w:type="paragraph" w:styleId="BodyText">
    <w:name w:val="Body Text"/>
    <w:basedOn w:val="Normal"/>
    <w:link w:val="BodyTextChar"/>
    <w:rsid w:val="007127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2707"/>
    <w:rPr>
      <w:rFonts w:ascii="Times New Roman" w:eastAsia="Times New Roman" w:hAnsi="Times New Roman" w:cs="Times New Roman"/>
      <w:sz w:val="24"/>
      <w:lang w:eastAsia="en-US"/>
    </w:rPr>
  </w:style>
  <w:style w:type="paragraph" w:styleId="ListBullet">
    <w:name w:val="List Bullet"/>
    <w:basedOn w:val="List"/>
    <w:rsid w:val="00712707"/>
    <w:pPr>
      <w:numPr>
        <w:numId w:val="13"/>
      </w:numPr>
      <w:tabs>
        <w:tab w:val="clear" w:pos="340"/>
      </w:tabs>
      <w:spacing w:before="40" w:after="40"/>
    </w:pPr>
  </w:style>
  <w:style w:type="character" w:customStyle="1" w:styleId="SpecialBold">
    <w:name w:val="Special Bold"/>
    <w:basedOn w:val="DefaultParagraphFont"/>
    <w:rsid w:val="00712707"/>
    <w:rPr>
      <w:b/>
      <w:spacing w:val="0"/>
    </w:rPr>
  </w:style>
  <w:style w:type="paragraph" w:styleId="ListBullet2">
    <w:name w:val="List Bullet 2"/>
    <w:basedOn w:val="List2"/>
    <w:rsid w:val="00712707"/>
    <w:pPr>
      <w:numPr>
        <w:numId w:val="14"/>
      </w:numPr>
      <w:tabs>
        <w:tab w:val="clear" w:pos="680"/>
      </w:tabs>
    </w:pPr>
  </w:style>
  <w:style w:type="paragraph" w:customStyle="1" w:styleId="SuperHeading">
    <w:name w:val="SuperHeading"/>
    <w:basedOn w:val="Normal"/>
    <w:rsid w:val="00712707"/>
    <w:pPr>
      <w:spacing w:before="240" w:after="120"/>
      <w:outlineLvl w:val="0"/>
    </w:pPr>
    <w:rPr>
      <w:rFonts w:ascii="Times New Roman" w:hAnsi="Times New Roman"/>
      <w:b/>
      <w:sz w:val="32"/>
    </w:rPr>
  </w:style>
  <w:style w:type="paragraph" w:customStyle="1" w:styleId="AllowPageBreak">
    <w:name w:val="AllowPageBreak"/>
    <w:rsid w:val="007127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12707"/>
    <w:rPr>
      <w:b/>
      <w:i/>
      <w:u w:val="none"/>
    </w:rPr>
  </w:style>
  <w:style w:type="character" w:customStyle="1" w:styleId="Heading2Char">
    <w:name w:val="Heading 2 Char"/>
    <w:basedOn w:val="DefaultParagraphFont"/>
    <w:link w:val="Heading2"/>
    <w:rsid w:val="007127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27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27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27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27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27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27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2707"/>
    <w:rPr>
      <w:rFonts w:ascii="Courier New" w:eastAsia="Times New Roman" w:hAnsi="Courier New" w:cs="Times New Roman"/>
      <w:i/>
      <w:szCs w:val="20"/>
      <w:lang w:eastAsia="en-US"/>
    </w:rPr>
  </w:style>
  <w:style w:type="paragraph" w:customStyle="1" w:styleId="HeadingBase">
    <w:name w:val="Heading Base"/>
    <w:rsid w:val="007127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2707"/>
    <w:pPr>
      <w:tabs>
        <w:tab w:val="right" w:leader="dot" w:pos="9072"/>
      </w:tabs>
      <w:ind w:left="567"/>
    </w:pPr>
    <w:rPr>
      <w:szCs w:val="22"/>
    </w:rPr>
  </w:style>
  <w:style w:type="paragraph" w:customStyle="1" w:styleId="TOCBase">
    <w:name w:val="TOC Base"/>
    <w:rsid w:val="007127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2707"/>
    <w:pPr>
      <w:tabs>
        <w:tab w:val="right" w:leader="dot" w:pos="9072"/>
      </w:tabs>
      <w:spacing w:before="40" w:after="40"/>
      <w:ind w:left="284"/>
    </w:pPr>
    <w:rPr>
      <w:rFonts w:ascii="Times New Roman" w:hAnsi="Times New Roman"/>
    </w:rPr>
  </w:style>
  <w:style w:type="paragraph" w:styleId="TOC1">
    <w:name w:val="toc 1"/>
    <w:basedOn w:val="TOCBase"/>
    <w:next w:val="Normal"/>
    <w:rsid w:val="007127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27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2707"/>
    <w:rPr>
      <w:rFonts w:ascii="Times New Roman" w:eastAsia="Times New Roman" w:hAnsi="Times New Roman" w:cs="Times New Roman"/>
      <w:sz w:val="16"/>
      <w:lang w:eastAsia="en-US"/>
    </w:rPr>
  </w:style>
  <w:style w:type="paragraph" w:styleId="Title">
    <w:name w:val="Title"/>
    <w:basedOn w:val="HeadingBase"/>
    <w:link w:val="TitleChar"/>
    <w:qFormat/>
    <w:rsid w:val="00712707"/>
    <w:pPr>
      <w:spacing w:before="5040"/>
      <w:jc w:val="center"/>
    </w:pPr>
    <w:rPr>
      <w:sz w:val="48"/>
      <w:szCs w:val="72"/>
      <w:lang w:val="en-US"/>
    </w:rPr>
  </w:style>
  <w:style w:type="character" w:customStyle="1" w:styleId="TitleChar">
    <w:name w:val="Title Char"/>
    <w:basedOn w:val="DefaultParagraphFont"/>
    <w:link w:val="Title"/>
    <w:rsid w:val="007127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2707"/>
    <w:pPr>
      <w:tabs>
        <w:tab w:val="left" w:pos="3600"/>
        <w:tab w:val="left" w:pos="3958"/>
      </w:tabs>
    </w:pPr>
  </w:style>
  <w:style w:type="paragraph" w:styleId="List">
    <w:name w:val="List"/>
    <w:basedOn w:val="BodyText"/>
    <w:next w:val="BodyText"/>
    <w:rsid w:val="00712707"/>
    <w:pPr>
      <w:tabs>
        <w:tab w:val="left" w:pos="340"/>
      </w:tabs>
      <w:spacing w:before="60" w:after="60"/>
      <w:ind w:left="340" w:hanging="340"/>
    </w:pPr>
  </w:style>
  <w:style w:type="paragraph" w:customStyle="1" w:styleId="Note">
    <w:name w:val="Note"/>
    <w:basedOn w:val="BodyText"/>
    <w:rsid w:val="007127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2707"/>
    <w:pPr>
      <w:framePr w:wrap="auto" w:hAnchor="text" w:y="6049"/>
    </w:pPr>
    <w:rPr>
      <w:color w:val="000000"/>
      <w:sz w:val="40"/>
    </w:rPr>
  </w:style>
  <w:style w:type="paragraph" w:customStyle="1" w:styleId="TOCTitle">
    <w:name w:val="TOCTitle"/>
    <w:basedOn w:val="Heading1"/>
    <w:rsid w:val="00712707"/>
    <w:pPr>
      <w:spacing w:after="240"/>
      <w:jc w:val="center"/>
      <w:outlineLvl w:val="9"/>
    </w:pPr>
    <w:rPr>
      <w:caps/>
    </w:rPr>
  </w:style>
  <w:style w:type="paragraph" w:customStyle="1" w:styleId="Version">
    <w:name w:val="Version"/>
    <w:rsid w:val="007127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2707"/>
    <w:pPr>
      <w:keepNext w:val="0"/>
      <w:tabs>
        <w:tab w:val="right" w:pos="4176"/>
      </w:tabs>
      <w:ind w:left="198" w:hanging="198"/>
    </w:pPr>
    <w:rPr>
      <w:rFonts w:ascii="Garamond" w:hAnsi="Garamond"/>
    </w:rPr>
  </w:style>
  <w:style w:type="paragraph" w:styleId="IndexHeading">
    <w:name w:val="index heading"/>
    <w:basedOn w:val="Normal"/>
    <w:next w:val="Index1"/>
    <w:semiHidden/>
    <w:rsid w:val="00712707"/>
    <w:pPr>
      <w:spacing w:before="120" w:after="120"/>
    </w:pPr>
    <w:rPr>
      <w:rFonts w:ascii="Arial" w:hAnsi="Arial"/>
      <w:b/>
      <w:color w:val="918585"/>
      <w:sz w:val="24"/>
    </w:rPr>
  </w:style>
  <w:style w:type="paragraph" w:styleId="Header">
    <w:name w:val="header"/>
    <w:basedOn w:val="Normal"/>
    <w:link w:val="HeaderChar"/>
    <w:rsid w:val="007127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2707"/>
    <w:rPr>
      <w:rFonts w:ascii="Times New Roman" w:eastAsia="Times New Roman" w:hAnsi="Times New Roman" w:cs="Times New Roman"/>
      <w:sz w:val="16"/>
      <w:szCs w:val="20"/>
      <w:lang w:val="en-GB" w:eastAsia="en-US"/>
    </w:rPr>
  </w:style>
  <w:style w:type="paragraph" w:customStyle="1" w:styleId="Chapter">
    <w:name w:val="Chapter"/>
    <w:basedOn w:val="Normal"/>
    <w:rsid w:val="00712707"/>
    <w:pPr>
      <w:spacing w:before="240"/>
    </w:pPr>
    <w:rPr>
      <w:rFonts w:ascii="Times New Roman" w:hAnsi="Times New Roman"/>
      <w:smallCaps/>
      <w:spacing w:val="80"/>
      <w:sz w:val="28"/>
    </w:rPr>
  </w:style>
  <w:style w:type="paragraph" w:customStyle="1" w:styleId="InChapter">
    <w:name w:val="InChapter"/>
    <w:basedOn w:val="Heading3"/>
    <w:rsid w:val="00712707"/>
    <w:pPr>
      <w:spacing w:after="240"/>
      <w:outlineLvl w:val="9"/>
    </w:pPr>
    <w:rPr>
      <w:noProof/>
    </w:rPr>
  </w:style>
  <w:style w:type="paragraph" w:styleId="Index2">
    <w:name w:val="index 2"/>
    <w:basedOn w:val="Normal"/>
    <w:next w:val="Normal"/>
    <w:semiHidden/>
    <w:rsid w:val="00712707"/>
    <w:pPr>
      <w:tabs>
        <w:tab w:val="right" w:pos="4176"/>
      </w:tabs>
      <w:ind w:left="568" w:hanging="284"/>
    </w:pPr>
    <w:rPr>
      <w:rFonts w:ascii="Garamond" w:hAnsi="Garamond"/>
    </w:rPr>
  </w:style>
  <w:style w:type="paragraph" w:customStyle="1" w:styleId="Byline">
    <w:name w:val="Byline"/>
    <w:rsid w:val="007127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2707"/>
    <w:pPr>
      <w:tabs>
        <w:tab w:val="clear" w:pos="3600"/>
        <w:tab w:val="clear" w:pos="3958"/>
      </w:tabs>
      <w:jc w:val="right"/>
    </w:pPr>
  </w:style>
  <w:style w:type="character" w:styleId="Emphasis">
    <w:name w:val="Emphasis"/>
    <w:basedOn w:val="DefaultParagraphFont"/>
    <w:qFormat/>
    <w:rsid w:val="00712707"/>
    <w:rPr>
      <w:i/>
    </w:rPr>
  </w:style>
  <w:style w:type="paragraph" w:styleId="Caption">
    <w:name w:val="caption"/>
    <w:basedOn w:val="BodyText"/>
    <w:next w:val="Normal"/>
    <w:qFormat/>
    <w:rsid w:val="00712707"/>
    <w:pPr>
      <w:framePr w:w="2268" w:hSpace="181" w:vSpace="181" w:wrap="around" w:vAnchor="text" w:hAnchor="page" w:x="1135" w:y="285" w:anchorLock="1"/>
    </w:pPr>
    <w:rPr>
      <w:i/>
    </w:rPr>
  </w:style>
  <w:style w:type="paragraph" w:customStyle="1" w:styleId="MiniTOCTitle">
    <w:name w:val="MiniTOCTitle"/>
    <w:basedOn w:val="Heading4"/>
    <w:rsid w:val="00712707"/>
    <w:pPr>
      <w:spacing w:before="240"/>
      <w:outlineLvl w:val="9"/>
    </w:pPr>
    <w:rPr>
      <w:noProof/>
      <w:sz w:val="24"/>
    </w:rPr>
  </w:style>
  <w:style w:type="paragraph" w:customStyle="1" w:styleId="MiniTOCItem">
    <w:name w:val="MiniTOCItem"/>
    <w:basedOn w:val="ListBullet"/>
    <w:rsid w:val="00712707"/>
    <w:pPr>
      <w:numPr>
        <w:numId w:val="0"/>
      </w:numPr>
      <w:tabs>
        <w:tab w:val="right" w:leader="dot" w:pos="6521"/>
      </w:tabs>
      <w:spacing w:before="0" w:after="0"/>
    </w:pPr>
  </w:style>
  <w:style w:type="paragraph" w:customStyle="1" w:styleId="TOFTitle">
    <w:name w:val="TOFTitle"/>
    <w:basedOn w:val="TOCTitle"/>
    <w:rsid w:val="00712707"/>
  </w:style>
  <w:style w:type="paragraph" w:styleId="TableofFigures">
    <w:name w:val="table of figures"/>
    <w:basedOn w:val="Normal"/>
    <w:next w:val="Normal"/>
    <w:semiHidden/>
    <w:rsid w:val="00712707"/>
    <w:pPr>
      <w:tabs>
        <w:tab w:val="right" w:leader="dot" w:pos="9072"/>
      </w:tabs>
      <w:ind w:left="970" w:hanging="403"/>
    </w:pPr>
    <w:rPr>
      <w:rFonts w:ascii="Times New Roman" w:hAnsi="Times New Roman"/>
      <w:b/>
    </w:rPr>
  </w:style>
  <w:style w:type="paragraph" w:styleId="ListNumber">
    <w:name w:val="List Number"/>
    <w:basedOn w:val="List"/>
    <w:rsid w:val="00712707"/>
    <w:pPr>
      <w:numPr>
        <w:numId w:val="11"/>
      </w:numPr>
    </w:pPr>
  </w:style>
  <w:style w:type="character" w:customStyle="1" w:styleId="WingdingSymbols">
    <w:name w:val="Wingding Symbols"/>
    <w:rsid w:val="00712707"/>
    <w:rPr>
      <w:rFonts w:ascii="Wingdings" w:hAnsi="Wingdings"/>
    </w:rPr>
  </w:style>
  <w:style w:type="paragraph" w:customStyle="1" w:styleId="TableHeading">
    <w:name w:val="Table Heading"/>
    <w:basedOn w:val="HeadingBase"/>
    <w:rsid w:val="00712707"/>
    <w:pPr>
      <w:keepLines/>
      <w:pBdr>
        <w:bottom w:val="single" w:sz="6" w:space="1" w:color="918585"/>
      </w:pBdr>
      <w:spacing w:before="240"/>
    </w:pPr>
  </w:style>
  <w:style w:type="character" w:customStyle="1" w:styleId="HotSpot">
    <w:name w:val="HotSpot"/>
    <w:rsid w:val="00712707"/>
    <w:rPr>
      <w:color w:val="0033CC"/>
      <w:u w:val="none"/>
    </w:rPr>
  </w:style>
  <w:style w:type="paragraph" w:customStyle="1" w:styleId="BodyTextRight">
    <w:name w:val="Body Text Right"/>
    <w:basedOn w:val="BodyText"/>
    <w:rsid w:val="00712707"/>
    <w:pPr>
      <w:spacing w:before="0" w:after="0"/>
      <w:jc w:val="right"/>
    </w:pPr>
  </w:style>
  <w:style w:type="paragraph" w:styleId="Index3">
    <w:name w:val="index 3"/>
    <w:basedOn w:val="ListNumber2"/>
    <w:next w:val="Normal"/>
    <w:semiHidden/>
    <w:rsid w:val="00712707"/>
    <w:pPr>
      <w:numPr>
        <w:numId w:val="0"/>
      </w:numPr>
      <w:tabs>
        <w:tab w:val="right" w:leader="dot" w:pos="4176"/>
      </w:tabs>
    </w:pPr>
  </w:style>
  <w:style w:type="paragraph" w:styleId="ListNumber2">
    <w:name w:val="List Number 2"/>
    <w:basedOn w:val="List2"/>
    <w:rsid w:val="00712707"/>
    <w:pPr>
      <w:numPr>
        <w:numId w:val="10"/>
      </w:numPr>
      <w:tabs>
        <w:tab w:val="clear" w:pos="1060"/>
      </w:tabs>
    </w:pPr>
  </w:style>
  <w:style w:type="paragraph" w:customStyle="1" w:styleId="MarginNote">
    <w:name w:val="Margin Note"/>
    <w:basedOn w:val="BodyText"/>
    <w:rsid w:val="007127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27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27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2707"/>
    <w:rPr>
      <w:sz w:val="32"/>
    </w:rPr>
  </w:style>
  <w:style w:type="paragraph" w:customStyle="1" w:styleId="HeadingProcedure">
    <w:name w:val="Heading Procedure"/>
    <w:basedOn w:val="HeadingBase"/>
    <w:next w:val="Normal"/>
    <w:rsid w:val="00712707"/>
    <w:pPr>
      <w:tabs>
        <w:tab w:val="left" w:pos="0"/>
      </w:tabs>
      <w:spacing w:before="120" w:after="60"/>
    </w:pPr>
    <w:rPr>
      <w:i/>
      <w:color w:val="918585"/>
      <w:sz w:val="22"/>
    </w:rPr>
  </w:style>
  <w:style w:type="paragraph" w:customStyle="1" w:styleId="TableBodyText">
    <w:name w:val="Table Body Text"/>
    <w:basedOn w:val="BodyText"/>
    <w:rsid w:val="00712707"/>
    <w:pPr>
      <w:spacing w:before="60" w:after="60"/>
    </w:pPr>
  </w:style>
  <w:style w:type="paragraph" w:styleId="ListContinue">
    <w:name w:val="List Continue"/>
    <w:basedOn w:val="List"/>
    <w:rsid w:val="00712707"/>
    <w:pPr>
      <w:ind w:firstLine="0"/>
    </w:pPr>
  </w:style>
  <w:style w:type="paragraph" w:customStyle="1" w:styleId="ListNote">
    <w:name w:val="List Note"/>
    <w:basedOn w:val="List"/>
    <w:rsid w:val="00712707"/>
    <w:pPr>
      <w:pBdr>
        <w:top w:val="single" w:sz="6" w:space="2" w:color="918585"/>
        <w:bottom w:val="single" w:sz="6" w:space="2" w:color="918585"/>
      </w:pBdr>
      <w:tabs>
        <w:tab w:val="left" w:pos="1021"/>
      </w:tabs>
      <w:ind w:firstLine="0"/>
    </w:pPr>
  </w:style>
  <w:style w:type="paragraph" w:customStyle="1" w:styleId="Warning">
    <w:name w:val="Warning"/>
    <w:basedOn w:val="BodyText"/>
    <w:rsid w:val="00712707"/>
    <w:pPr>
      <w:shd w:val="clear" w:color="auto" w:fill="D9D9D9"/>
      <w:tabs>
        <w:tab w:val="left" w:pos="992"/>
      </w:tabs>
      <w:ind w:left="119" w:right="119"/>
    </w:pPr>
    <w:rPr>
      <w:sz w:val="20"/>
    </w:rPr>
  </w:style>
  <w:style w:type="paragraph" w:customStyle="1" w:styleId="MarginIcons">
    <w:name w:val="Margin Icons"/>
    <w:basedOn w:val="BodyText"/>
    <w:rsid w:val="007127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2707"/>
    <w:rPr>
      <w:rFonts w:ascii="Courier New" w:hAnsi="Courier New"/>
    </w:rPr>
  </w:style>
  <w:style w:type="paragraph" w:customStyle="1" w:styleId="NoteBullet">
    <w:name w:val="Note Bullet"/>
    <w:basedOn w:val="Note"/>
    <w:rsid w:val="00712707"/>
    <w:pPr>
      <w:tabs>
        <w:tab w:val="clear" w:pos="680"/>
      </w:tabs>
      <w:spacing w:before="60" w:after="60"/>
    </w:pPr>
  </w:style>
  <w:style w:type="paragraph" w:customStyle="1" w:styleId="SubHeading2">
    <w:name w:val="SubHeading2"/>
    <w:basedOn w:val="HeadingBase"/>
    <w:rsid w:val="00712707"/>
    <w:pPr>
      <w:spacing w:before="240" w:after="60"/>
    </w:pPr>
    <w:rPr>
      <w:sz w:val="20"/>
    </w:rPr>
  </w:style>
  <w:style w:type="paragraph" w:customStyle="1" w:styleId="SubHeading1">
    <w:name w:val="SubHeading1"/>
    <w:basedOn w:val="HeadingBase"/>
    <w:rsid w:val="00712707"/>
    <w:pPr>
      <w:spacing w:before="240" w:after="60"/>
    </w:pPr>
    <w:rPr>
      <w:color w:val="918585"/>
      <w:sz w:val="22"/>
    </w:rPr>
  </w:style>
  <w:style w:type="paragraph" w:customStyle="1" w:styleId="SideHeading">
    <w:name w:val="Side Heading"/>
    <w:basedOn w:val="HeadingBase"/>
    <w:rsid w:val="007127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2707"/>
    <w:pPr>
      <w:numPr>
        <w:numId w:val="12"/>
      </w:numPr>
    </w:pPr>
  </w:style>
  <w:style w:type="paragraph" w:styleId="PlainText">
    <w:name w:val="Plain Text"/>
    <w:basedOn w:val="Normal"/>
    <w:link w:val="PlainTextChar"/>
    <w:rsid w:val="00712707"/>
    <w:rPr>
      <w:sz w:val="20"/>
    </w:rPr>
  </w:style>
  <w:style w:type="character" w:customStyle="1" w:styleId="PlainTextChar">
    <w:name w:val="Plain Text Char"/>
    <w:basedOn w:val="DefaultParagraphFont"/>
    <w:link w:val="PlainText"/>
    <w:rsid w:val="00712707"/>
    <w:rPr>
      <w:rFonts w:ascii="Courier New" w:eastAsia="Times New Roman" w:hAnsi="Courier New" w:cs="Times New Roman"/>
      <w:sz w:val="20"/>
      <w:szCs w:val="20"/>
      <w:lang w:eastAsia="en-US"/>
    </w:rPr>
  </w:style>
  <w:style w:type="character" w:customStyle="1" w:styleId="MenuOption">
    <w:name w:val="Menu Option"/>
    <w:basedOn w:val="DefaultParagraphFont"/>
    <w:rsid w:val="00712707"/>
    <w:rPr>
      <w:b/>
      <w:smallCaps/>
    </w:rPr>
  </w:style>
  <w:style w:type="paragraph" w:customStyle="1" w:styleId="TableListNumber">
    <w:name w:val="Table List Number"/>
    <w:basedOn w:val="ListNumber"/>
    <w:rsid w:val="00712707"/>
    <w:pPr>
      <w:numPr>
        <w:numId w:val="0"/>
      </w:numPr>
    </w:pPr>
  </w:style>
  <w:style w:type="paragraph" w:styleId="TOC4">
    <w:name w:val="toc 4"/>
    <w:basedOn w:val="TOCBase"/>
    <w:next w:val="Normal"/>
    <w:semiHidden/>
    <w:rsid w:val="00712707"/>
    <w:pPr>
      <w:tabs>
        <w:tab w:val="right" w:leader="dot" w:pos="9071"/>
      </w:tabs>
      <w:ind w:left="1701"/>
    </w:pPr>
  </w:style>
  <w:style w:type="paragraph" w:customStyle="1" w:styleId="ListAlpha">
    <w:name w:val="List Alpha"/>
    <w:basedOn w:val="List"/>
    <w:rsid w:val="00712707"/>
    <w:pPr>
      <w:numPr>
        <w:numId w:val="9"/>
      </w:numPr>
    </w:pPr>
  </w:style>
  <w:style w:type="paragraph" w:customStyle="1" w:styleId="ListAlpha2">
    <w:name w:val="List Alpha 2"/>
    <w:basedOn w:val="List2"/>
    <w:rsid w:val="00712707"/>
    <w:pPr>
      <w:numPr>
        <w:numId w:val="8"/>
      </w:numPr>
    </w:pPr>
  </w:style>
  <w:style w:type="paragraph" w:styleId="List2">
    <w:name w:val="List 2"/>
    <w:basedOn w:val="BodyText"/>
    <w:rsid w:val="00712707"/>
    <w:pPr>
      <w:tabs>
        <w:tab w:val="left" w:pos="680"/>
      </w:tabs>
      <w:spacing w:before="60" w:after="60"/>
      <w:ind w:left="680" w:hanging="340"/>
    </w:pPr>
  </w:style>
  <w:style w:type="paragraph" w:styleId="List3">
    <w:name w:val="List 3"/>
    <w:basedOn w:val="BodyText"/>
    <w:rsid w:val="00712707"/>
    <w:pPr>
      <w:tabs>
        <w:tab w:val="left" w:pos="1021"/>
      </w:tabs>
      <w:spacing w:before="60" w:after="60"/>
      <w:ind w:left="1020" w:hanging="340"/>
    </w:pPr>
  </w:style>
  <w:style w:type="paragraph" w:styleId="List4">
    <w:name w:val="List 4"/>
    <w:basedOn w:val="BodyText"/>
    <w:rsid w:val="00712707"/>
    <w:pPr>
      <w:tabs>
        <w:tab w:val="left" w:pos="1361"/>
      </w:tabs>
      <w:spacing w:before="60" w:after="60"/>
      <w:ind w:left="1361" w:hanging="340"/>
    </w:pPr>
  </w:style>
  <w:style w:type="paragraph" w:styleId="List5">
    <w:name w:val="List 5"/>
    <w:basedOn w:val="BodyText"/>
    <w:rsid w:val="00712707"/>
    <w:pPr>
      <w:tabs>
        <w:tab w:val="left" w:pos="1701"/>
      </w:tabs>
      <w:spacing w:before="60" w:after="60"/>
      <w:ind w:left="1701" w:hanging="340"/>
    </w:pPr>
  </w:style>
  <w:style w:type="paragraph" w:styleId="ListBullet3">
    <w:name w:val="List Bullet 3"/>
    <w:basedOn w:val="List3"/>
    <w:rsid w:val="00712707"/>
    <w:pPr>
      <w:numPr>
        <w:numId w:val="15"/>
      </w:numPr>
      <w:tabs>
        <w:tab w:val="clear" w:pos="1021"/>
      </w:tabs>
      <w:ind w:left="1037" w:hanging="357"/>
    </w:pPr>
  </w:style>
  <w:style w:type="paragraph" w:styleId="ListBullet4">
    <w:name w:val="List Bullet 4"/>
    <w:basedOn w:val="List4"/>
    <w:rsid w:val="00712707"/>
    <w:pPr>
      <w:numPr>
        <w:numId w:val="3"/>
      </w:numPr>
    </w:pPr>
  </w:style>
  <w:style w:type="paragraph" w:styleId="ListBullet5">
    <w:name w:val="List Bullet 5"/>
    <w:basedOn w:val="List5"/>
    <w:rsid w:val="00712707"/>
    <w:pPr>
      <w:numPr>
        <w:numId w:val="4"/>
      </w:numPr>
    </w:pPr>
  </w:style>
  <w:style w:type="paragraph" w:styleId="ListContinue2">
    <w:name w:val="List Continue 2"/>
    <w:basedOn w:val="List2"/>
    <w:rsid w:val="00712707"/>
    <w:pPr>
      <w:ind w:firstLine="0"/>
    </w:pPr>
  </w:style>
  <w:style w:type="paragraph" w:styleId="ListContinue3">
    <w:name w:val="List Continue 3"/>
    <w:basedOn w:val="List3"/>
    <w:rsid w:val="00712707"/>
    <w:pPr>
      <w:ind w:left="1021" w:firstLine="0"/>
    </w:pPr>
  </w:style>
  <w:style w:type="paragraph" w:styleId="ListContinue4">
    <w:name w:val="List Continue 4"/>
    <w:basedOn w:val="List4"/>
    <w:rsid w:val="00712707"/>
    <w:pPr>
      <w:ind w:firstLine="0"/>
    </w:pPr>
  </w:style>
  <w:style w:type="paragraph" w:styleId="ListContinue5">
    <w:name w:val="List Continue 5"/>
    <w:basedOn w:val="List5"/>
    <w:rsid w:val="00712707"/>
    <w:pPr>
      <w:ind w:firstLine="0"/>
    </w:pPr>
  </w:style>
  <w:style w:type="paragraph" w:styleId="ListNumber3">
    <w:name w:val="List Number 3"/>
    <w:basedOn w:val="List3"/>
    <w:rsid w:val="00712707"/>
    <w:pPr>
      <w:numPr>
        <w:numId w:val="5"/>
      </w:numPr>
    </w:pPr>
  </w:style>
  <w:style w:type="paragraph" w:styleId="ListNumber4">
    <w:name w:val="List Number 4"/>
    <w:basedOn w:val="List4"/>
    <w:rsid w:val="00712707"/>
    <w:pPr>
      <w:numPr>
        <w:numId w:val="6"/>
      </w:numPr>
    </w:pPr>
  </w:style>
  <w:style w:type="paragraph" w:styleId="ListNumber5">
    <w:name w:val="List Number 5"/>
    <w:basedOn w:val="List5"/>
    <w:rsid w:val="00712707"/>
    <w:pPr>
      <w:numPr>
        <w:numId w:val="7"/>
      </w:numPr>
    </w:pPr>
  </w:style>
  <w:style w:type="paragraph" w:styleId="BlockText">
    <w:name w:val="Block Text"/>
    <w:basedOn w:val="Normal"/>
    <w:rsid w:val="00712707"/>
    <w:pPr>
      <w:spacing w:after="120"/>
      <w:ind w:left="1440" w:right="1440"/>
    </w:pPr>
  </w:style>
  <w:style w:type="character" w:customStyle="1" w:styleId="Subscript">
    <w:name w:val="Subscript"/>
    <w:basedOn w:val="DefaultParagraphFont"/>
    <w:rsid w:val="00712707"/>
    <w:rPr>
      <w:sz w:val="16"/>
      <w:vertAlign w:val="subscript"/>
    </w:rPr>
  </w:style>
  <w:style w:type="character" w:customStyle="1" w:styleId="Superscript">
    <w:name w:val="Superscript"/>
    <w:basedOn w:val="DefaultParagraphFont"/>
    <w:rsid w:val="00712707"/>
    <w:rPr>
      <w:sz w:val="16"/>
      <w:vertAlign w:val="superscript"/>
    </w:rPr>
  </w:style>
  <w:style w:type="character" w:customStyle="1" w:styleId="Symbols">
    <w:name w:val="Symbols"/>
    <w:basedOn w:val="DefaultParagraphFont"/>
    <w:rsid w:val="00712707"/>
    <w:rPr>
      <w:rFonts w:ascii="Symbol" w:hAnsi="Symbol"/>
    </w:rPr>
  </w:style>
  <w:style w:type="character" w:customStyle="1" w:styleId="MenuOptions">
    <w:name w:val="Menu Options"/>
    <w:basedOn w:val="DefaultParagraphFont"/>
    <w:rsid w:val="00712707"/>
    <w:rPr>
      <w:rFonts w:ascii="Arial Narrow" w:hAnsi="Arial Narrow"/>
      <w:smallCaps/>
    </w:rPr>
  </w:style>
  <w:style w:type="character" w:customStyle="1" w:styleId="Buttons">
    <w:name w:val="Buttons"/>
    <w:basedOn w:val="DefaultParagraphFont"/>
    <w:rsid w:val="00712707"/>
    <w:rPr>
      <w:b/>
    </w:rPr>
  </w:style>
  <w:style w:type="character" w:customStyle="1" w:styleId="Underlined">
    <w:name w:val="Underlined"/>
    <w:basedOn w:val="DefaultParagraphFont"/>
    <w:rsid w:val="00712707"/>
    <w:rPr>
      <w:u w:val="single"/>
    </w:rPr>
  </w:style>
  <w:style w:type="paragraph" w:customStyle="1" w:styleId="TableBodyTextRight">
    <w:name w:val="Table Body Text Right"/>
    <w:basedOn w:val="TableBodyText"/>
    <w:rsid w:val="00712707"/>
    <w:pPr>
      <w:widowControl w:val="0"/>
      <w:autoSpaceDE w:val="0"/>
      <w:autoSpaceDN w:val="0"/>
      <w:adjustRightInd w:val="0"/>
      <w:jc w:val="right"/>
    </w:pPr>
    <w:rPr>
      <w:rFonts w:cs="Arial"/>
      <w:szCs w:val="18"/>
    </w:rPr>
  </w:style>
  <w:style w:type="paragraph" w:customStyle="1" w:styleId="CopyrightText">
    <w:name w:val="Copyright Text"/>
    <w:basedOn w:val="BodyText"/>
    <w:rsid w:val="00712707"/>
    <w:rPr>
      <w:sz w:val="18"/>
    </w:rPr>
  </w:style>
  <w:style w:type="paragraph" w:customStyle="1" w:styleId="BodySmallRight">
    <w:name w:val="Body Small Right"/>
    <w:basedOn w:val="BodyTextRight"/>
    <w:rsid w:val="00712707"/>
    <w:rPr>
      <w:sz w:val="18"/>
      <w:szCs w:val="18"/>
    </w:rPr>
  </w:style>
  <w:style w:type="paragraph" w:customStyle="1" w:styleId="MarginEdition">
    <w:name w:val="Margin Edition"/>
    <w:basedOn w:val="MarginNote"/>
    <w:rsid w:val="00712707"/>
    <w:pPr>
      <w:spacing w:before="0" w:after="0"/>
    </w:pPr>
    <w:rPr>
      <w:rFonts w:ascii="Times New Roman" w:hAnsi="Times New Roman"/>
      <w:color w:val="999999"/>
    </w:rPr>
  </w:style>
  <w:style w:type="paragraph" w:customStyle="1" w:styleId="Spacer">
    <w:name w:val="Spacer"/>
    <w:basedOn w:val="Normal"/>
    <w:rsid w:val="00712707"/>
    <w:rPr>
      <w:sz w:val="2"/>
      <w:szCs w:val="2"/>
    </w:rPr>
  </w:style>
  <w:style w:type="character" w:customStyle="1" w:styleId="Small">
    <w:name w:val="Small"/>
    <w:basedOn w:val="DefaultParagraphFont"/>
    <w:rsid w:val="00712707"/>
    <w:rPr>
      <w:sz w:val="16"/>
    </w:rPr>
  </w:style>
  <w:style w:type="paragraph" w:customStyle="1" w:styleId="WideTable">
    <w:name w:val="Wide Table"/>
    <w:basedOn w:val="Normal"/>
    <w:rsid w:val="00712707"/>
    <w:pPr>
      <w:ind w:left="-1418"/>
    </w:pPr>
    <w:rPr>
      <w:sz w:val="2"/>
      <w:szCs w:val="2"/>
    </w:rPr>
  </w:style>
  <w:style w:type="character" w:styleId="PageNumber">
    <w:name w:val="page number"/>
    <w:basedOn w:val="DefaultParagraphFont"/>
    <w:rsid w:val="00712707"/>
  </w:style>
  <w:style w:type="paragraph" w:styleId="Quote">
    <w:name w:val="Quote"/>
    <w:basedOn w:val="Heading1"/>
    <w:link w:val="QuoteChar"/>
    <w:qFormat/>
    <w:rsid w:val="00712707"/>
    <w:rPr>
      <w:b w:val="0"/>
      <w:sz w:val="72"/>
      <w:szCs w:val="72"/>
      <w:lang w:val="en-NZ"/>
    </w:rPr>
  </w:style>
  <w:style w:type="character" w:customStyle="1" w:styleId="QuoteChar">
    <w:name w:val="Quote Char"/>
    <w:basedOn w:val="DefaultParagraphFont"/>
    <w:link w:val="Quote"/>
    <w:rsid w:val="007127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2707"/>
    <w:pPr>
      <w:pageBreakBefore/>
    </w:pPr>
  </w:style>
  <w:style w:type="paragraph" w:customStyle="1" w:styleId="Border">
    <w:name w:val="Border"/>
    <w:basedOn w:val="Normal"/>
    <w:qFormat/>
    <w:rsid w:val="007127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2707"/>
    <w:rPr>
      <w:b/>
      <w:bCs/>
      <w:i/>
      <w:iCs/>
      <w:color w:val="auto"/>
    </w:rPr>
  </w:style>
  <w:style w:type="paragraph" w:styleId="IntenseQuote">
    <w:name w:val="Intense Quote"/>
    <w:basedOn w:val="Normal"/>
    <w:next w:val="Normal"/>
    <w:link w:val="IntenseQuoteChar"/>
    <w:uiPriority w:val="30"/>
    <w:qFormat/>
    <w:rsid w:val="007127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27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2707"/>
    <w:rPr>
      <w:smallCaps/>
      <w:color w:val="auto"/>
      <w:u w:val="single"/>
    </w:rPr>
  </w:style>
  <w:style w:type="character" w:styleId="IntenseReference">
    <w:name w:val="Intense Reference"/>
    <w:basedOn w:val="DefaultParagraphFont"/>
    <w:uiPriority w:val="32"/>
    <w:qFormat/>
    <w:rsid w:val="00712707"/>
    <w:rPr>
      <w:b/>
      <w:bCs/>
      <w:smallCaps/>
      <w:color w:val="auto"/>
      <w:spacing w:val="5"/>
      <w:u w:val="single"/>
    </w:rPr>
  </w:style>
  <w:style w:type="paragraph" w:customStyle="1" w:styleId="2ColumnHeading">
    <w:name w:val="2Column Heading"/>
    <w:basedOn w:val="BodyText"/>
    <w:qFormat/>
    <w:rsid w:val="00712707"/>
    <w:pPr>
      <w:spacing w:after="60"/>
      <w:ind w:left="-2268"/>
    </w:pPr>
    <w:rPr>
      <w:b/>
    </w:rPr>
  </w:style>
  <w:style w:type="paragraph" w:customStyle="1" w:styleId="Heading1TOC">
    <w:name w:val="Heading1 TOC"/>
    <w:basedOn w:val="Normal"/>
    <w:qFormat/>
    <w:rsid w:val="00712707"/>
    <w:pPr>
      <w:spacing w:before="240" w:after="120"/>
    </w:pPr>
    <w:rPr>
      <w:rFonts w:ascii="Times New Roman" w:hAnsi="Times New Roman"/>
      <w:b/>
      <w:sz w:val="32"/>
    </w:rPr>
  </w:style>
  <w:style w:type="paragraph" w:customStyle="1" w:styleId="Heading2TOC">
    <w:name w:val="Heading2 TOC"/>
    <w:basedOn w:val="Normal"/>
    <w:qFormat/>
    <w:rsid w:val="00712707"/>
    <w:pPr>
      <w:spacing w:before="240" w:after="60"/>
    </w:pPr>
    <w:rPr>
      <w:rFonts w:ascii="Times New Roman" w:hAnsi="Times New Roman"/>
      <w:b/>
      <w:sz w:val="28"/>
    </w:rPr>
  </w:style>
  <w:style w:type="character" w:customStyle="1" w:styleId="Underline">
    <w:name w:val="Underline"/>
    <w:basedOn w:val="DefaultParagraphFont"/>
    <w:qFormat/>
    <w:rsid w:val="00712707"/>
    <w:rPr>
      <w:u w:val="single"/>
    </w:rPr>
  </w:style>
  <w:style w:type="paragraph" w:styleId="BalloonText">
    <w:name w:val="Balloon Text"/>
    <w:basedOn w:val="Normal"/>
    <w:link w:val="BalloonTextChar"/>
    <w:rsid w:val="00712707"/>
    <w:rPr>
      <w:rFonts w:ascii="Tahoma" w:hAnsi="Tahoma" w:cs="Tahoma"/>
      <w:sz w:val="16"/>
      <w:szCs w:val="16"/>
    </w:rPr>
  </w:style>
  <w:style w:type="character" w:customStyle="1" w:styleId="BalloonTextChar">
    <w:name w:val="Balloon Text Char"/>
    <w:basedOn w:val="DefaultParagraphFont"/>
    <w:link w:val="BalloonText"/>
    <w:rsid w:val="007127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27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27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2707"/>
    <w:rPr>
      <w:b/>
      <w:color w:val="660033"/>
      <w:spacing w:val="0"/>
    </w:rPr>
  </w:style>
  <w:style w:type="paragraph" w:customStyle="1" w:styleId="Nameditemlist">
    <w:name w:val="Named item list"/>
    <w:basedOn w:val="BodyText"/>
    <w:qFormat/>
    <w:rsid w:val="0071270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1347</Words>
  <Characters>8827</Characters>
  <Application>Microsoft Office Word</Application>
  <DocSecurity>0</DocSecurity>
  <Lines>346</Lines>
  <Paragraphs>225</Paragraphs>
  <ScaleCrop>false</ScaleCrop>
  <Company>Author-it Software Corporation Ltd.</Company>
  <LinksUpToDate>false</LinksUpToDate>
  <CharactersWithSpaces>10088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MARC3005A Operate and monitor marine internal combustion engines, propulsion plant and auxiliary systems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2013-06-06T05:05:00Z</dcterms:created>
  <dcterms:modified xsi:type="dcterms:W3CDTF">2013-06-06T05:05:00Z</dcterms:modified>
</cp:coreProperties>
</file>