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853" w:rsidP="00752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MARC3001A Manage fuel systems</w:t>
      </w:r>
      <w:r>
        <w:fldChar w:fldCharType="end"/>
      </w:r>
    </w:p>
    <w:p w:rsidR="00752853" w:rsidP="00752853">
      <w:pPr>
        <w:pStyle w:val="Version"/>
        <w:sectPr w:rsidSect="005A43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43DA" w:rsidP="005A43DA">
      <w:pPr>
        <w:pStyle w:val="SuperHeading"/>
      </w:pPr>
      <w:r w:rsidRPr="005A43DA">
        <w:t>MARC3001A Manage fuel systems</w:t>
      </w:r>
    </w:p>
    <w:p w:rsidR="00000000" w:rsidRPr="005A43DA" w:rsidP="005A43DA">
      <w:pPr>
        <w:pStyle w:val="Heading1"/>
      </w:pPr>
      <w:bookmarkStart w:id="1" w:name="O_536481"/>
      <w:bookmarkEnd w:id="1"/>
      <w:r w:rsidRPr="005A43DA">
        <w:t>Modification History</w:t>
      </w:r>
    </w:p>
    <w:p w:rsidR="00000000" w:rsidRPr="005A43DA" w:rsidP="005A43DA">
      <w:pPr>
        <w:pStyle w:val="BodyText"/>
      </w:pPr>
      <w:r w:rsidRPr="005A43DA">
        <w:t>Release 1</w:t>
      </w:r>
    </w:p>
    <w:p w:rsidR="00000000" w:rsidRPr="005A43DA" w:rsidP="005A43DA">
      <w:pPr>
        <w:pStyle w:val="BodyText"/>
      </w:pPr>
      <w:r w:rsidRPr="005A43DA">
        <w:t>This is the first release of this unit.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2" w:name="O_536482"/>
      <w:bookmarkEnd w:id="2"/>
      <w:r w:rsidRPr="005A43DA">
        <w:t>Unit Descriptor</w:t>
      </w:r>
    </w:p>
    <w:p w:rsidR="00000000" w:rsidRPr="005A43DA" w:rsidP="005A43DA">
      <w:pPr>
        <w:pStyle w:val="BodyText"/>
      </w:pPr>
      <w:r w:rsidRPr="005A43DA">
        <w:t>This unit involves the skills and knowledge required to manage the fuel and fuel oil systems of a vessel to ensure safety of operation and to avoid poll</w:t>
      </w:r>
      <w:r w:rsidRPr="005A43DA">
        <w:t>ution of the marine environment.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3" w:name="O_536483"/>
      <w:bookmarkEnd w:id="3"/>
      <w:r w:rsidRPr="005A43DA">
        <w:t>Application of the Unit</w:t>
      </w:r>
    </w:p>
    <w:p w:rsidR="00000000" w:rsidRPr="005A43DA" w:rsidP="005A43DA">
      <w:pPr>
        <w:pStyle w:val="BodyText"/>
      </w:pPr>
      <w:r w:rsidRPr="005A43DA">
        <w:t>This unit applies to engine workers in the maritime industry working as a Marine Engine Driver Grade 2 on vessels up to 750 kW or as a Marine Engine Driver Steam.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4" w:name="O_536484"/>
      <w:bookmarkEnd w:id="4"/>
      <w:r w:rsidRPr="005A43DA">
        <w:t>Li</w:t>
      </w:r>
      <w:r w:rsidRPr="005A43DA">
        <w:t>censing/Regulatory Information</w:t>
      </w:r>
    </w:p>
    <w:p w:rsidR="00000000" w:rsidRPr="005A43DA" w:rsidP="005A43DA">
      <w:pPr>
        <w:pStyle w:val="BodyText"/>
      </w:pPr>
      <w:r w:rsidRPr="005A43DA">
        <w:t>Not applicable.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5" w:name="O_536485"/>
      <w:bookmarkEnd w:id="5"/>
      <w:r w:rsidRPr="005A43DA">
        <w:t>Pre-Requisites</w:t>
      </w:r>
    </w:p>
    <w:p w:rsidR="00000000" w:rsidRPr="005A43DA" w:rsidP="005A43DA">
      <w:pPr>
        <w:pStyle w:val="BodyText"/>
      </w:pPr>
      <w:r w:rsidRPr="005A43DA">
        <w:t>Not applicable.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6" w:name="O_536486"/>
      <w:bookmarkEnd w:id="6"/>
      <w:r w:rsidRPr="005A43DA">
        <w:t>Employability Skills Information</w:t>
      </w:r>
    </w:p>
    <w:p w:rsidR="00000000" w:rsidRPr="005A43DA" w:rsidP="005A43DA">
      <w:pPr>
        <w:pStyle w:val="BodyText"/>
      </w:pPr>
      <w:r w:rsidRPr="005A43DA">
        <w:t>This unit contains employability skills.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7" w:name="O_536487"/>
      <w:bookmarkEnd w:id="7"/>
      <w:r w:rsidRPr="005A43D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Element</w:t>
            </w:r>
            <w:r w:rsidRPr="005A43DA">
              <w:t>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A43DA" w:rsidP="005A43DA">
      <w:pPr>
        <w:pStyle w:val="BodyText"/>
      </w:pP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8" w:name="O_536488"/>
      <w:bookmarkEnd w:id="8"/>
      <w:r w:rsidRPr="005A43D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Plan refuelling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Fuel tanks are dipped to establish current level of fuel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 xml:space="preserve">Amount of fuel on board vessel is calculated and positioning of fuel </w:t>
            </w:r>
            <w:r w:rsidRPr="005A43DA">
              <w:t>is determined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BoldandItalics"/>
              </w:rPr>
              <w:t>Impact of refuelling on vessel safety</w:t>
            </w:r>
            <w:r w:rsidRPr="005A43DA">
              <w:t xml:space="preserve"> is determined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Fuel is ordered according to organisational procedures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Prepare vessel for refuelling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Vessel is positioned and secured for refuelling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BoldandItalics"/>
              </w:rPr>
              <w:t>Refuelling equipment</w:t>
            </w:r>
            <w:r w:rsidRPr="005A43DA">
              <w:t xml:space="preserve"> is correctly deployed according to organisational procedures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Communication between all people involved in refuelling procedures is established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Tank valves are opened as necessary and refuelling operations are performed according to organisational procedures and regulatory requirements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Tanks are dipped to ensure correct amount of fuel has been received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Complete refuelling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BoldandItalics"/>
              </w:rPr>
              <w:t>Shut-down procedures</w:t>
            </w:r>
            <w:r w:rsidRPr="005A43DA">
              <w:t xml:space="preserve"> are conducted according to organisational procedures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Refuelling equipment is</w:t>
            </w:r>
            <w:r w:rsidRPr="005A43DA">
              <w:t xml:space="preserve"> secured according to organisational procedures 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BoldandItalics"/>
              </w:rPr>
              <w:t>Refuelling records</w:t>
            </w:r>
            <w:r w:rsidRPr="005A43DA">
              <w:t xml:space="preserve"> are completed according to organisational procedures and regulatory requirements 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Malfunctions, faults, irregular performance or damage to refuelling equipment are recorded a</w:t>
            </w:r>
            <w:r w:rsidRPr="005A43DA">
              <w:t xml:space="preserve">ccording to organisational procedures 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Manage an emergency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 xml:space="preserve">Appropriate response is made to </w:t>
            </w:r>
            <w:r w:rsidRPr="005A43DA">
              <w:rPr>
                <w:rStyle w:val="BoldandItalics"/>
              </w:rPr>
              <w:t>emergency situation</w:t>
            </w:r>
            <w:r w:rsidRPr="005A43DA">
              <w:t xml:space="preserve"> according to organisational procedures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All personnel are correctly notified and their activities are man</w:t>
            </w:r>
            <w:r w:rsidRPr="005A43DA">
              <w:t>aged to ensure their safety, according to organisational procedures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Waste containment measures are implemented to protect the environment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BoldandItalics"/>
              </w:rPr>
              <w:t>Appropriate authorities</w:t>
            </w:r>
            <w:r w:rsidRPr="005A43DA">
              <w:t xml:space="preserve"> are notified when applicable</w:t>
            </w:r>
          </w:p>
        </w:tc>
      </w:tr>
      <w:tr w:rsidTr="00752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Incident is recorded according to regulatory requirements and organisational procedures</w:t>
            </w:r>
          </w:p>
        </w:tc>
      </w:tr>
    </w:tbl>
    <w:p w:rsidR="00000000" w:rsidRPr="005A43DA" w:rsidP="005A43DA">
      <w:pPr>
        <w:pStyle w:val="BodyText"/>
      </w:pP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9" w:name="O_536489"/>
      <w:bookmarkEnd w:id="9"/>
      <w:r w:rsidRPr="005A43DA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This section describes the skills and knowledge required for this unit.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Required Skills: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Carry out accurate calculat</w:t>
            </w:r>
            <w:r w:rsidRPr="005A43DA">
              <w:t>ions dealing with bunkering capacity, consumption of fuel, speed and range of vessel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Complete required records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Manage refuelling to ensure safety of operation and avoid pollution of marine environment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Measure tank levels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Read and interpret manufacturer specifications and safety data sheets (SDS)/material safety data sheets (MSDS)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Recognise faulty equipment and take appropriate action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Recognise problems and hazards during refuelling and fuel transfer operations, and tak</w:t>
            </w:r>
            <w:r w:rsidRPr="005A43DA">
              <w:t>e appropriate action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Select and use relevant equipment required for refuelling and fuel transfer operations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>Take appropriate action in response to an accidental spillage or safety incident during refuelling and fuel transfer operations</w:t>
            </w:r>
          </w:p>
        </w:tc>
      </w:tr>
    </w:tbl>
    <w:p w:rsidR="00000000" w:rsidRPr="005A43DA" w:rsidP="005A43D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Required Knowledge: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Arrangement of fuel oil systems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Calculations involving specific fuel consumption, speed and range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Calculations of volumes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Condensation in fuel tanks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Conversion of volumes to litres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Effect of slack tanks on vessel stability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Environmental protection measures to be applied during refuelling or transfer operations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Fuel oil tank components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Fuel tank filling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Functions and responsibilities of crew during refuelling or transfer operations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Hazards and safety precautions to b</w:t>
            </w:r>
            <w:r w:rsidRPr="005A43DA">
              <w:t>e observed during refuelling or transfer operations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Methods of fuel oil tank content measurement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Refuelling and fuel transfer procedures applying to commercial vessels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Specific fuel consumption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Specific gravity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>Work health and safety (WHS)/occupational health and safety (OHS) and pollution control, legislation and policies</w:t>
            </w:r>
          </w:p>
        </w:tc>
      </w:tr>
    </w:tbl>
    <w:p w:rsidR="00752853" w:rsidP="005A43DA">
      <w:pPr>
        <w:pStyle w:val="BodyText"/>
      </w:pPr>
    </w:p>
    <w:p w:rsidR="00752853" w:rsidP="005A43DA">
      <w:pPr>
        <w:pStyle w:val="BodyText"/>
      </w:pPr>
    </w:p>
    <w:p w:rsidR="00000000" w:rsidRPr="005A43DA" w:rsidP="005A43DA">
      <w:pPr>
        <w:pStyle w:val="Heading1"/>
      </w:pPr>
      <w:bookmarkStart w:id="10" w:name="O_536490"/>
      <w:bookmarkEnd w:id="10"/>
      <w:r w:rsidRPr="005A43D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A43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The evidence guide provides advice on assessment and must be read in conjunction with the performance crite</w:t>
            </w:r>
            <w:r w:rsidRPr="005A43DA">
              <w:t>ria, the required skills and knowledge, the range statement and the Assessment Guidelines for the Training Package.</w:t>
            </w:r>
          </w:p>
        </w:tc>
      </w:tr>
      <w:tr w:rsidTr="005A43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5A43DA" w:rsidP="005A43DA">
            <w:pPr>
              <w:pStyle w:val="ListBullet"/>
            </w:pPr>
            <w:r w:rsidRPr="005A43DA">
              <w:t>performing accurate and reliable calculations deal</w:t>
            </w:r>
            <w:r w:rsidRPr="005A43DA">
              <w:t>ing with bunkering capacity, consumption of fuel, speed and range of vessel</w:t>
            </w:r>
          </w:p>
          <w:p w:rsidR="00000000" w:rsidRPr="005A43DA" w:rsidP="005A43DA">
            <w:pPr>
              <w:pStyle w:val="ListBullet"/>
            </w:pPr>
            <w:r w:rsidRPr="005A43DA">
              <w:t>managing refuelling to ensure safety of operation and avoid pollution of marine environment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taking appropriate action when accidental spillage or safety incident occurs during refu</w:t>
            </w:r>
            <w:r w:rsidRPr="005A43DA">
              <w:t>elling and fuel transfer operations.</w:t>
            </w:r>
          </w:p>
        </w:tc>
      </w:tr>
      <w:tr w:rsidTr="005A43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Performance is demonstrated consistently over time and in a suitable range of contexts.</w:t>
            </w:r>
          </w:p>
          <w:p w:rsidR="00000000" w:rsidRPr="005A43DA" w:rsidP="005A43DA">
            <w:pPr>
              <w:pStyle w:val="BodyText"/>
            </w:pPr>
            <w:r w:rsidRPr="005A43DA">
              <w:t>Resources for assessment include access to:</w:t>
            </w:r>
          </w:p>
          <w:p w:rsidR="00000000" w:rsidRPr="005A43DA" w:rsidP="005A43DA">
            <w:pPr>
              <w:pStyle w:val="ListBullet"/>
            </w:pPr>
            <w:r w:rsidRPr="005A43DA">
              <w:t xml:space="preserve">industry-approved marine operations </w:t>
            </w:r>
            <w:r w:rsidRPr="005A43DA">
              <w:t>site where managing the fuel systems of a vessel can be conducted</w:t>
            </w:r>
          </w:p>
          <w:p w:rsidR="00000000" w:rsidRPr="005A43DA" w:rsidP="005A43DA">
            <w:pPr>
              <w:pStyle w:val="ListBullet"/>
            </w:pPr>
            <w:r w:rsidRPr="005A43DA">
              <w:t>tools, equipment and personal protective equipment currently used in industry</w:t>
            </w:r>
          </w:p>
          <w:p w:rsidR="00000000" w:rsidRPr="005A43DA" w:rsidP="005A43DA">
            <w:pPr>
              <w:pStyle w:val="ListBullet"/>
            </w:pPr>
            <w:r w:rsidRPr="005A43DA">
              <w:t>relevant regulatory and equipment documentation that impacts on work activities</w:t>
            </w:r>
          </w:p>
          <w:p w:rsidR="00000000" w:rsidRPr="005A43DA" w:rsidP="005A43DA">
            <w:pPr>
              <w:pStyle w:val="ListBullet"/>
            </w:pPr>
            <w:r w:rsidRPr="005A43DA">
              <w:t>range of relevant exercises, case studies and/or other simulated practical and knowledge assessments</w:t>
            </w:r>
          </w:p>
          <w:p w:rsidR="00000000" w:rsidRPr="005A43DA" w:rsidP="005A43DA">
            <w:pPr>
              <w:pStyle w:val="ListBullet"/>
            </w:pPr>
            <w:r w:rsidRPr="005A43DA">
              <w:t>appropriate range of relevant operational situations in the workplace.</w:t>
            </w:r>
          </w:p>
          <w:p w:rsidR="00000000" w:rsidRPr="005A43DA" w:rsidP="005A43DA">
            <w:pPr>
              <w:pStyle w:val="BodyText"/>
            </w:pPr>
            <w:r w:rsidRPr="005A43DA">
              <w:t>In both real and simulated environments, access is required to:</w:t>
            </w:r>
          </w:p>
          <w:p w:rsidR="00000000" w:rsidRPr="005A43DA" w:rsidP="005A43DA">
            <w:pPr>
              <w:pStyle w:val="ListBullet"/>
            </w:pPr>
            <w:r w:rsidRPr="005A43DA">
              <w:t>relevant and approp</w:t>
            </w:r>
            <w:r w:rsidRPr="005A43DA">
              <w:t>riate materials and equipment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applicable documentation including workplace procedures, regulations, codes of practice and operation manuals.</w:t>
            </w:r>
          </w:p>
        </w:tc>
      </w:tr>
      <w:tr w:rsidTr="005A43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Practical assessment must occur in an:</w:t>
            </w:r>
          </w:p>
          <w:p w:rsidR="00000000" w:rsidRPr="005A43DA" w:rsidP="005A43DA">
            <w:pPr>
              <w:pStyle w:val="ListBullet"/>
            </w:pPr>
            <w:r w:rsidRPr="005A43DA">
              <w:t>appropriately simulated workplace environment and/or</w:t>
            </w:r>
          </w:p>
          <w:p w:rsidR="00000000" w:rsidRPr="005A43DA" w:rsidP="005A43DA">
            <w:pPr>
              <w:pStyle w:val="ListBullet"/>
            </w:pPr>
            <w:r w:rsidRPr="005A43DA">
              <w:t>appropriate range of situations in the workplace.</w:t>
            </w:r>
          </w:p>
          <w:p w:rsidR="00000000" w:rsidRPr="005A43DA" w:rsidP="005A43DA">
            <w:pPr>
              <w:pStyle w:val="BodyText"/>
            </w:pPr>
            <w:r w:rsidRPr="005A43DA">
              <w:t>A range of assessment methods should be used to assess practical skills and knowledge. The following examples are appropriate to this unit:</w:t>
            </w:r>
          </w:p>
          <w:p w:rsidR="00000000" w:rsidRPr="005A43DA" w:rsidP="005A43DA">
            <w:pPr>
              <w:pStyle w:val="ListBullet"/>
            </w:pPr>
            <w:r w:rsidRPr="005A43DA">
              <w:t xml:space="preserve">direct observation of the candidate managing the fuel systems of </w:t>
            </w:r>
            <w:r w:rsidRPr="005A43DA">
              <w:t>a vessel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direct observation of the candidate applying relevant WHS/OHS requirements and work practices.</w:t>
            </w:r>
          </w:p>
        </w:tc>
      </w:tr>
      <w:tr w:rsidTr="005A43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BodyText"/>
            </w:pPr>
            <w:r w:rsidRPr="005A43DA">
              <w:t>Holistic assessment with other units relevant to the industry sector, workplace and job role is recommended.</w:t>
            </w:r>
          </w:p>
          <w:p w:rsidR="00000000" w:rsidRPr="005A43DA" w:rsidP="005A43DA">
            <w:pPr>
              <w:pStyle w:val="BodyText"/>
            </w:pPr>
            <w:r w:rsidRPr="005A43DA">
              <w:t>In all cases where practical assessment is used it should be combined with targeted questioning to assess Required Knowledge.</w:t>
            </w:r>
          </w:p>
          <w:p w:rsidR="00000000" w:rsidRPr="005A43DA" w:rsidP="005A43DA">
            <w:pPr>
              <w:pStyle w:val="BodyText"/>
            </w:pPr>
            <w:r w:rsidRPr="005A43DA">
              <w:t xml:space="preserve">Assessment processes and techniques must be appropriate to the language and literacy requirements of the work being performed and </w:t>
            </w:r>
            <w:r w:rsidRPr="005A43DA">
              <w:t>the capacity of the candidate.</w:t>
            </w:r>
          </w:p>
        </w:tc>
      </w:tr>
    </w:tbl>
    <w:p w:rsidR="00000000" w:rsidRPr="005A43DA" w:rsidP="005A43DA">
      <w:pPr>
        <w:pStyle w:val="BodyText"/>
      </w:pP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11" w:name="O_536491"/>
      <w:bookmarkEnd w:id="11"/>
      <w:r w:rsidRPr="005A43D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The range statement relates to the unit of competency as a whole. It allows for different work environments and situations that may affect performance. Bold italicised wording, if used in th</w:t>
            </w:r>
            <w:r w:rsidRPr="005A43DA">
              <w:t>e performance criteria, is detailed below.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Impact of refuelling on vessel safety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 xml:space="preserve">Ignition of released fuel vapours 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Loss of stability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Refuelling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>Bunding</w:t>
            </w:r>
          </w:p>
          <w:p w:rsidR="00000000" w:rsidRPr="005A43DA" w:rsidP="005A43DA">
            <w:pPr>
              <w:pStyle w:val="ListBullet"/>
            </w:pPr>
            <w:r w:rsidRPr="005A43DA">
              <w:t>Bunker flag (B Flag)</w:t>
            </w:r>
          </w:p>
          <w:p w:rsidR="00000000" w:rsidRPr="005A43DA" w:rsidP="005A43DA">
            <w:pPr>
              <w:pStyle w:val="ListBullet"/>
            </w:pPr>
            <w:r w:rsidRPr="005A43DA">
              <w:t>Firefighting equipment</w:t>
            </w:r>
          </w:p>
          <w:p w:rsidR="00000000" w:rsidRPr="005A43DA" w:rsidP="005A43DA">
            <w:pPr>
              <w:pStyle w:val="ListBullet"/>
            </w:pPr>
            <w:r w:rsidRPr="005A43DA">
              <w:t>No smoking signs</w:t>
            </w:r>
          </w:p>
          <w:p w:rsidR="00000000" w:rsidRPr="005A43DA" w:rsidP="005A43DA">
            <w:pPr>
              <w:pStyle w:val="ListBullet"/>
            </w:pPr>
            <w:r w:rsidRPr="005A43DA">
              <w:t>Scupper plugs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Spill kit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Shut-down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>Communications with fuel supplier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Valve closure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Refuelling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>Log book</w:t>
            </w:r>
          </w:p>
          <w:p w:rsidR="00000000" w:rsidRPr="005A43DA" w:rsidP="005A43DA">
            <w:pPr>
              <w:pStyle w:val="ListBullet"/>
            </w:pPr>
            <w:r w:rsidRPr="005A43DA">
              <w:t>Oil record book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Port authority documentation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Emergency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>Fire</w:t>
            </w:r>
          </w:p>
          <w:p w:rsidR="00000000" w:rsidRPr="005A43DA" w:rsidP="005A43DA">
            <w:pPr>
              <w:pStyle w:val="ListBullet"/>
            </w:pPr>
            <w:r w:rsidRPr="005A43DA">
              <w:t>Hose rupture</w:t>
            </w:r>
          </w:p>
          <w:p w:rsidR="00000000" w:rsidP="005A43DA">
            <w:pPr>
              <w:pStyle w:val="ListBullet"/>
              <w:rPr>
                <w:lang w:val="en-NZ"/>
              </w:rPr>
            </w:pPr>
            <w:r w:rsidRPr="005A43DA">
              <w:t>Spillage</w:t>
            </w:r>
          </w:p>
        </w:tc>
      </w:tr>
      <w:tr w:rsidTr="00752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A">
            <w:pPr>
              <w:pStyle w:val="BodyText"/>
              <w:rPr>
                <w:lang w:val="en-NZ"/>
              </w:rPr>
            </w:pPr>
            <w:r w:rsidRPr="005A43DA">
              <w:t>Appropriate authorities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A" w:rsidP="005A43DA">
            <w:pPr>
              <w:pStyle w:val="ListBullet"/>
            </w:pPr>
            <w:r w:rsidRPr="005A43DA">
              <w:t xml:space="preserve">Environmental protection authority </w:t>
            </w:r>
          </w:p>
          <w:p w:rsidR="00000000" w:rsidRPr="005A43DA" w:rsidP="005A43DA">
            <w:pPr>
              <w:pStyle w:val="ListBullet"/>
            </w:pPr>
            <w:r w:rsidRPr="005A43DA">
              <w:t>Fire and emergency services</w:t>
            </w:r>
          </w:p>
          <w:p w:rsidR="00000000" w:rsidRPr="005A43DA" w:rsidP="005A43DA">
            <w:pPr>
              <w:pStyle w:val="ListBullet"/>
            </w:pPr>
            <w:r w:rsidRPr="005A43DA">
              <w:t>Port authority</w:t>
            </w:r>
          </w:p>
        </w:tc>
      </w:tr>
    </w:tbl>
    <w:p w:rsidR="00000000" w:rsidRPr="005A43DA" w:rsidP="005A43DA">
      <w:pPr>
        <w:pStyle w:val="BodyText"/>
      </w:pP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12" w:name="O_536492"/>
      <w:bookmarkEnd w:id="12"/>
      <w:r w:rsidRPr="005A43DA">
        <w:t>Unit Sector(s)</w:t>
      </w:r>
    </w:p>
    <w:p w:rsidR="00000000" w:rsidRPr="005A43DA" w:rsidP="005A43DA">
      <w:pPr>
        <w:pStyle w:val="BodyText"/>
      </w:pPr>
      <w:r w:rsidRPr="005A43DA">
        <w:t>Not applicable.</w:t>
      </w:r>
    </w:p>
    <w:p w:rsidR="00000000" w:rsidRPr="005A43DA" w:rsidP="005A43DA">
      <w:pPr>
        <w:pStyle w:val="AllowPageBreak"/>
      </w:pPr>
    </w:p>
    <w:p w:rsidR="00000000" w:rsidRPr="005A43DA" w:rsidP="005A43DA">
      <w:pPr>
        <w:pStyle w:val="Heading1"/>
      </w:pPr>
      <w:bookmarkStart w:id="13" w:name="O_536493"/>
      <w:bookmarkEnd w:id="13"/>
      <w:r w:rsidRPr="005A43DA">
        <w:t>Competency Field</w:t>
      </w:r>
    </w:p>
    <w:p w:rsidR="00000000" w:rsidRPr="005A43DA" w:rsidP="005A43DA">
      <w:pPr>
        <w:pStyle w:val="BodyText"/>
      </w:pPr>
      <w:r w:rsidRPr="005A43DA">
        <w:t>Equipment Operations</w:t>
      </w:r>
    </w:p>
    <w:p w:rsidR="00000000" w:rsidRPr="005A43DA" w:rsidP="005A43DA"/>
    <w:sectPr w:rsidSect="005A43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A" w:rsidRPr="00752853" w:rsidP="00752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53" w:rsidP="005A4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52853" w:rsidP="005A4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52853" w:rsidP="005A43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A" w:rsidRPr="00752853" w:rsidP="007528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53" w:rsidRPr="002D2AF8" w:rsidP="005A4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MARC3001A Manage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752853" w:rsidP="005A43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F8D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32B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3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3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3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3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3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3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3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3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3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3DA"/>
  </w:style>
  <w:style w:type="character" w:customStyle="1" w:styleId="Heading1Char">
    <w:name w:val="Heading 1 Char"/>
    <w:basedOn w:val="DefaultParagraphFont"/>
    <w:link w:val="Heading1"/>
    <w:rsid w:val="005A43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3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3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3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3DA"/>
    <w:rPr>
      <w:b/>
      <w:spacing w:val="0"/>
    </w:rPr>
  </w:style>
  <w:style w:type="paragraph" w:customStyle="1" w:styleId="SuperHeading">
    <w:name w:val="SuperHeading"/>
    <w:basedOn w:val="Normal"/>
    <w:rsid w:val="005A43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3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A43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43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3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3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3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3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3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3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3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3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3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3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3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3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3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3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3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3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3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3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3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3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3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3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3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3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3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3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3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3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3DA"/>
    <w:rPr>
      <w:i/>
    </w:rPr>
  </w:style>
  <w:style w:type="paragraph" w:styleId="Caption">
    <w:name w:val="caption"/>
    <w:basedOn w:val="BodyText"/>
    <w:next w:val="Normal"/>
    <w:qFormat/>
    <w:rsid w:val="005A43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3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3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3DA"/>
  </w:style>
  <w:style w:type="paragraph" w:styleId="TableofFigures">
    <w:name w:val="table of figures"/>
    <w:basedOn w:val="Normal"/>
    <w:next w:val="Normal"/>
    <w:semiHidden/>
    <w:rsid w:val="005A43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3DA"/>
    <w:pPr>
      <w:numPr>
        <w:numId w:val="10"/>
      </w:numPr>
    </w:pPr>
  </w:style>
  <w:style w:type="character" w:customStyle="1" w:styleId="WingdingSymbols">
    <w:name w:val="Wingding Symbols"/>
    <w:rsid w:val="005A43DA"/>
    <w:rPr>
      <w:rFonts w:ascii="Wingdings" w:hAnsi="Wingdings"/>
    </w:rPr>
  </w:style>
  <w:style w:type="paragraph" w:customStyle="1" w:styleId="TableHeading">
    <w:name w:val="Table Heading"/>
    <w:basedOn w:val="HeadingBase"/>
    <w:rsid w:val="005A43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3DA"/>
    <w:rPr>
      <w:color w:val="0033CC"/>
      <w:u w:val="none"/>
    </w:rPr>
  </w:style>
  <w:style w:type="paragraph" w:customStyle="1" w:styleId="BodyTextRight">
    <w:name w:val="Body Text Right"/>
    <w:basedOn w:val="BodyText"/>
    <w:rsid w:val="005A43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3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3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3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3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3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3DA"/>
    <w:rPr>
      <w:sz w:val="32"/>
    </w:rPr>
  </w:style>
  <w:style w:type="paragraph" w:customStyle="1" w:styleId="HeadingProcedure">
    <w:name w:val="Heading Procedure"/>
    <w:basedOn w:val="HeadingBase"/>
    <w:next w:val="Normal"/>
    <w:rsid w:val="005A43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3DA"/>
    <w:pPr>
      <w:spacing w:before="60" w:after="60"/>
    </w:pPr>
  </w:style>
  <w:style w:type="paragraph" w:styleId="ListContinue">
    <w:name w:val="List Continue"/>
    <w:basedOn w:val="List"/>
    <w:rsid w:val="005A43DA"/>
    <w:pPr>
      <w:ind w:firstLine="0"/>
    </w:pPr>
  </w:style>
  <w:style w:type="paragraph" w:customStyle="1" w:styleId="ListNote">
    <w:name w:val="List Note"/>
    <w:basedOn w:val="List"/>
    <w:rsid w:val="005A43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3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3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3DA"/>
    <w:rPr>
      <w:rFonts w:ascii="Courier New" w:hAnsi="Courier New"/>
    </w:rPr>
  </w:style>
  <w:style w:type="paragraph" w:customStyle="1" w:styleId="NoteBullet">
    <w:name w:val="Note Bullet"/>
    <w:basedOn w:val="Note"/>
    <w:rsid w:val="005A43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3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3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3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3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3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3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3DA"/>
    <w:rPr>
      <w:b/>
      <w:smallCaps/>
    </w:rPr>
  </w:style>
  <w:style w:type="paragraph" w:customStyle="1" w:styleId="TableListNumber">
    <w:name w:val="Table List Number"/>
    <w:basedOn w:val="ListNumber"/>
    <w:rsid w:val="005A43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3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3DA"/>
    <w:pPr>
      <w:numPr>
        <w:numId w:val="8"/>
      </w:numPr>
    </w:pPr>
  </w:style>
  <w:style w:type="paragraph" w:customStyle="1" w:styleId="ListAlpha2">
    <w:name w:val="List Alpha 2"/>
    <w:basedOn w:val="List2"/>
    <w:rsid w:val="005A43DA"/>
    <w:pPr>
      <w:numPr>
        <w:numId w:val="7"/>
      </w:numPr>
    </w:pPr>
  </w:style>
  <w:style w:type="paragraph" w:styleId="List2">
    <w:name w:val="List 2"/>
    <w:basedOn w:val="BodyText"/>
    <w:rsid w:val="005A43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3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3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3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3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3DA"/>
    <w:pPr>
      <w:numPr>
        <w:numId w:val="2"/>
      </w:numPr>
    </w:pPr>
  </w:style>
  <w:style w:type="paragraph" w:styleId="ListBullet5">
    <w:name w:val="List Bullet 5"/>
    <w:basedOn w:val="List5"/>
    <w:rsid w:val="005A43DA"/>
    <w:pPr>
      <w:numPr>
        <w:numId w:val="3"/>
      </w:numPr>
    </w:pPr>
  </w:style>
  <w:style w:type="paragraph" w:styleId="ListContinue2">
    <w:name w:val="List Continue 2"/>
    <w:basedOn w:val="List2"/>
    <w:rsid w:val="005A43DA"/>
    <w:pPr>
      <w:ind w:firstLine="0"/>
    </w:pPr>
  </w:style>
  <w:style w:type="paragraph" w:styleId="ListContinue3">
    <w:name w:val="List Continue 3"/>
    <w:basedOn w:val="List3"/>
    <w:rsid w:val="005A43DA"/>
    <w:pPr>
      <w:ind w:left="1021" w:firstLine="0"/>
    </w:pPr>
  </w:style>
  <w:style w:type="paragraph" w:styleId="ListContinue4">
    <w:name w:val="List Continue 4"/>
    <w:basedOn w:val="List4"/>
    <w:rsid w:val="005A43DA"/>
    <w:pPr>
      <w:ind w:firstLine="0"/>
    </w:pPr>
  </w:style>
  <w:style w:type="paragraph" w:styleId="ListContinue5">
    <w:name w:val="List Continue 5"/>
    <w:basedOn w:val="List5"/>
    <w:rsid w:val="005A43DA"/>
    <w:pPr>
      <w:ind w:firstLine="0"/>
    </w:pPr>
  </w:style>
  <w:style w:type="paragraph" w:styleId="ListNumber3">
    <w:name w:val="List Number 3"/>
    <w:basedOn w:val="List3"/>
    <w:rsid w:val="005A43DA"/>
    <w:pPr>
      <w:numPr>
        <w:numId w:val="4"/>
      </w:numPr>
    </w:pPr>
  </w:style>
  <w:style w:type="paragraph" w:styleId="ListNumber4">
    <w:name w:val="List Number 4"/>
    <w:basedOn w:val="List4"/>
    <w:rsid w:val="005A43DA"/>
    <w:pPr>
      <w:numPr>
        <w:numId w:val="5"/>
      </w:numPr>
    </w:pPr>
  </w:style>
  <w:style w:type="paragraph" w:styleId="ListNumber5">
    <w:name w:val="List Number 5"/>
    <w:basedOn w:val="List5"/>
    <w:rsid w:val="005A43DA"/>
    <w:pPr>
      <w:numPr>
        <w:numId w:val="6"/>
      </w:numPr>
    </w:pPr>
  </w:style>
  <w:style w:type="paragraph" w:styleId="BlockText">
    <w:name w:val="Block Text"/>
    <w:basedOn w:val="Normal"/>
    <w:rsid w:val="005A43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3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3DA"/>
    <w:rPr>
      <w:sz w:val="16"/>
      <w:vertAlign w:val="superscript"/>
    </w:rPr>
  </w:style>
  <w:style w:type="character" w:customStyle="1" w:styleId="Symbols">
    <w:name w:val="Symbols"/>
    <w:basedOn w:val="DefaultParagraphFont"/>
    <w:rsid w:val="005A43DA"/>
    <w:rPr>
      <w:rFonts w:ascii="Symbol" w:hAnsi="Symbol"/>
    </w:rPr>
  </w:style>
  <w:style w:type="character" w:customStyle="1" w:styleId="MenuOptions">
    <w:name w:val="Menu Options"/>
    <w:basedOn w:val="DefaultParagraphFont"/>
    <w:rsid w:val="005A43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3DA"/>
    <w:rPr>
      <w:b/>
    </w:rPr>
  </w:style>
  <w:style w:type="character" w:customStyle="1" w:styleId="Underlined">
    <w:name w:val="Underlined"/>
    <w:basedOn w:val="DefaultParagraphFont"/>
    <w:rsid w:val="005A43DA"/>
    <w:rPr>
      <w:u w:val="single"/>
    </w:rPr>
  </w:style>
  <w:style w:type="paragraph" w:customStyle="1" w:styleId="TableBodyTextRight">
    <w:name w:val="Table Body Text Right"/>
    <w:basedOn w:val="TableBodyText"/>
    <w:rsid w:val="005A43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3DA"/>
    <w:rPr>
      <w:sz w:val="18"/>
    </w:rPr>
  </w:style>
  <w:style w:type="paragraph" w:customStyle="1" w:styleId="BodySmallRight">
    <w:name w:val="Body Small Right"/>
    <w:basedOn w:val="BodyTextRight"/>
    <w:rsid w:val="005A43DA"/>
    <w:rPr>
      <w:sz w:val="18"/>
      <w:szCs w:val="18"/>
    </w:rPr>
  </w:style>
  <w:style w:type="paragraph" w:customStyle="1" w:styleId="MarginEdition">
    <w:name w:val="Margin Edition"/>
    <w:basedOn w:val="MarginNote"/>
    <w:rsid w:val="005A43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3DA"/>
    <w:rPr>
      <w:sz w:val="2"/>
      <w:szCs w:val="2"/>
    </w:rPr>
  </w:style>
  <w:style w:type="character" w:customStyle="1" w:styleId="Small">
    <w:name w:val="Small"/>
    <w:basedOn w:val="DefaultParagraphFont"/>
    <w:rsid w:val="005A43DA"/>
    <w:rPr>
      <w:sz w:val="16"/>
    </w:rPr>
  </w:style>
  <w:style w:type="paragraph" w:customStyle="1" w:styleId="WideTable">
    <w:name w:val="Wide Table"/>
    <w:basedOn w:val="Normal"/>
    <w:rsid w:val="005A43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3DA"/>
  </w:style>
  <w:style w:type="paragraph" w:styleId="Quote">
    <w:name w:val="Quote"/>
    <w:basedOn w:val="Heading1"/>
    <w:link w:val="QuoteChar"/>
    <w:qFormat/>
    <w:rsid w:val="005A43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3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3DA"/>
    <w:pPr>
      <w:pageBreakBefore/>
    </w:pPr>
  </w:style>
  <w:style w:type="paragraph" w:customStyle="1" w:styleId="Border">
    <w:name w:val="Border"/>
    <w:basedOn w:val="Normal"/>
    <w:qFormat/>
    <w:rsid w:val="005A43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3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3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3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3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3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3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3DA"/>
    <w:rPr>
      <w:u w:val="single"/>
    </w:rPr>
  </w:style>
  <w:style w:type="paragraph" w:styleId="BalloonText">
    <w:name w:val="Balloon Text"/>
    <w:basedOn w:val="Normal"/>
    <w:link w:val="BalloonTextChar"/>
    <w:rsid w:val="005A4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3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3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3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3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3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1088</Words>
  <Characters>6813</Characters>
  <Application>Microsoft Office Word</Application>
  <DocSecurity>0</DocSecurity>
  <Lines>267</Lines>
  <Paragraphs>153</Paragraphs>
  <ScaleCrop>false</ScaleCrop>
  <Company>Author-it Software Corporation Ltd.</Company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MARC3001A Manage fuel systems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2013-06-06T05:03:00Z</dcterms:created>
  <dcterms:modified xsi:type="dcterms:W3CDTF">2013-06-06T05:03:00Z</dcterms:modified>
</cp:coreProperties>
</file>