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8FB" w:rsidP="004A68FB">
      <w:pPr>
        <w:pStyle w:val="Title"/>
      </w:pPr>
      <w:r>
        <w:fldChar w:fldCharType="begin"/>
      </w:r>
      <w:r>
        <w:instrText xml:space="preserve"> TITLE   \* MERGEFORMAT </w:instrText>
      </w:r>
      <w:r>
        <w:fldChar w:fldCharType="separate"/>
      </w:r>
      <w:r>
        <w:t>MARC2004A Operate deck machinery</w:t>
      </w:r>
      <w:r>
        <w:fldChar w:fldCharType="end"/>
      </w:r>
    </w:p>
    <w:p w:rsidR="004A68FB" w:rsidP="004A68FB">
      <w:pPr>
        <w:pStyle w:val="Version"/>
        <w:sectPr w:rsidSect="00CD74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43D" w:rsidP="00CD743D">
      <w:pPr>
        <w:pStyle w:val="SuperHeading"/>
      </w:pPr>
      <w:r w:rsidRPr="00CD743D">
        <w:t>MARC2004A Operate deck machinery</w:t>
      </w:r>
    </w:p>
    <w:p w:rsidR="00000000" w:rsidRPr="00CD743D" w:rsidP="00CD743D">
      <w:pPr>
        <w:pStyle w:val="Heading1"/>
      </w:pPr>
      <w:bookmarkStart w:id="1" w:name="O_536421"/>
      <w:bookmarkEnd w:id="1"/>
      <w:r w:rsidRPr="00CD743D">
        <w:t>Modification History</w:t>
      </w:r>
    </w:p>
    <w:p w:rsidR="00000000" w:rsidRPr="00CD743D" w:rsidP="00CD743D">
      <w:pPr>
        <w:pStyle w:val="BodyText"/>
      </w:pPr>
      <w:r w:rsidRPr="00CD743D">
        <w:t>Release 1</w:t>
      </w:r>
    </w:p>
    <w:p w:rsidR="00000000" w:rsidRPr="00CD743D" w:rsidP="00CD743D">
      <w:pPr>
        <w:pStyle w:val="BodyText"/>
      </w:pPr>
      <w:r w:rsidRPr="00CD743D">
        <w:t>This is the first release of this unit.</w:t>
      </w:r>
    </w:p>
    <w:p w:rsidR="00000000" w:rsidRPr="00CD743D" w:rsidP="00CD743D">
      <w:pPr>
        <w:pStyle w:val="AllowPageBreak"/>
      </w:pPr>
    </w:p>
    <w:p w:rsidR="00000000" w:rsidRPr="00CD743D" w:rsidP="00CD743D">
      <w:pPr>
        <w:pStyle w:val="Heading1"/>
      </w:pPr>
      <w:bookmarkStart w:id="2" w:name="O_536422"/>
      <w:bookmarkEnd w:id="2"/>
      <w:r w:rsidRPr="00CD743D">
        <w:t>Unit Descriptor</w:t>
      </w:r>
    </w:p>
    <w:p w:rsidR="00000000" w:rsidRPr="00CD743D" w:rsidP="00CD743D">
      <w:pPr>
        <w:pStyle w:val="BodyText"/>
      </w:pPr>
      <w:r w:rsidRPr="00CD743D">
        <w:t>This unit involves the skills and knowledge required to safely use deck machinery on a vessel.</w:t>
      </w:r>
    </w:p>
    <w:p w:rsidR="00000000" w:rsidRPr="00CD743D" w:rsidP="00CD743D">
      <w:pPr>
        <w:pStyle w:val="AllowPageBreak"/>
      </w:pPr>
    </w:p>
    <w:p w:rsidR="00000000" w:rsidRPr="00CD743D" w:rsidP="00CD743D">
      <w:pPr>
        <w:pStyle w:val="Heading1"/>
      </w:pPr>
      <w:bookmarkStart w:id="3" w:name="O_536423"/>
      <w:bookmarkEnd w:id="3"/>
      <w:r w:rsidRPr="00CD743D">
        <w:t>Application of the Unit</w:t>
      </w:r>
    </w:p>
    <w:p w:rsidR="00000000" w:rsidRPr="00CD743D" w:rsidP="00CD743D">
      <w:pPr>
        <w:pStyle w:val="BodyText"/>
      </w:pPr>
      <w:r w:rsidRPr="00CD743D">
        <w:t>This unit applie</w:t>
      </w:r>
      <w:r w:rsidRPr="00CD743D">
        <w:t>s to engine workers in the maritime industry working as a Marine Engine Driver Grade 3 on vessels up to 500 kW or as a Marine Engine Driver Grade 2 on vessels up to 750 kW or as a Marine Engine Driver Grade 1 on vessels up to 1500 kW.</w:t>
      </w:r>
    </w:p>
    <w:p w:rsidR="00000000" w:rsidRPr="00CD743D" w:rsidP="00CD743D">
      <w:pPr>
        <w:pStyle w:val="AllowPageBreak"/>
      </w:pPr>
    </w:p>
    <w:p w:rsidR="00000000" w:rsidRPr="00CD743D" w:rsidP="00CD743D">
      <w:pPr>
        <w:pStyle w:val="Heading1"/>
      </w:pPr>
      <w:bookmarkStart w:id="4" w:name="O_536424"/>
      <w:bookmarkEnd w:id="4"/>
      <w:r w:rsidRPr="00CD743D">
        <w:t>Lice</w:t>
      </w:r>
      <w:r w:rsidRPr="00CD743D">
        <w:t>nsing/Regulatory Information</w:t>
      </w:r>
    </w:p>
    <w:p w:rsidR="00000000" w:rsidRPr="00CD743D" w:rsidP="00CD743D">
      <w:pPr>
        <w:pStyle w:val="BodyText"/>
      </w:pPr>
      <w:r w:rsidRPr="00CD743D">
        <w:t>Not applicable.</w:t>
      </w:r>
    </w:p>
    <w:p w:rsidR="00000000" w:rsidRPr="00CD743D" w:rsidP="00CD743D">
      <w:pPr>
        <w:pStyle w:val="AllowPageBreak"/>
      </w:pPr>
    </w:p>
    <w:p w:rsidR="00000000" w:rsidRPr="00CD743D" w:rsidP="00CD743D">
      <w:pPr>
        <w:pStyle w:val="Heading1"/>
      </w:pPr>
      <w:bookmarkStart w:id="5" w:name="O_536425"/>
      <w:bookmarkEnd w:id="5"/>
      <w:r w:rsidRPr="00CD743D">
        <w:t>Pre-Requisites</w:t>
      </w:r>
    </w:p>
    <w:p w:rsidR="00000000" w:rsidRPr="00CD743D" w:rsidP="00CD743D">
      <w:pPr>
        <w:pStyle w:val="BodyText"/>
      </w:pPr>
      <w:r w:rsidRPr="00CD743D">
        <w:t>Not applicable.</w:t>
      </w:r>
    </w:p>
    <w:p w:rsidR="00000000" w:rsidRPr="00CD743D" w:rsidP="00CD743D">
      <w:pPr>
        <w:pStyle w:val="AllowPageBreak"/>
      </w:pPr>
    </w:p>
    <w:p w:rsidR="00000000" w:rsidRPr="00CD743D" w:rsidP="00CD743D">
      <w:pPr>
        <w:pStyle w:val="Heading1"/>
      </w:pPr>
      <w:bookmarkStart w:id="6" w:name="O_536426"/>
      <w:bookmarkEnd w:id="6"/>
      <w:r w:rsidRPr="00CD743D">
        <w:t>Employability Skills Information</w:t>
      </w:r>
    </w:p>
    <w:p w:rsidR="00000000" w:rsidRPr="00CD743D" w:rsidP="00CD743D">
      <w:pPr>
        <w:pStyle w:val="BodyText"/>
      </w:pPr>
      <w:r w:rsidRPr="00CD743D">
        <w:t>This unit contains employability skills.</w:t>
      </w:r>
    </w:p>
    <w:p w:rsidR="00000000" w:rsidRPr="00CD743D" w:rsidP="00CD743D">
      <w:pPr>
        <w:pStyle w:val="AllowPageBreak"/>
      </w:pPr>
    </w:p>
    <w:p w:rsidR="00000000" w:rsidRPr="00CD743D" w:rsidP="00CD743D">
      <w:pPr>
        <w:pStyle w:val="Heading1"/>
      </w:pPr>
      <w:bookmarkStart w:id="7" w:name="O_536427"/>
      <w:bookmarkEnd w:id="7"/>
      <w:r w:rsidRPr="00CD743D">
        <w:t>Elements and Performance Criteria Pre-Content</w:t>
      </w:r>
    </w:p>
    <w:tbl>
      <w:tblPr>
        <w:tblW w:w="9640" w:type="dxa"/>
        <w:tblLayout w:type="fixed"/>
        <w:tblCellMar>
          <w:left w:w="62" w:type="dxa"/>
          <w:right w:w="62" w:type="dxa"/>
        </w:tblCellMar>
        <w:tblLook w:val="0000"/>
      </w:tblPr>
      <w:tblGrid>
        <w:gridCol w:w="2776"/>
        <w:gridCol w:w="6864"/>
      </w:tblGrid>
      <w:tr w:rsidTr="004A68F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 xml:space="preserve">Elements </w:t>
            </w:r>
            <w:r w:rsidRPr="00CD743D">
              <w:t>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D743D" w:rsidP="00CD743D">
            <w:pPr>
              <w:pStyle w:val="BodyText"/>
            </w:pPr>
            <w:r w:rsidRPr="00CD743D">
              <w:t>Performance criteria describe the required performance needed to demonstrate achievement of the element. Assessment of performance is to be consistent with the evidence guide.</w:t>
            </w:r>
          </w:p>
        </w:tc>
      </w:tr>
    </w:tbl>
    <w:p w:rsidR="00000000" w:rsidRPr="00CD743D" w:rsidP="00CD743D">
      <w:pPr>
        <w:pStyle w:val="BodyText"/>
      </w:pPr>
    </w:p>
    <w:p w:rsidR="00000000" w:rsidRPr="00CD743D" w:rsidP="00CD743D">
      <w:pPr>
        <w:pStyle w:val="AllowPageBreak"/>
      </w:pPr>
    </w:p>
    <w:p w:rsidR="00000000" w:rsidRPr="00CD743D" w:rsidP="00CD743D">
      <w:pPr>
        <w:pStyle w:val="Heading1"/>
      </w:pPr>
      <w:bookmarkStart w:id="8" w:name="O_536428"/>
      <w:bookmarkEnd w:id="8"/>
      <w:r w:rsidRPr="00CD743D">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4A68F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D743D" w:rsidP="00CD743D">
            <w:pPr>
              <w:pStyle w:val="BodyText"/>
            </w:pPr>
            <w:r w:rsidRPr="00CD743D">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rPr>
                <w:rStyle w:val="SpecialBold"/>
              </w:rPr>
              <w:t>Prepare lifting equipment and deck machinery for use</w:t>
            </w:r>
          </w:p>
        </w:tc>
        <w:tc>
          <w:tcPr>
            <w:tcW w:w="58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1.1</w:t>
            </w:r>
          </w:p>
        </w:tc>
        <w:tc>
          <w:tcPr>
            <w:tcW w:w="686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 xml:space="preserve">Appropriate </w:t>
            </w:r>
            <w:r w:rsidRPr="00CD743D">
              <w:rPr>
                <w:rStyle w:val="BoldandItalics"/>
              </w:rPr>
              <w:t>personal protective equipment</w:t>
            </w:r>
            <w:r w:rsidRPr="00CD743D">
              <w:t xml:space="preserve"> and machinery is selected, used and stored according to work health and safety (WHS)/occupational health and safety (OHS)</w:t>
            </w:r>
            <w:r w:rsidRPr="00CD743D">
              <w:t xml:space="preserve"> requirements</w:t>
            </w:r>
          </w:p>
        </w:tc>
      </w:tr>
      <w:tr w:rsidTr="004A68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1.2</w:t>
            </w:r>
          </w:p>
        </w:tc>
        <w:tc>
          <w:tcPr>
            <w:tcW w:w="686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 xml:space="preserve">Routine </w:t>
            </w:r>
            <w:r w:rsidRPr="00CD743D">
              <w:rPr>
                <w:rStyle w:val="BoldandItalics"/>
              </w:rPr>
              <w:t>pre-operational checks</w:t>
            </w:r>
            <w:r w:rsidRPr="00CD743D">
              <w:t xml:space="preserve"> are carried out on </w:t>
            </w:r>
            <w:r w:rsidRPr="00CD743D">
              <w:rPr>
                <w:rStyle w:val="BoldandItalics"/>
              </w:rPr>
              <w:t>lifting equipment and deck machinery</w:t>
            </w:r>
            <w:r w:rsidRPr="00CD743D">
              <w:t xml:space="preserve"> according to manufacturer specifications, regulatory and organisational requirements</w:t>
            </w:r>
          </w:p>
        </w:tc>
      </w:tr>
      <w:tr w:rsidTr="004A68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1.3</w:t>
            </w:r>
          </w:p>
        </w:tc>
        <w:tc>
          <w:tcPr>
            <w:tcW w:w="686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Deviations from the norm are promptly identified and rectified</w:t>
            </w:r>
          </w:p>
        </w:tc>
      </w:tr>
      <w:tr w:rsidTr="004A68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1.4</w:t>
            </w:r>
          </w:p>
        </w:tc>
        <w:tc>
          <w:tcPr>
            <w:tcW w:w="686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Adjustments are made to achieve a safe and efficient operation</w:t>
            </w:r>
          </w:p>
        </w:tc>
      </w:tr>
      <w:tr w:rsidTr="004A68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1.5</w:t>
            </w:r>
          </w:p>
        </w:tc>
        <w:tc>
          <w:tcPr>
            <w:tcW w:w="686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Inability to start machinery is reported promptly and accurately to appropriate personnel</w:t>
            </w:r>
          </w:p>
        </w:tc>
      </w:tr>
      <w:tr w:rsidTr="004A68F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D743D" w:rsidP="00CD743D">
            <w:pPr>
              <w:pStyle w:val="BodyText"/>
            </w:pPr>
            <w:r w:rsidRPr="00CD743D">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rPr>
                <w:rStyle w:val="SpecialBold"/>
              </w:rPr>
              <w:t>Operate lifting equipme</w:t>
            </w:r>
            <w:r w:rsidRPr="00CD743D">
              <w:rPr>
                <w:rStyle w:val="SpecialBold"/>
              </w:rPr>
              <w:t>nt and deck machinery</w:t>
            </w:r>
          </w:p>
        </w:tc>
        <w:tc>
          <w:tcPr>
            <w:tcW w:w="58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2.1</w:t>
            </w:r>
          </w:p>
        </w:tc>
        <w:tc>
          <w:tcPr>
            <w:tcW w:w="686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 xml:space="preserve">Machinery is operated in a </w:t>
            </w:r>
            <w:r w:rsidRPr="00CD743D">
              <w:rPr>
                <w:rStyle w:val="BoldandItalics"/>
              </w:rPr>
              <w:t>safe and controlled manner</w:t>
            </w:r>
          </w:p>
        </w:tc>
      </w:tr>
      <w:tr w:rsidTr="004A68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2.2</w:t>
            </w:r>
          </w:p>
        </w:tc>
        <w:tc>
          <w:tcPr>
            <w:tcW w:w="686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Machinery is operated within defined operating limits when running, to achieve optimum safety and efficiency</w:t>
            </w:r>
          </w:p>
        </w:tc>
      </w:tr>
      <w:tr w:rsidTr="004A68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2.3</w:t>
            </w:r>
          </w:p>
        </w:tc>
        <w:tc>
          <w:tcPr>
            <w:tcW w:w="686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 xml:space="preserve">Deviations from normal operations are promptly identified </w:t>
            </w:r>
          </w:p>
        </w:tc>
      </w:tr>
      <w:tr w:rsidTr="004A68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2.4</w:t>
            </w:r>
          </w:p>
        </w:tc>
        <w:tc>
          <w:tcPr>
            <w:tcW w:w="686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 xml:space="preserve">Action is taken to rectify </w:t>
            </w:r>
            <w:r w:rsidRPr="00CD743D">
              <w:rPr>
                <w:rStyle w:val="BoldandItalics"/>
              </w:rPr>
              <w:t>basic operational faults</w:t>
            </w:r>
            <w:r w:rsidRPr="00CD743D">
              <w:t xml:space="preserve"> to maintain optimum safety and efficiency</w:t>
            </w:r>
          </w:p>
        </w:tc>
      </w:tr>
      <w:tr w:rsidTr="004A68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2.5</w:t>
            </w:r>
          </w:p>
        </w:tc>
        <w:tc>
          <w:tcPr>
            <w:tcW w:w="686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Appropriate action is taken in a malfunction or emergency</w:t>
            </w:r>
          </w:p>
        </w:tc>
      </w:tr>
      <w:tr w:rsidTr="004A68F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D743D" w:rsidP="00CD743D">
            <w:pPr>
              <w:pStyle w:val="BodyText"/>
            </w:pPr>
            <w:r w:rsidRPr="00CD743D">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rPr>
                <w:rStyle w:val="SpecialBold"/>
              </w:rPr>
              <w:t>Check and complete lifting equipment and deck machinery operations</w:t>
            </w:r>
          </w:p>
        </w:tc>
        <w:tc>
          <w:tcPr>
            <w:tcW w:w="58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3.1</w:t>
            </w:r>
          </w:p>
        </w:tc>
        <w:tc>
          <w:tcPr>
            <w:tcW w:w="686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Equipment and machinery shut-down procedures are carried out according to manufacturer specifications and organisational procedures</w:t>
            </w:r>
          </w:p>
        </w:tc>
      </w:tr>
      <w:tr w:rsidTr="004A68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3.2</w:t>
            </w:r>
          </w:p>
        </w:tc>
        <w:tc>
          <w:tcPr>
            <w:tcW w:w="6864" w:type="dxa"/>
            <w:tcBorders>
              <w:top w:val="nil"/>
              <w:left w:val="nil"/>
              <w:bottom w:val="nil"/>
              <w:right w:val="nil"/>
            </w:tcBorders>
            <w:tcMar>
              <w:top w:w="0" w:type="dxa"/>
              <w:left w:w="62" w:type="dxa"/>
              <w:bottom w:w="0" w:type="dxa"/>
              <w:right w:w="62" w:type="dxa"/>
            </w:tcMar>
          </w:tcPr>
          <w:p w:rsidR="00000000" w:rsidRPr="00CD743D" w:rsidP="00CD743D">
            <w:pPr>
              <w:pStyle w:val="BodyText"/>
            </w:pPr>
            <w:r w:rsidRPr="00CD743D">
              <w:t xml:space="preserve">Equipment and machinery damage, malfunctions or irregular performance is recorded and reported according to organisational procedures </w:t>
            </w:r>
          </w:p>
        </w:tc>
      </w:tr>
    </w:tbl>
    <w:p w:rsidR="00000000" w:rsidRPr="00CD743D" w:rsidP="00CD743D">
      <w:pPr>
        <w:pStyle w:val="BodyText"/>
      </w:pPr>
    </w:p>
    <w:p w:rsidR="00000000" w:rsidRPr="00CD743D" w:rsidP="00CD743D">
      <w:pPr>
        <w:pStyle w:val="AllowPageBreak"/>
      </w:pPr>
    </w:p>
    <w:p w:rsidR="00000000" w:rsidRPr="00CD743D" w:rsidP="00CD743D">
      <w:pPr>
        <w:pStyle w:val="Heading1"/>
      </w:pPr>
      <w:bookmarkStart w:id="9" w:name="O_536429"/>
      <w:bookmarkEnd w:id="9"/>
      <w:r w:rsidRPr="00CD743D">
        <w:t>Required Skills and Knowledge</w:t>
      </w:r>
    </w:p>
    <w:tbl>
      <w:tblPr>
        <w:tblW w:w="0" w:type="auto"/>
        <w:tblCellMar>
          <w:left w:w="62" w:type="dxa"/>
          <w:right w:w="62" w:type="dxa"/>
        </w:tblCellMar>
        <w:tblLook w:val="0000"/>
      </w:tblPr>
      <w:tblGrid>
        <w:gridCol w:w="9196"/>
      </w:tblGrid>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This section describes the skills and knowledge required for this unit.</w:t>
            </w:r>
          </w:p>
        </w:tc>
      </w:tr>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rPr>
                <w:rStyle w:val="SpecialBold"/>
              </w:rPr>
              <w:t>Required Skills:</w:t>
            </w:r>
          </w:p>
        </w:tc>
      </w:tr>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43D">
            <w:pPr>
              <w:pStyle w:val="ListBullet"/>
              <w:rPr>
                <w:lang w:val="en-NZ"/>
              </w:rPr>
            </w:pPr>
            <w:r w:rsidRPr="00CD743D">
              <w:t>Follow manufacturer recommendations, regulations and vessel operating procedures</w:t>
            </w:r>
          </w:p>
        </w:tc>
      </w:tr>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43D">
            <w:pPr>
              <w:pStyle w:val="ListBullet"/>
              <w:rPr>
                <w:lang w:val="en-NZ"/>
              </w:rPr>
            </w:pPr>
            <w:r w:rsidRPr="00CD743D">
              <w:t>Implement safe work practices</w:t>
            </w:r>
          </w:p>
        </w:tc>
      </w:tr>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743D" w:rsidP="00CD743D">
            <w:pPr>
              <w:pStyle w:val="ListBullet"/>
            </w:pPr>
            <w:r w:rsidRPr="00CD743D">
              <w:t>Use deck machinery</w:t>
            </w:r>
          </w:p>
        </w:tc>
      </w:tr>
    </w:tbl>
    <w:p w:rsidR="00000000" w:rsidRPr="00CD743D" w:rsidP="00CD743D">
      <w:pPr>
        <w:pStyle w:val="BodyText"/>
      </w:pPr>
    </w:p>
    <w:tbl>
      <w:tblPr>
        <w:tblW w:w="0" w:type="auto"/>
        <w:tblCellMar>
          <w:left w:w="62" w:type="dxa"/>
          <w:right w:w="62" w:type="dxa"/>
        </w:tblCellMar>
        <w:tblLook w:val="0000"/>
      </w:tblPr>
      <w:tblGrid>
        <w:gridCol w:w="9196"/>
      </w:tblGrid>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rPr>
                <w:rStyle w:val="SpecialBold"/>
              </w:rPr>
              <w:t>Required Knowledge:</w:t>
            </w:r>
          </w:p>
        </w:tc>
      </w:tr>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43D">
            <w:pPr>
              <w:pStyle w:val="ListBullet"/>
              <w:rPr>
                <w:lang w:val="en-NZ"/>
              </w:rPr>
            </w:pPr>
            <w:r w:rsidRPr="00CD743D">
              <w:t>Basic hydraulic systems and their operation</w:t>
            </w:r>
          </w:p>
        </w:tc>
      </w:tr>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43D">
            <w:pPr>
              <w:pStyle w:val="ListBullet"/>
              <w:rPr>
                <w:lang w:val="en-NZ"/>
              </w:rPr>
            </w:pPr>
            <w:r w:rsidRPr="00CD743D">
              <w:t>Legislation affecting lifting equipment</w:t>
            </w:r>
          </w:p>
        </w:tc>
      </w:tr>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43D">
            <w:pPr>
              <w:pStyle w:val="ListBullet"/>
              <w:rPr>
                <w:lang w:val="en-NZ"/>
              </w:rPr>
            </w:pPr>
            <w:r w:rsidRPr="00CD743D">
              <w:t>Lifting equipment</w:t>
            </w:r>
          </w:p>
        </w:tc>
      </w:tr>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43D">
            <w:pPr>
              <w:pStyle w:val="ListBullet"/>
              <w:rPr>
                <w:lang w:val="en-NZ"/>
              </w:rPr>
            </w:pPr>
            <w:r w:rsidRPr="00CD743D">
              <w:t>Safe working procedures</w:t>
            </w:r>
          </w:p>
        </w:tc>
      </w:tr>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43D">
            <w:pPr>
              <w:pStyle w:val="ListBullet"/>
              <w:rPr>
                <w:lang w:val="en-NZ"/>
              </w:rPr>
            </w:pPr>
            <w:r w:rsidRPr="00CD743D">
              <w:t>Trawling and fishing gear</w:t>
            </w:r>
          </w:p>
        </w:tc>
      </w:tr>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43D">
            <w:pPr>
              <w:pStyle w:val="ListBullet"/>
              <w:rPr>
                <w:lang w:val="en-NZ"/>
              </w:rPr>
            </w:pPr>
            <w:r w:rsidRPr="00CD743D">
              <w:t>Winches, capstans, windlasses</w:t>
            </w:r>
          </w:p>
        </w:tc>
      </w:tr>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743D" w:rsidP="00CD743D">
            <w:pPr>
              <w:pStyle w:val="ListBullet"/>
            </w:pPr>
            <w:r w:rsidRPr="00CD743D">
              <w:t>WHS/OHS requirements and work practices</w:t>
            </w:r>
          </w:p>
        </w:tc>
      </w:tr>
    </w:tbl>
    <w:p w:rsidR="00000000" w:rsidRPr="00CD743D" w:rsidP="00CD743D">
      <w:pPr>
        <w:pStyle w:val="BodyText"/>
      </w:pPr>
    </w:p>
    <w:p w:rsidR="00000000" w:rsidRPr="00CD743D" w:rsidP="00CD743D">
      <w:pPr>
        <w:pStyle w:val="AllowPageBreak"/>
      </w:pPr>
    </w:p>
    <w:p w:rsidR="00000000" w:rsidRPr="00CD743D" w:rsidP="00CD743D">
      <w:pPr>
        <w:pStyle w:val="Heading1"/>
      </w:pPr>
      <w:bookmarkStart w:id="10" w:name="O_536430"/>
      <w:bookmarkEnd w:id="10"/>
      <w:r w:rsidRPr="00CD743D">
        <w:t>Evidence Guide</w:t>
      </w:r>
    </w:p>
    <w:tbl>
      <w:tblPr>
        <w:tblW w:w="9499" w:type="dxa"/>
        <w:tblLayout w:type="fixed"/>
        <w:tblCellMar>
          <w:left w:w="62" w:type="dxa"/>
          <w:right w:w="62" w:type="dxa"/>
        </w:tblCellMar>
        <w:tblLook w:val="0000"/>
      </w:tblPr>
      <w:tblGrid>
        <w:gridCol w:w="3340"/>
        <w:gridCol w:w="6159"/>
      </w:tblGrid>
      <w:tr w:rsidTr="00CD743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The evidence guide provides advice on assessment and must be read in conjunction with the performance criteria, the required skills and knowledge, the range statement and the Assessment Guidelines for the Training Package.</w:t>
            </w:r>
          </w:p>
        </w:tc>
      </w:tr>
      <w:tr w:rsidTr="00CD743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CD743D" w:rsidP="00CD743D">
            <w:pPr>
              <w:pStyle w:val="BodyText"/>
            </w:pPr>
            <w:r w:rsidRPr="00CD743D">
              <w:t>The evidence required to demonstrate competence in this unit must be relevant to and satisfy all of the requirements of the Elements, Performance Criteria, Require</w:t>
            </w:r>
            <w:r w:rsidRPr="00CD743D">
              <w:t>d Skills, Required Knowledge and include:</w:t>
            </w:r>
          </w:p>
          <w:p w:rsidR="00000000" w:rsidRPr="00CD743D" w:rsidP="00CD743D">
            <w:pPr>
              <w:pStyle w:val="ListBullet"/>
            </w:pPr>
            <w:r w:rsidRPr="00CD743D">
              <w:t>being aware of own ability and limits to rectify irregularities and faults</w:t>
            </w:r>
          </w:p>
          <w:p w:rsidR="00000000" w:rsidP="00CD743D">
            <w:pPr>
              <w:pStyle w:val="ListBullet"/>
              <w:rPr>
                <w:lang w:val="en-NZ"/>
              </w:rPr>
            </w:pPr>
            <w:r w:rsidRPr="00CD743D">
              <w:t>ensuring currency of relevant WHS/OHS skills and knowledge.</w:t>
            </w:r>
          </w:p>
        </w:tc>
      </w:tr>
      <w:tr w:rsidTr="00CD743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CD743D" w:rsidP="00CD743D">
            <w:pPr>
              <w:pStyle w:val="BodyText"/>
            </w:pPr>
            <w:r w:rsidRPr="00CD743D">
              <w:t xml:space="preserve">Performance is demonstrated </w:t>
            </w:r>
            <w:r w:rsidRPr="00CD743D">
              <w:t>consistently over time and in a suitable range of contexts.</w:t>
            </w:r>
          </w:p>
          <w:p w:rsidR="00000000" w:rsidRPr="00CD743D" w:rsidP="00CD743D">
            <w:pPr>
              <w:pStyle w:val="BodyText"/>
            </w:pPr>
            <w:r w:rsidRPr="00CD743D">
              <w:t>Resources for assessment include access to:</w:t>
            </w:r>
          </w:p>
          <w:p w:rsidR="00000000" w:rsidRPr="00CD743D" w:rsidP="00CD743D">
            <w:pPr>
              <w:pStyle w:val="ListBullet"/>
            </w:pPr>
            <w:r w:rsidRPr="00CD743D">
              <w:t>industry-approved marine operations site where operating deck machinery can be conducted</w:t>
            </w:r>
          </w:p>
          <w:p w:rsidR="00000000" w:rsidRPr="00CD743D" w:rsidP="00CD743D">
            <w:pPr>
              <w:pStyle w:val="ListBullet"/>
            </w:pPr>
            <w:r w:rsidRPr="00CD743D">
              <w:t>tools, equipment and personal protective equipment currently u</w:t>
            </w:r>
            <w:r w:rsidRPr="00CD743D">
              <w:t>sed in industry</w:t>
            </w:r>
          </w:p>
          <w:p w:rsidR="00000000" w:rsidRPr="00CD743D" w:rsidP="00CD743D">
            <w:pPr>
              <w:pStyle w:val="ListBullet"/>
            </w:pPr>
            <w:r w:rsidRPr="00CD743D">
              <w:t>relevant regulatory and equipment documentation that impacts on work activities</w:t>
            </w:r>
          </w:p>
          <w:p w:rsidR="00000000" w:rsidRPr="00CD743D" w:rsidP="00CD743D">
            <w:pPr>
              <w:pStyle w:val="ListBullet"/>
            </w:pPr>
            <w:r w:rsidRPr="00CD743D">
              <w:t>range of relevant exercises, case studies and/or other simulated practical and knowledge assessments</w:t>
            </w:r>
          </w:p>
          <w:p w:rsidR="00000000" w:rsidRPr="00CD743D" w:rsidP="00CD743D">
            <w:pPr>
              <w:pStyle w:val="ListBullet"/>
            </w:pPr>
            <w:r w:rsidRPr="00CD743D">
              <w:t>appropriate range of relevant operational situations in the workplace.</w:t>
            </w:r>
          </w:p>
          <w:p w:rsidR="00000000" w:rsidRPr="00CD743D" w:rsidP="00CD743D">
            <w:pPr>
              <w:pStyle w:val="BodyText"/>
            </w:pPr>
            <w:r w:rsidRPr="00CD743D">
              <w:t>In both real and simulated environments, access is required to:</w:t>
            </w:r>
          </w:p>
          <w:p w:rsidR="00000000" w:rsidRPr="00CD743D" w:rsidP="00CD743D">
            <w:pPr>
              <w:pStyle w:val="ListBullet"/>
            </w:pPr>
            <w:r w:rsidRPr="00CD743D">
              <w:t>relevant and appropriate materials and equipment</w:t>
            </w:r>
          </w:p>
          <w:p w:rsidR="00000000" w:rsidP="00CD743D">
            <w:pPr>
              <w:pStyle w:val="ListBullet"/>
              <w:rPr>
                <w:lang w:val="en-NZ"/>
              </w:rPr>
            </w:pPr>
            <w:r w:rsidRPr="00CD743D">
              <w:t>applicable documentation including workplace procedures, regulations, c</w:t>
            </w:r>
            <w:r w:rsidRPr="00CD743D">
              <w:t>odes of practice and operation manuals.</w:t>
            </w:r>
          </w:p>
        </w:tc>
      </w:tr>
      <w:tr w:rsidTr="00CD743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CD743D" w:rsidP="00CD743D">
            <w:pPr>
              <w:pStyle w:val="BodyText"/>
            </w:pPr>
            <w:r w:rsidRPr="00CD743D">
              <w:t>Practical assessment must occur in an:</w:t>
            </w:r>
          </w:p>
          <w:p w:rsidR="00000000" w:rsidRPr="00CD743D" w:rsidP="00CD743D">
            <w:pPr>
              <w:pStyle w:val="ListBullet"/>
            </w:pPr>
            <w:r w:rsidRPr="00CD743D">
              <w:t>appropriately simulated workplace environment and/or</w:t>
            </w:r>
          </w:p>
          <w:p w:rsidR="00000000" w:rsidRPr="00CD743D" w:rsidP="00CD743D">
            <w:pPr>
              <w:pStyle w:val="ListBullet"/>
            </w:pPr>
            <w:r w:rsidRPr="00CD743D">
              <w:t>appropriate range of situations in the workplace.</w:t>
            </w:r>
          </w:p>
          <w:p w:rsidR="00000000" w:rsidRPr="00CD743D" w:rsidP="00CD743D">
            <w:pPr>
              <w:pStyle w:val="BodyText"/>
            </w:pPr>
            <w:r w:rsidRPr="00CD743D">
              <w:t>A range of assessment methods should be used to ass</w:t>
            </w:r>
            <w:r w:rsidRPr="00CD743D">
              <w:t>ess practical skills and knowledge. The following examples are appropriate to this unit:</w:t>
            </w:r>
          </w:p>
          <w:p w:rsidR="00000000" w:rsidRPr="00CD743D" w:rsidP="00CD743D">
            <w:pPr>
              <w:pStyle w:val="ListBullet"/>
            </w:pPr>
            <w:r w:rsidRPr="00CD743D">
              <w:t>direct observation of the candidate operating deck machinery</w:t>
            </w:r>
          </w:p>
          <w:p w:rsidR="00000000" w:rsidP="00CD743D">
            <w:pPr>
              <w:pStyle w:val="ListBullet"/>
              <w:rPr>
                <w:lang w:val="en-NZ"/>
              </w:rPr>
            </w:pPr>
            <w:r w:rsidRPr="00CD743D">
              <w:t>direct observation of the candidate applying relevant WHS/OHS requirements and work practices.</w:t>
            </w:r>
          </w:p>
        </w:tc>
      </w:tr>
      <w:tr w:rsidTr="00CD743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CD743D" w:rsidP="00CD743D">
            <w:pPr>
              <w:pStyle w:val="BodyText"/>
            </w:pPr>
            <w:r w:rsidRPr="00CD743D">
              <w:t>Holistic assessment with other units relevant to the industry sector, workplace and job role is recommended.</w:t>
            </w:r>
          </w:p>
          <w:p w:rsidR="00000000" w:rsidRPr="00CD743D" w:rsidP="00CD743D">
            <w:pPr>
              <w:pStyle w:val="BodyText"/>
            </w:pPr>
            <w:r w:rsidRPr="00CD743D">
              <w:t>In all cases where practical assessment is used it should be combined with targeted questioning to assess Requi</w:t>
            </w:r>
            <w:r w:rsidRPr="00CD743D">
              <w:t>red Knowledge.</w:t>
            </w:r>
          </w:p>
          <w:p w:rsidR="00000000" w:rsidRPr="00CD743D" w:rsidP="00CD743D">
            <w:pPr>
              <w:pStyle w:val="BodyText"/>
            </w:pPr>
            <w:r w:rsidRPr="00CD743D">
              <w:t>Assessment processes and techniques must be appropriate to the language and literacy requirements of the work being performed and the capacity of the candidate.</w:t>
            </w:r>
          </w:p>
        </w:tc>
      </w:tr>
    </w:tbl>
    <w:p w:rsidR="00000000" w:rsidRPr="00CD743D" w:rsidP="00CD743D">
      <w:pPr>
        <w:pStyle w:val="BodyText"/>
      </w:pPr>
    </w:p>
    <w:p w:rsidR="00000000" w:rsidRPr="00CD743D" w:rsidP="00CD743D">
      <w:pPr>
        <w:pStyle w:val="AllowPageBreak"/>
      </w:pPr>
    </w:p>
    <w:p w:rsidR="00000000" w:rsidRPr="00CD743D" w:rsidP="00CD743D">
      <w:pPr>
        <w:pStyle w:val="Heading1"/>
      </w:pPr>
      <w:bookmarkStart w:id="11" w:name="O_536431"/>
      <w:bookmarkEnd w:id="11"/>
      <w:r w:rsidRPr="00CD743D">
        <w:t>Range Statement</w:t>
      </w:r>
    </w:p>
    <w:tbl>
      <w:tblPr>
        <w:tblW w:w="0" w:type="auto"/>
        <w:tblCellMar>
          <w:left w:w="62" w:type="dxa"/>
          <w:right w:w="62" w:type="dxa"/>
        </w:tblCellMar>
        <w:tblLook w:val="0000"/>
      </w:tblPr>
      <w:tblGrid>
        <w:gridCol w:w="2586"/>
        <w:gridCol w:w="6610"/>
      </w:tblGrid>
      <w:tr w:rsidTr="004A68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The range statement relates to the unit of co</w:t>
            </w:r>
            <w:r w:rsidRPr="00CD743D">
              <w:t>mpetency as a whole. It allows for different work environments and situations that may affect performance. Bold italicised wording, if used in the performance criteria, is detailed below.</w:t>
            </w:r>
          </w:p>
        </w:tc>
      </w:tr>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Personal protective equipment may include:</w:t>
            </w:r>
          </w:p>
        </w:tc>
        <w:tc>
          <w:tcPr>
            <w:tcW w:w="0" w:type="auto"/>
            <w:tcBorders>
              <w:top w:val="nil"/>
              <w:left w:val="nil"/>
              <w:bottom w:val="nil"/>
              <w:right w:val="nil"/>
            </w:tcBorders>
            <w:tcMar>
              <w:top w:w="0" w:type="dxa"/>
              <w:left w:w="62" w:type="dxa"/>
              <w:bottom w:w="0" w:type="dxa"/>
              <w:right w:w="62" w:type="dxa"/>
            </w:tcMar>
          </w:tcPr>
          <w:p w:rsidR="00000000" w:rsidRPr="00CD743D" w:rsidP="00CD743D">
            <w:pPr>
              <w:pStyle w:val="ListBullet"/>
            </w:pPr>
            <w:r w:rsidRPr="00CD743D">
              <w:t>Boots</w:t>
            </w:r>
          </w:p>
          <w:p w:rsidR="00000000" w:rsidRPr="00CD743D" w:rsidP="00CD743D">
            <w:pPr>
              <w:pStyle w:val="ListBullet"/>
            </w:pPr>
            <w:r w:rsidRPr="00CD743D">
              <w:t>Gloves</w:t>
            </w:r>
          </w:p>
          <w:p w:rsidR="00000000" w:rsidRPr="00CD743D" w:rsidP="00CD743D">
            <w:pPr>
              <w:pStyle w:val="ListBullet"/>
            </w:pPr>
            <w:r w:rsidRPr="00CD743D">
              <w:t>Hard hat</w:t>
            </w:r>
          </w:p>
          <w:p w:rsidR="00000000" w:rsidRPr="00CD743D" w:rsidP="00CD743D">
            <w:pPr>
              <w:pStyle w:val="ListBullet"/>
            </w:pPr>
            <w:r w:rsidRPr="00CD743D">
              <w:t xml:space="preserve">Hearing protection </w:t>
            </w:r>
          </w:p>
          <w:p w:rsidR="00000000" w:rsidRPr="00CD743D" w:rsidP="00CD743D">
            <w:pPr>
              <w:pStyle w:val="ListBullet"/>
            </w:pPr>
            <w:r w:rsidRPr="00CD743D">
              <w:t xml:space="preserve">Overalls </w:t>
            </w:r>
          </w:p>
          <w:p w:rsidR="00000000" w:rsidP="00CD743D">
            <w:pPr>
              <w:pStyle w:val="ListBullet"/>
              <w:rPr>
                <w:lang w:val="en-NZ"/>
              </w:rPr>
            </w:pPr>
            <w:r w:rsidRPr="00CD743D">
              <w:t>Protective eyewear</w:t>
            </w:r>
          </w:p>
        </w:tc>
      </w:tr>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Pre-operational checks may include:</w:t>
            </w:r>
          </w:p>
        </w:tc>
        <w:tc>
          <w:tcPr>
            <w:tcW w:w="0" w:type="auto"/>
            <w:tcBorders>
              <w:top w:val="nil"/>
              <w:left w:val="nil"/>
              <w:bottom w:val="nil"/>
              <w:right w:val="nil"/>
            </w:tcBorders>
            <w:tcMar>
              <w:top w:w="0" w:type="dxa"/>
              <w:left w:w="62" w:type="dxa"/>
              <w:bottom w:w="0" w:type="dxa"/>
              <w:right w:w="62" w:type="dxa"/>
            </w:tcMar>
          </w:tcPr>
          <w:p w:rsidR="00000000" w:rsidRPr="00CD743D" w:rsidP="00CD743D">
            <w:pPr>
              <w:pStyle w:val="ListBullet"/>
            </w:pPr>
            <w:r w:rsidRPr="00CD743D">
              <w:t>Inspecting safety guards, power take off stubs and shafts</w:t>
            </w:r>
          </w:p>
          <w:p w:rsidR="00000000" w:rsidRPr="00CD743D" w:rsidP="00CD743D">
            <w:pPr>
              <w:pStyle w:val="ListBullet"/>
            </w:pPr>
            <w:r w:rsidRPr="00CD743D">
              <w:t xml:space="preserve">Lifting equipment </w:t>
            </w:r>
          </w:p>
          <w:p w:rsidR="00000000" w:rsidRPr="00CD743D" w:rsidP="00CD743D">
            <w:pPr>
              <w:pStyle w:val="ListBullet"/>
            </w:pPr>
            <w:r w:rsidRPr="00CD743D">
              <w:t>Observing and monitoring noise levels for correct operation</w:t>
            </w:r>
          </w:p>
          <w:p w:rsidR="00000000" w:rsidRPr="00CD743D" w:rsidP="00CD743D">
            <w:pPr>
              <w:pStyle w:val="ListBullet"/>
            </w:pPr>
            <w:r w:rsidRPr="00CD743D">
              <w:t>Pre-start and safety checks incl</w:t>
            </w:r>
            <w:r w:rsidRPr="00CD743D">
              <w:t>uding:</w:t>
            </w:r>
          </w:p>
          <w:p w:rsidR="00000000" w:rsidRPr="00CD743D" w:rsidP="00CD743D">
            <w:pPr>
              <w:pStyle w:val="ListBullet2"/>
            </w:pPr>
            <w:r w:rsidRPr="00CD743D">
              <w:t>oils and lubricants</w:t>
            </w:r>
          </w:p>
          <w:p w:rsidR="00000000" w:rsidRPr="00CD743D" w:rsidP="00CD743D">
            <w:pPr>
              <w:pStyle w:val="ListBullet2"/>
            </w:pPr>
            <w:r w:rsidRPr="00CD743D">
              <w:t>lines</w:t>
            </w:r>
          </w:p>
          <w:p w:rsidR="00000000" w:rsidP="00CD743D">
            <w:pPr>
              <w:pStyle w:val="ListBullet2"/>
              <w:rPr>
                <w:lang w:val="en-NZ"/>
              </w:rPr>
            </w:pPr>
            <w:r w:rsidRPr="00CD743D">
              <w:t>emergency stops</w:t>
            </w:r>
          </w:p>
        </w:tc>
      </w:tr>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Lifting equipment and deck machinery may include:</w:t>
            </w:r>
          </w:p>
        </w:tc>
        <w:tc>
          <w:tcPr>
            <w:tcW w:w="0" w:type="auto"/>
            <w:tcBorders>
              <w:top w:val="nil"/>
              <w:left w:val="nil"/>
              <w:bottom w:val="nil"/>
              <w:right w:val="nil"/>
            </w:tcBorders>
            <w:tcMar>
              <w:top w:w="0" w:type="dxa"/>
              <w:left w:w="62" w:type="dxa"/>
              <w:bottom w:w="0" w:type="dxa"/>
              <w:right w:w="62" w:type="dxa"/>
            </w:tcMar>
          </w:tcPr>
          <w:p w:rsidR="00000000" w:rsidRPr="00CD743D" w:rsidP="00CD743D">
            <w:pPr>
              <w:pStyle w:val="ListBullet"/>
            </w:pPr>
            <w:r w:rsidRPr="00CD743D">
              <w:t>Basic hydraulic systems</w:t>
            </w:r>
          </w:p>
          <w:p w:rsidR="00000000" w:rsidRPr="00CD743D" w:rsidP="00CD743D">
            <w:pPr>
              <w:pStyle w:val="ListBullet"/>
            </w:pPr>
            <w:r w:rsidRPr="00CD743D">
              <w:t>Capstans</w:t>
            </w:r>
          </w:p>
          <w:p w:rsidR="00000000" w:rsidRPr="00CD743D" w:rsidP="00CD743D">
            <w:pPr>
              <w:pStyle w:val="ListBullet"/>
            </w:pPr>
            <w:r w:rsidRPr="00CD743D">
              <w:t>Cranes</w:t>
            </w:r>
          </w:p>
          <w:p w:rsidR="00000000" w:rsidRPr="00CD743D" w:rsidP="00CD743D">
            <w:pPr>
              <w:pStyle w:val="ListBullet"/>
            </w:pPr>
            <w:r w:rsidRPr="00CD743D">
              <w:t>Trawling and fishing gear</w:t>
            </w:r>
          </w:p>
          <w:p w:rsidR="00000000" w:rsidRPr="00CD743D" w:rsidP="00CD743D">
            <w:pPr>
              <w:pStyle w:val="ListBullet"/>
            </w:pPr>
            <w:r w:rsidRPr="00CD743D">
              <w:t>Winches</w:t>
            </w:r>
          </w:p>
          <w:p w:rsidR="00000000" w:rsidP="00CD743D">
            <w:pPr>
              <w:pStyle w:val="ListBullet"/>
              <w:rPr>
                <w:lang w:val="en-NZ"/>
              </w:rPr>
            </w:pPr>
            <w:r w:rsidRPr="00CD743D">
              <w:t>Windlasses</w:t>
            </w:r>
          </w:p>
        </w:tc>
      </w:tr>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Safe and controlled manner may include:</w:t>
            </w:r>
          </w:p>
        </w:tc>
        <w:tc>
          <w:tcPr>
            <w:tcW w:w="0" w:type="auto"/>
            <w:tcBorders>
              <w:top w:val="nil"/>
              <w:left w:val="nil"/>
              <w:bottom w:val="nil"/>
              <w:right w:val="nil"/>
            </w:tcBorders>
            <w:tcMar>
              <w:top w:w="0" w:type="dxa"/>
              <w:left w:w="62" w:type="dxa"/>
              <w:bottom w:w="0" w:type="dxa"/>
              <w:right w:w="62" w:type="dxa"/>
            </w:tcMar>
          </w:tcPr>
          <w:p w:rsidR="00000000" w:rsidRPr="00CD743D" w:rsidP="00CD743D">
            <w:pPr>
              <w:pStyle w:val="ListBullet"/>
            </w:pPr>
            <w:r w:rsidRPr="00CD743D">
              <w:t xml:space="preserve">Maintaining workloads within specifications </w:t>
            </w:r>
          </w:p>
          <w:p w:rsidR="00000000" w:rsidRPr="00CD743D" w:rsidP="00CD743D">
            <w:pPr>
              <w:pStyle w:val="ListBullet"/>
            </w:pPr>
            <w:r w:rsidRPr="00CD743D">
              <w:t>Selecting and using appropriate machinery and equipment</w:t>
            </w:r>
          </w:p>
          <w:p w:rsidR="00000000" w:rsidP="00CD743D">
            <w:pPr>
              <w:pStyle w:val="ListBullet"/>
              <w:rPr>
                <w:lang w:val="en-NZ"/>
              </w:rPr>
            </w:pPr>
            <w:r w:rsidRPr="00CD743D">
              <w:t>Using operational techniques for specific location and weather conditions</w:t>
            </w:r>
          </w:p>
        </w:tc>
      </w:tr>
      <w:tr w:rsidTr="004A6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43D">
            <w:pPr>
              <w:pStyle w:val="BodyText"/>
              <w:rPr>
                <w:lang w:val="en-NZ"/>
              </w:rPr>
            </w:pPr>
            <w:r w:rsidRPr="00CD743D">
              <w:t>Basic operational faults may include:</w:t>
            </w:r>
          </w:p>
        </w:tc>
        <w:tc>
          <w:tcPr>
            <w:tcW w:w="0" w:type="auto"/>
            <w:tcBorders>
              <w:top w:val="nil"/>
              <w:left w:val="nil"/>
              <w:bottom w:val="nil"/>
              <w:right w:val="nil"/>
            </w:tcBorders>
            <w:tcMar>
              <w:top w:w="0" w:type="dxa"/>
              <w:left w:w="62" w:type="dxa"/>
              <w:bottom w:w="0" w:type="dxa"/>
              <w:right w:w="62" w:type="dxa"/>
            </w:tcMar>
          </w:tcPr>
          <w:p w:rsidR="00000000" w:rsidRPr="00CD743D" w:rsidP="00CD743D">
            <w:pPr>
              <w:pStyle w:val="ListBullet"/>
            </w:pPr>
            <w:r w:rsidRPr="00CD743D">
              <w:t xml:space="preserve">Failure of hydraulic lines </w:t>
            </w:r>
          </w:p>
          <w:p w:rsidR="00000000" w:rsidRPr="00CD743D" w:rsidP="00CD743D">
            <w:pPr>
              <w:pStyle w:val="ListBullet"/>
            </w:pPr>
            <w:r w:rsidRPr="00CD743D">
              <w:t>Machinery bre</w:t>
            </w:r>
            <w:r w:rsidRPr="00CD743D">
              <w:t>ak downs</w:t>
            </w:r>
          </w:p>
          <w:p w:rsidR="00000000" w:rsidRPr="00CD743D" w:rsidP="00CD743D">
            <w:pPr>
              <w:pStyle w:val="ListBullet"/>
            </w:pPr>
            <w:r w:rsidRPr="00CD743D">
              <w:t>Structural failure</w:t>
            </w:r>
          </w:p>
        </w:tc>
      </w:tr>
    </w:tbl>
    <w:p w:rsidR="00000000" w:rsidRPr="00CD743D" w:rsidP="00CD743D">
      <w:pPr>
        <w:pStyle w:val="BodyText"/>
      </w:pPr>
    </w:p>
    <w:p w:rsidR="00000000" w:rsidRPr="00CD743D" w:rsidP="00CD743D">
      <w:pPr>
        <w:pStyle w:val="AllowPageBreak"/>
      </w:pPr>
    </w:p>
    <w:p w:rsidR="00000000" w:rsidRPr="00CD743D" w:rsidP="00CD743D">
      <w:pPr>
        <w:pStyle w:val="Heading1"/>
      </w:pPr>
      <w:bookmarkStart w:id="12" w:name="O_536432"/>
      <w:bookmarkEnd w:id="12"/>
      <w:r w:rsidRPr="00CD743D">
        <w:t>Unit Sector(s)</w:t>
      </w:r>
    </w:p>
    <w:p w:rsidR="00000000" w:rsidRPr="00CD743D" w:rsidP="00CD743D">
      <w:pPr>
        <w:pStyle w:val="BodyText"/>
      </w:pPr>
      <w:r w:rsidRPr="00CD743D">
        <w:t>Not applicable.</w:t>
      </w:r>
    </w:p>
    <w:p w:rsidR="00000000" w:rsidRPr="00CD743D" w:rsidP="00CD743D">
      <w:pPr>
        <w:pStyle w:val="AllowPageBreak"/>
      </w:pPr>
    </w:p>
    <w:p w:rsidR="00000000" w:rsidRPr="00CD743D" w:rsidP="00CD743D">
      <w:pPr>
        <w:pStyle w:val="Heading1"/>
      </w:pPr>
      <w:bookmarkStart w:id="13" w:name="O_536433"/>
      <w:bookmarkEnd w:id="13"/>
      <w:r w:rsidRPr="00CD743D">
        <w:t>Competency Field</w:t>
      </w:r>
    </w:p>
    <w:p w:rsidR="00000000" w:rsidRPr="00CD743D" w:rsidP="00CD743D">
      <w:pPr>
        <w:pStyle w:val="BodyText"/>
      </w:pPr>
      <w:r w:rsidRPr="00CD743D">
        <w:t>Equipment Operations</w:t>
      </w:r>
    </w:p>
    <w:p w:rsidR="00000000" w:rsidRPr="00CD743D" w:rsidP="00CD743D"/>
    <w:sectPr w:rsidSect="00CD74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3D" w:rsidRPr="004A68FB" w:rsidP="004A6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8FB" w:rsidP="00CD74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A68FB" w:rsidP="00CD743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A68FB" w:rsidP="00CD74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3D" w:rsidRPr="004A68FB" w:rsidP="004A68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8FB" w:rsidRPr="002D2AF8" w:rsidP="00CD743D">
    <w:pPr>
      <w:pStyle w:val="Header"/>
      <w:framePr w:wrap="around"/>
    </w:pPr>
    <w:r>
      <w:fldChar w:fldCharType="begin"/>
    </w:r>
    <w:r>
      <w:instrText xml:space="preserve"> TITLE   \* MERGEFORMAT </w:instrText>
    </w:r>
    <w:r>
      <w:fldChar w:fldCharType="separate"/>
    </w:r>
    <w:r>
      <w:t>MARC2004A Operate deck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4A68FB" w:rsidP="00CD74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924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9EA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8EE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4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43D"/>
    <w:pPr>
      <w:spacing w:before="360" w:after="60"/>
      <w:outlineLvl w:val="0"/>
    </w:pPr>
    <w:rPr>
      <w:sz w:val="32"/>
    </w:rPr>
  </w:style>
  <w:style w:type="paragraph" w:styleId="Heading2">
    <w:name w:val="heading 2"/>
    <w:basedOn w:val="HeadingBase"/>
    <w:next w:val="BodyText"/>
    <w:link w:val="Heading2Char"/>
    <w:qFormat/>
    <w:rsid w:val="00CD743D"/>
    <w:pPr>
      <w:keepLines/>
      <w:spacing w:before="240" w:after="120"/>
      <w:outlineLvl w:val="1"/>
    </w:pPr>
    <w:rPr>
      <w:sz w:val="28"/>
      <w:szCs w:val="40"/>
    </w:rPr>
  </w:style>
  <w:style w:type="paragraph" w:styleId="Heading3">
    <w:name w:val="heading 3"/>
    <w:basedOn w:val="HeadingBase"/>
    <w:next w:val="BodyText"/>
    <w:link w:val="Heading3Char"/>
    <w:qFormat/>
    <w:rsid w:val="00CD743D"/>
    <w:pPr>
      <w:spacing w:before="180" w:after="120"/>
      <w:outlineLvl w:val="2"/>
    </w:pPr>
    <w:rPr>
      <w:spacing w:val="-10"/>
      <w:kern w:val="32"/>
    </w:rPr>
  </w:style>
  <w:style w:type="paragraph" w:styleId="Heading4">
    <w:name w:val="heading 4"/>
    <w:basedOn w:val="HeadingBase"/>
    <w:next w:val="BodyText"/>
    <w:link w:val="Heading4Char"/>
    <w:qFormat/>
    <w:rsid w:val="00CD743D"/>
    <w:pPr>
      <w:spacing w:before="160" w:after="120"/>
      <w:outlineLvl w:val="3"/>
    </w:pPr>
    <w:rPr>
      <w:sz w:val="22"/>
    </w:rPr>
  </w:style>
  <w:style w:type="paragraph" w:styleId="Heading5">
    <w:name w:val="heading 5"/>
    <w:basedOn w:val="HeadingBase"/>
    <w:next w:val="Normal"/>
    <w:link w:val="Heading5Char"/>
    <w:qFormat/>
    <w:rsid w:val="00CD743D"/>
    <w:pPr>
      <w:spacing w:before="80"/>
      <w:outlineLvl w:val="4"/>
    </w:pPr>
    <w:rPr>
      <w:color w:val="918585"/>
      <w:sz w:val="20"/>
    </w:rPr>
  </w:style>
  <w:style w:type="paragraph" w:styleId="Heading6">
    <w:name w:val="heading 6"/>
    <w:basedOn w:val="HeadingBase"/>
    <w:next w:val="Normal"/>
    <w:link w:val="Heading6Char"/>
    <w:qFormat/>
    <w:rsid w:val="00CD743D"/>
    <w:pPr>
      <w:spacing w:before="60"/>
      <w:outlineLvl w:val="5"/>
    </w:pPr>
    <w:rPr>
      <w:color w:val="918585"/>
      <w:sz w:val="20"/>
    </w:rPr>
  </w:style>
  <w:style w:type="paragraph" w:styleId="Heading7">
    <w:name w:val="heading 7"/>
    <w:basedOn w:val="Normal"/>
    <w:next w:val="Normal"/>
    <w:link w:val="Heading7Char"/>
    <w:qFormat/>
    <w:rsid w:val="00CD743D"/>
    <w:pPr>
      <w:ind w:left="720"/>
      <w:outlineLvl w:val="6"/>
    </w:pPr>
    <w:rPr>
      <w:i/>
    </w:rPr>
  </w:style>
  <w:style w:type="paragraph" w:styleId="Heading8">
    <w:name w:val="heading 8"/>
    <w:basedOn w:val="Normal"/>
    <w:next w:val="Normal"/>
    <w:link w:val="Heading8Char"/>
    <w:qFormat/>
    <w:rsid w:val="00CD743D"/>
    <w:pPr>
      <w:ind w:left="720"/>
      <w:outlineLvl w:val="7"/>
    </w:pPr>
    <w:rPr>
      <w:i/>
    </w:rPr>
  </w:style>
  <w:style w:type="paragraph" w:styleId="Heading9">
    <w:name w:val="heading 9"/>
    <w:basedOn w:val="Normal"/>
    <w:next w:val="Normal"/>
    <w:link w:val="Heading9Char"/>
    <w:qFormat/>
    <w:rsid w:val="00CD743D"/>
    <w:pPr>
      <w:ind w:left="720"/>
      <w:outlineLvl w:val="8"/>
    </w:pPr>
    <w:rPr>
      <w:i/>
    </w:rPr>
  </w:style>
  <w:style w:type="character" w:default="1" w:styleId="DefaultParagraphFont">
    <w:name w:val="Default Paragraph Font"/>
    <w:uiPriority w:val="1"/>
    <w:unhideWhenUsed/>
    <w:rsid w:val="00CD74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43D"/>
  </w:style>
  <w:style w:type="character" w:customStyle="1" w:styleId="Heading1Char">
    <w:name w:val="Heading 1 Char"/>
    <w:basedOn w:val="DefaultParagraphFont"/>
    <w:link w:val="Heading1"/>
    <w:rsid w:val="00CD743D"/>
    <w:rPr>
      <w:rFonts w:ascii="Times New Roman" w:eastAsia="Times New Roman" w:hAnsi="Times New Roman" w:cs="Times New Roman"/>
      <w:b/>
      <w:sz w:val="32"/>
      <w:szCs w:val="20"/>
      <w:lang w:eastAsia="en-US"/>
    </w:rPr>
  </w:style>
  <w:style w:type="paragraph" w:styleId="BodyText">
    <w:name w:val="Body Text"/>
    <w:basedOn w:val="Normal"/>
    <w:link w:val="BodyTextChar"/>
    <w:rsid w:val="00CD74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743D"/>
    <w:rPr>
      <w:rFonts w:ascii="Times New Roman" w:eastAsia="Times New Roman" w:hAnsi="Times New Roman" w:cs="Times New Roman"/>
      <w:sz w:val="24"/>
      <w:lang w:eastAsia="en-US"/>
    </w:rPr>
  </w:style>
  <w:style w:type="paragraph" w:styleId="ListBullet">
    <w:name w:val="List Bullet"/>
    <w:basedOn w:val="List"/>
    <w:rsid w:val="00CD743D"/>
    <w:pPr>
      <w:numPr>
        <w:numId w:val="13"/>
      </w:numPr>
      <w:tabs>
        <w:tab w:val="clear" w:pos="340"/>
      </w:tabs>
      <w:spacing w:before="40" w:after="40"/>
    </w:pPr>
  </w:style>
  <w:style w:type="character" w:customStyle="1" w:styleId="SpecialBold">
    <w:name w:val="Special Bold"/>
    <w:basedOn w:val="DefaultParagraphFont"/>
    <w:rsid w:val="00CD743D"/>
    <w:rPr>
      <w:b/>
      <w:spacing w:val="0"/>
    </w:rPr>
  </w:style>
  <w:style w:type="paragraph" w:styleId="ListBullet2">
    <w:name w:val="List Bullet 2"/>
    <w:basedOn w:val="List2"/>
    <w:rsid w:val="00CD743D"/>
    <w:pPr>
      <w:numPr>
        <w:numId w:val="14"/>
      </w:numPr>
      <w:tabs>
        <w:tab w:val="clear" w:pos="680"/>
      </w:tabs>
    </w:pPr>
  </w:style>
  <w:style w:type="paragraph" w:customStyle="1" w:styleId="SuperHeading">
    <w:name w:val="SuperHeading"/>
    <w:basedOn w:val="Normal"/>
    <w:rsid w:val="00CD743D"/>
    <w:pPr>
      <w:spacing w:before="240" w:after="120"/>
      <w:outlineLvl w:val="0"/>
    </w:pPr>
    <w:rPr>
      <w:rFonts w:ascii="Times New Roman" w:hAnsi="Times New Roman"/>
      <w:b/>
      <w:sz w:val="32"/>
    </w:rPr>
  </w:style>
  <w:style w:type="paragraph" w:customStyle="1" w:styleId="AllowPageBreak">
    <w:name w:val="AllowPageBreak"/>
    <w:rsid w:val="00CD74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743D"/>
    <w:rPr>
      <w:b/>
      <w:i/>
      <w:u w:val="none"/>
    </w:rPr>
  </w:style>
  <w:style w:type="character" w:customStyle="1" w:styleId="Heading2Char">
    <w:name w:val="Heading 2 Char"/>
    <w:basedOn w:val="DefaultParagraphFont"/>
    <w:link w:val="Heading2"/>
    <w:rsid w:val="00CD74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4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4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4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4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4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4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43D"/>
    <w:rPr>
      <w:rFonts w:ascii="Courier New" w:eastAsia="Times New Roman" w:hAnsi="Courier New" w:cs="Times New Roman"/>
      <w:i/>
      <w:szCs w:val="20"/>
      <w:lang w:eastAsia="en-US"/>
    </w:rPr>
  </w:style>
  <w:style w:type="paragraph" w:customStyle="1" w:styleId="HeadingBase">
    <w:name w:val="Heading Base"/>
    <w:rsid w:val="00CD74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43D"/>
    <w:pPr>
      <w:tabs>
        <w:tab w:val="right" w:leader="dot" w:pos="9072"/>
      </w:tabs>
      <w:ind w:left="567"/>
    </w:pPr>
    <w:rPr>
      <w:szCs w:val="22"/>
    </w:rPr>
  </w:style>
  <w:style w:type="paragraph" w:customStyle="1" w:styleId="TOCBase">
    <w:name w:val="TOC Base"/>
    <w:rsid w:val="00CD74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43D"/>
    <w:pPr>
      <w:tabs>
        <w:tab w:val="right" w:leader="dot" w:pos="9072"/>
      </w:tabs>
      <w:spacing w:before="40" w:after="40"/>
      <w:ind w:left="284"/>
    </w:pPr>
    <w:rPr>
      <w:rFonts w:ascii="Times New Roman" w:hAnsi="Times New Roman"/>
    </w:rPr>
  </w:style>
  <w:style w:type="paragraph" w:styleId="TOC1">
    <w:name w:val="toc 1"/>
    <w:basedOn w:val="TOCBase"/>
    <w:next w:val="Normal"/>
    <w:rsid w:val="00CD74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4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43D"/>
    <w:rPr>
      <w:rFonts w:ascii="Times New Roman" w:eastAsia="Times New Roman" w:hAnsi="Times New Roman" w:cs="Times New Roman"/>
      <w:sz w:val="16"/>
      <w:lang w:eastAsia="en-US"/>
    </w:rPr>
  </w:style>
  <w:style w:type="paragraph" w:styleId="Title">
    <w:name w:val="Title"/>
    <w:basedOn w:val="HeadingBase"/>
    <w:link w:val="TitleChar"/>
    <w:qFormat/>
    <w:rsid w:val="00CD743D"/>
    <w:pPr>
      <w:spacing w:before="5040"/>
      <w:jc w:val="center"/>
    </w:pPr>
    <w:rPr>
      <w:sz w:val="48"/>
      <w:szCs w:val="72"/>
      <w:lang w:val="en-US"/>
    </w:rPr>
  </w:style>
  <w:style w:type="character" w:customStyle="1" w:styleId="TitleChar">
    <w:name w:val="Title Char"/>
    <w:basedOn w:val="DefaultParagraphFont"/>
    <w:link w:val="Title"/>
    <w:rsid w:val="00CD74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43D"/>
    <w:pPr>
      <w:tabs>
        <w:tab w:val="left" w:pos="3600"/>
        <w:tab w:val="left" w:pos="3958"/>
      </w:tabs>
    </w:pPr>
  </w:style>
  <w:style w:type="paragraph" w:styleId="List">
    <w:name w:val="List"/>
    <w:basedOn w:val="BodyText"/>
    <w:next w:val="BodyText"/>
    <w:rsid w:val="00CD743D"/>
    <w:pPr>
      <w:tabs>
        <w:tab w:val="left" w:pos="340"/>
      </w:tabs>
      <w:spacing w:before="60" w:after="60"/>
      <w:ind w:left="340" w:hanging="340"/>
    </w:pPr>
  </w:style>
  <w:style w:type="paragraph" w:customStyle="1" w:styleId="Note">
    <w:name w:val="Note"/>
    <w:basedOn w:val="BodyText"/>
    <w:rsid w:val="00CD74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43D"/>
    <w:pPr>
      <w:framePr w:wrap="auto" w:hAnchor="text" w:y="6049"/>
    </w:pPr>
    <w:rPr>
      <w:color w:val="000000"/>
      <w:sz w:val="40"/>
    </w:rPr>
  </w:style>
  <w:style w:type="paragraph" w:customStyle="1" w:styleId="TOCTitle">
    <w:name w:val="TOCTitle"/>
    <w:basedOn w:val="Heading1"/>
    <w:rsid w:val="00CD743D"/>
    <w:pPr>
      <w:spacing w:after="240"/>
      <w:jc w:val="center"/>
      <w:outlineLvl w:val="9"/>
    </w:pPr>
    <w:rPr>
      <w:caps/>
    </w:rPr>
  </w:style>
  <w:style w:type="paragraph" w:customStyle="1" w:styleId="Version">
    <w:name w:val="Version"/>
    <w:rsid w:val="00CD74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43D"/>
    <w:pPr>
      <w:keepNext w:val="0"/>
      <w:tabs>
        <w:tab w:val="right" w:pos="4176"/>
      </w:tabs>
      <w:ind w:left="198" w:hanging="198"/>
    </w:pPr>
    <w:rPr>
      <w:rFonts w:ascii="Garamond" w:hAnsi="Garamond"/>
    </w:rPr>
  </w:style>
  <w:style w:type="paragraph" w:styleId="IndexHeading">
    <w:name w:val="index heading"/>
    <w:basedOn w:val="Normal"/>
    <w:next w:val="Index1"/>
    <w:semiHidden/>
    <w:rsid w:val="00CD743D"/>
    <w:pPr>
      <w:spacing w:before="120" w:after="120"/>
    </w:pPr>
    <w:rPr>
      <w:rFonts w:ascii="Arial" w:hAnsi="Arial"/>
      <w:b/>
      <w:color w:val="918585"/>
      <w:sz w:val="24"/>
    </w:rPr>
  </w:style>
  <w:style w:type="paragraph" w:styleId="Header">
    <w:name w:val="header"/>
    <w:basedOn w:val="Normal"/>
    <w:link w:val="HeaderChar"/>
    <w:rsid w:val="00CD74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43D"/>
    <w:rPr>
      <w:rFonts w:ascii="Times New Roman" w:eastAsia="Times New Roman" w:hAnsi="Times New Roman" w:cs="Times New Roman"/>
      <w:sz w:val="16"/>
      <w:szCs w:val="20"/>
      <w:lang w:val="en-GB" w:eastAsia="en-US"/>
    </w:rPr>
  </w:style>
  <w:style w:type="paragraph" w:customStyle="1" w:styleId="Chapter">
    <w:name w:val="Chapter"/>
    <w:basedOn w:val="Normal"/>
    <w:rsid w:val="00CD743D"/>
    <w:pPr>
      <w:spacing w:before="240"/>
    </w:pPr>
    <w:rPr>
      <w:rFonts w:ascii="Times New Roman" w:hAnsi="Times New Roman"/>
      <w:smallCaps/>
      <w:spacing w:val="80"/>
      <w:sz w:val="28"/>
    </w:rPr>
  </w:style>
  <w:style w:type="paragraph" w:customStyle="1" w:styleId="InChapter">
    <w:name w:val="InChapter"/>
    <w:basedOn w:val="Heading3"/>
    <w:rsid w:val="00CD743D"/>
    <w:pPr>
      <w:spacing w:after="240"/>
      <w:outlineLvl w:val="9"/>
    </w:pPr>
    <w:rPr>
      <w:noProof/>
    </w:rPr>
  </w:style>
  <w:style w:type="paragraph" w:styleId="Index2">
    <w:name w:val="index 2"/>
    <w:basedOn w:val="Normal"/>
    <w:next w:val="Normal"/>
    <w:semiHidden/>
    <w:rsid w:val="00CD743D"/>
    <w:pPr>
      <w:tabs>
        <w:tab w:val="right" w:pos="4176"/>
      </w:tabs>
      <w:ind w:left="568" w:hanging="284"/>
    </w:pPr>
    <w:rPr>
      <w:rFonts w:ascii="Garamond" w:hAnsi="Garamond"/>
    </w:rPr>
  </w:style>
  <w:style w:type="paragraph" w:customStyle="1" w:styleId="Byline">
    <w:name w:val="Byline"/>
    <w:rsid w:val="00CD74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43D"/>
    <w:pPr>
      <w:tabs>
        <w:tab w:val="clear" w:pos="3600"/>
        <w:tab w:val="clear" w:pos="3958"/>
      </w:tabs>
      <w:jc w:val="right"/>
    </w:pPr>
  </w:style>
  <w:style w:type="character" w:styleId="Emphasis">
    <w:name w:val="Emphasis"/>
    <w:basedOn w:val="DefaultParagraphFont"/>
    <w:qFormat/>
    <w:rsid w:val="00CD743D"/>
    <w:rPr>
      <w:i/>
    </w:rPr>
  </w:style>
  <w:style w:type="paragraph" w:styleId="Caption">
    <w:name w:val="caption"/>
    <w:basedOn w:val="BodyText"/>
    <w:next w:val="Normal"/>
    <w:qFormat/>
    <w:rsid w:val="00CD743D"/>
    <w:pPr>
      <w:framePr w:w="2268" w:hSpace="181" w:vSpace="181" w:wrap="around" w:vAnchor="text" w:hAnchor="page" w:x="1135" w:y="285" w:anchorLock="1"/>
    </w:pPr>
    <w:rPr>
      <w:i/>
    </w:rPr>
  </w:style>
  <w:style w:type="paragraph" w:customStyle="1" w:styleId="MiniTOCTitle">
    <w:name w:val="MiniTOCTitle"/>
    <w:basedOn w:val="Heading4"/>
    <w:rsid w:val="00CD743D"/>
    <w:pPr>
      <w:spacing w:before="240"/>
      <w:outlineLvl w:val="9"/>
    </w:pPr>
    <w:rPr>
      <w:noProof/>
      <w:sz w:val="24"/>
    </w:rPr>
  </w:style>
  <w:style w:type="paragraph" w:customStyle="1" w:styleId="MiniTOCItem">
    <w:name w:val="MiniTOCItem"/>
    <w:basedOn w:val="ListBullet"/>
    <w:rsid w:val="00CD743D"/>
    <w:pPr>
      <w:numPr>
        <w:numId w:val="0"/>
      </w:numPr>
      <w:tabs>
        <w:tab w:val="right" w:leader="dot" w:pos="6521"/>
      </w:tabs>
      <w:spacing w:before="0" w:after="0"/>
    </w:pPr>
  </w:style>
  <w:style w:type="paragraph" w:customStyle="1" w:styleId="TOFTitle">
    <w:name w:val="TOFTitle"/>
    <w:basedOn w:val="TOCTitle"/>
    <w:rsid w:val="00CD743D"/>
  </w:style>
  <w:style w:type="paragraph" w:styleId="TableofFigures">
    <w:name w:val="table of figures"/>
    <w:basedOn w:val="Normal"/>
    <w:next w:val="Normal"/>
    <w:semiHidden/>
    <w:rsid w:val="00CD743D"/>
    <w:pPr>
      <w:tabs>
        <w:tab w:val="right" w:leader="dot" w:pos="9072"/>
      </w:tabs>
      <w:ind w:left="970" w:hanging="403"/>
    </w:pPr>
    <w:rPr>
      <w:rFonts w:ascii="Times New Roman" w:hAnsi="Times New Roman"/>
      <w:b/>
    </w:rPr>
  </w:style>
  <w:style w:type="paragraph" w:styleId="ListNumber">
    <w:name w:val="List Number"/>
    <w:basedOn w:val="List"/>
    <w:rsid w:val="00CD743D"/>
    <w:pPr>
      <w:numPr>
        <w:numId w:val="11"/>
      </w:numPr>
    </w:pPr>
  </w:style>
  <w:style w:type="character" w:customStyle="1" w:styleId="WingdingSymbols">
    <w:name w:val="Wingding Symbols"/>
    <w:rsid w:val="00CD743D"/>
    <w:rPr>
      <w:rFonts w:ascii="Wingdings" w:hAnsi="Wingdings"/>
    </w:rPr>
  </w:style>
  <w:style w:type="paragraph" w:customStyle="1" w:styleId="TableHeading">
    <w:name w:val="Table Heading"/>
    <w:basedOn w:val="HeadingBase"/>
    <w:rsid w:val="00CD743D"/>
    <w:pPr>
      <w:keepLines/>
      <w:pBdr>
        <w:bottom w:val="single" w:sz="6" w:space="1" w:color="918585"/>
      </w:pBdr>
      <w:spacing w:before="240"/>
    </w:pPr>
  </w:style>
  <w:style w:type="character" w:customStyle="1" w:styleId="HotSpot">
    <w:name w:val="HotSpot"/>
    <w:rsid w:val="00CD743D"/>
    <w:rPr>
      <w:color w:val="0033CC"/>
      <w:u w:val="none"/>
    </w:rPr>
  </w:style>
  <w:style w:type="paragraph" w:customStyle="1" w:styleId="BodyTextRight">
    <w:name w:val="Body Text Right"/>
    <w:basedOn w:val="BodyText"/>
    <w:rsid w:val="00CD743D"/>
    <w:pPr>
      <w:spacing w:before="0" w:after="0"/>
      <w:jc w:val="right"/>
    </w:pPr>
  </w:style>
  <w:style w:type="paragraph" w:styleId="Index3">
    <w:name w:val="index 3"/>
    <w:basedOn w:val="ListNumber2"/>
    <w:next w:val="Normal"/>
    <w:semiHidden/>
    <w:rsid w:val="00CD743D"/>
    <w:pPr>
      <w:numPr>
        <w:numId w:val="0"/>
      </w:numPr>
      <w:tabs>
        <w:tab w:val="right" w:leader="dot" w:pos="4176"/>
      </w:tabs>
    </w:pPr>
  </w:style>
  <w:style w:type="paragraph" w:styleId="ListNumber2">
    <w:name w:val="List Number 2"/>
    <w:basedOn w:val="List2"/>
    <w:rsid w:val="00CD743D"/>
    <w:pPr>
      <w:numPr>
        <w:numId w:val="10"/>
      </w:numPr>
      <w:tabs>
        <w:tab w:val="clear" w:pos="1060"/>
      </w:tabs>
    </w:pPr>
  </w:style>
  <w:style w:type="paragraph" w:customStyle="1" w:styleId="MarginNote">
    <w:name w:val="Margin Note"/>
    <w:basedOn w:val="BodyText"/>
    <w:rsid w:val="00CD74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4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4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43D"/>
    <w:rPr>
      <w:sz w:val="32"/>
    </w:rPr>
  </w:style>
  <w:style w:type="paragraph" w:customStyle="1" w:styleId="HeadingProcedure">
    <w:name w:val="Heading Procedure"/>
    <w:basedOn w:val="HeadingBase"/>
    <w:next w:val="Normal"/>
    <w:rsid w:val="00CD743D"/>
    <w:pPr>
      <w:tabs>
        <w:tab w:val="left" w:pos="0"/>
      </w:tabs>
      <w:spacing w:before="120" w:after="60"/>
    </w:pPr>
    <w:rPr>
      <w:i/>
      <w:color w:val="918585"/>
      <w:sz w:val="22"/>
    </w:rPr>
  </w:style>
  <w:style w:type="paragraph" w:customStyle="1" w:styleId="TableBodyText">
    <w:name w:val="Table Body Text"/>
    <w:basedOn w:val="BodyText"/>
    <w:rsid w:val="00CD743D"/>
    <w:pPr>
      <w:spacing w:before="60" w:after="60"/>
    </w:pPr>
  </w:style>
  <w:style w:type="paragraph" w:styleId="ListContinue">
    <w:name w:val="List Continue"/>
    <w:basedOn w:val="List"/>
    <w:rsid w:val="00CD743D"/>
    <w:pPr>
      <w:ind w:firstLine="0"/>
    </w:pPr>
  </w:style>
  <w:style w:type="paragraph" w:customStyle="1" w:styleId="ListNote">
    <w:name w:val="List Note"/>
    <w:basedOn w:val="List"/>
    <w:rsid w:val="00CD743D"/>
    <w:pPr>
      <w:pBdr>
        <w:top w:val="single" w:sz="6" w:space="2" w:color="918585"/>
        <w:bottom w:val="single" w:sz="6" w:space="2" w:color="918585"/>
      </w:pBdr>
      <w:tabs>
        <w:tab w:val="left" w:pos="1021"/>
      </w:tabs>
      <w:ind w:firstLine="0"/>
    </w:pPr>
  </w:style>
  <w:style w:type="paragraph" w:customStyle="1" w:styleId="Warning">
    <w:name w:val="Warning"/>
    <w:basedOn w:val="BodyText"/>
    <w:rsid w:val="00CD743D"/>
    <w:pPr>
      <w:shd w:val="clear" w:color="auto" w:fill="D9D9D9"/>
      <w:tabs>
        <w:tab w:val="left" w:pos="992"/>
      </w:tabs>
      <w:ind w:left="119" w:right="119"/>
    </w:pPr>
    <w:rPr>
      <w:sz w:val="20"/>
    </w:rPr>
  </w:style>
  <w:style w:type="paragraph" w:customStyle="1" w:styleId="MarginIcons">
    <w:name w:val="Margin Icons"/>
    <w:basedOn w:val="BodyText"/>
    <w:rsid w:val="00CD74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43D"/>
    <w:rPr>
      <w:rFonts w:ascii="Courier New" w:hAnsi="Courier New"/>
    </w:rPr>
  </w:style>
  <w:style w:type="paragraph" w:customStyle="1" w:styleId="NoteBullet">
    <w:name w:val="Note Bullet"/>
    <w:basedOn w:val="Note"/>
    <w:rsid w:val="00CD743D"/>
    <w:pPr>
      <w:tabs>
        <w:tab w:val="clear" w:pos="680"/>
      </w:tabs>
      <w:spacing w:before="60" w:after="60"/>
    </w:pPr>
  </w:style>
  <w:style w:type="paragraph" w:customStyle="1" w:styleId="SubHeading2">
    <w:name w:val="SubHeading2"/>
    <w:basedOn w:val="HeadingBase"/>
    <w:rsid w:val="00CD743D"/>
    <w:pPr>
      <w:spacing w:before="240" w:after="60"/>
    </w:pPr>
    <w:rPr>
      <w:sz w:val="20"/>
    </w:rPr>
  </w:style>
  <w:style w:type="paragraph" w:customStyle="1" w:styleId="SubHeading1">
    <w:name w:val="SubHeading1"/>
    <w:basedOn w:val="HeadingBase"/>
    <w:rsid w:val="00CD743D"/>
    <w:pPr>
      <w:spacing w:before="240" w:after="60"/>
    </w:pPr>
    <w:rPr>
      <w:color w:val="918585"/>
      <w:sz w:val="22"/>
    </w:rPr>
  </w:style>
  <w:style w:type="paragraph" w:customStyle="1" w:styleId="SideHeading">
    <w:name w:val="Side Heading"/>
    <w:basedOn w:val="HeadingBase"/>
    <w:rsid w:val="00CD74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43D"/>
    <w:pPr>
      <w:numPr>
        <w:numId w:val="12"/>
      </w:numPr>
    </w:pPr>
  </w:style>
  <w:style w:type="paragraph" w:styleId="PlainText">
    <w:name w:val="Plain Text"/>
    <w:basedOn w:val="Normal"/>
    <w:link w:val="PlainTextChar"/>
    <w:rsid w:val="00CD743D"/>
    <w:rPr>
      <w:sz w:val="20"/>
    </w:rPr>
  </w:style>
  <w:style w:type="character" w:customStyle="1" w:styleId="PlainTextChar">
    <w:name w:val="Plain Text Char"/>
    <w:basedOn w:val="DefaultParagraphFont"/>
    <w:link w:val="PlainText"/>
    <w:rsid w:val="00CD743D"/>
    <w:rPr>
      <w:rFonts w:ascii="Courier New" w:eastAsia="Times New Roman" w:hAnsi="Courier New" w:cs="Times New Roman"/>
      <w:sz w:val="20"/>
      <w:szCs w:val="20"/>
      <w:lang w:eastAsia="en-US"/>
    </w:rPr>
  </w:style>
  <w:style w:type="character" w:customStyle="1" w:styleId="MenuOption">
    <w:name w:val="Menu Option"/>
    <w:basedOn w:val="DefaultParagraphFont"/>
    <w:rsid w:val="00CD743D"/>
    <w:rPr>
      <w:b/>
      <w:smallCaps/>
    </w:rPr>
  </w:style>
  <w:style w:type="paragraph" w:customStyle="1" w:styleId="TableListNumber">
    <w:name w:val="Table List Number"/>
    <w:basedOn w:val="ListNumber"/>
    <w:rsid w:val="00CD743D"/>
    <w:pPr>
      <w:numPr>
        <w:numId w:val="0"/>
      </w:numPr>
    </w:pPr>
  </w:style>
  <w:style w:type="paragraph" w:styleId="TOC4">
    <w:name w:val="toc 4"/>
    <w:basedOn w:val="TOCBase"/>
    <w:next w:val="Normal"/>
    <w:semiHidden/>
    <w:rsid w:val="00CD743D"/>
    <w:pPr>
      <w:tabs>
        <w:tab w:val="right" w:leader="dot" w:pos="9071"/>
      </w:tabs>
      <w:ind w:left="1701"/>
    </w:pPr>
  </w:style>
  <w:style w:type="paragraph" w:customStyle="1" w:styleId="ListAlpha">
    <w:name w:val="List Alpha"/>
    <w:basedOn w:val="List"/>
    <w:rsid w:val="00CD743D"/>
    <w:pPr>
      <w:numPr>
        <w:numId w:val="9"/>
      </w:numPr>
    </w:pPr>
  </w:style>
  <w:style w:type="paragraph" w:customStyle="1" w:styleId="ListAlpha2">
    <w:name w:val="List Alpha 2"/>
    <w:basedOn w:val="List2"/>
    <w:rsid w:val="00CD743D"/>
    <w:pPr>
      <w:numPr>
        <w:numId w:val="8"/>
      </w:numPr>
    </w:pPr>
  </w:style>
  <w:style w:type="paragraph" w:styleId="List2">
    <w:name w:val="List 2"/>
    <w:basedOn w:val="BodyText"/>
    <w:rsid w:val="00CD743D"/>
    <w:pPr>
      <w:tabs>
        <w:tab w:val="left" w:pos="680"/>
      </w:tabs>
      <w:spacing w:before="60" w:after="60"/>
      <w:ind w:left="680" w:hanging="340"/>
    </w:pPr>
  </w:style>
  <w:style w:type="paragraph" w:styleId="List3">
    <w:name w:val="List 3"/>
    <w:basedOn w:val="BodyText"/>
    <w:rsid w:val="00CD743D"/>
    <w:pPr>
      <w:tabs>
        <w:tab w:val="left" w:pos="1021"/>
      </w:tabs>
      <w:spacing w:before="60" w:after="60"/>
      <w:ind w:left="1020" w:hanging="340"/>
    </w:pPr>
  </w:style>
  <w:style w:type="paragraph" w:styleId="List4">
    <w:name w:val="List 4"/>
    <w:basedOn w:val="BodyText"/>
    <w:rsid w:val="00CD743D"/>
    <w:pPr>
      <w:tabs>
        <w:tab w:val="left" w:pos="1361"/>
      </w:tabs>
      <w:spacing w:before="60" w:after="60"/>
      <w:ind w:left="1361" w:hanging="340"/>
    </w:pPr>
  </w:style>
  <w:style w:type="paragraph" w:styleId="List5">
    <w:name w:val="List 5"/>
    <w:basedOn w:val="BodyText"/>
    <w:rsid w:val="00CD743D"/>
    <w:pPr>
      <w:tabs>
        <w:tab w:val="left" w:pos="1701"/>
      </w:tabs>
      <w:spacing w:before="60" w:after="60"/>
      <w:ind w:left="1701" w:hanging="340"/>
    </w:pPr>
  </w:style>
  <w:style w:type="paragraph" w:styleId="ListBullet3">
    <w:name w:val="List Bullet 3"/>
    <w:basedOn w:val="List3"/>
    <w:rsid w:val="00CD743D"/>
    <w:pPr>
      <w:numPr>
        <w:numId w:val="15"/>
      </w:numPr>
      <w:tabs>
        <w:tab w:val="clear" w:pos="1021"/>
      </w:tabs>
      <w:ind w:left="1037" w:hanging="357"/>
    </w:pPr>
  </w:style>
  <w:style w:type="paragraph" w:styleId="ListBullet4">
    <w:name w:val="List Bullet 4"/>
    <w:basedOn w:val="List4"/>
    <w:rsid w:val="00CD743D"/>
    <w:pPr>
      <w:numPr>
        <w:numId w:val="3"/>
      </w:numPr>
    </w:pPr>
  </w:style>
  <w:style w:type="paragraph" w:styleId="ListBullet5">
    <w:name w:val="List Bullet 5"/>
    <w:basedOn w:val="List5"/>
    <w:rsid w:val="00CD743D"/>
    <w:pPr>
      <w:numPr>
        <w:numId w:val="4"/>
      </w:numPr>
    </w:pPr>
  </w:style>
  <w:style w:type="paragraph" w:styleId="ListContinue2">
    <w:name w:val="List Continue 2"/>
    <w:basedOn w:val="List2"/>
    <w:rsid w:val="00CD743D"/>
    <w:pPr>
      <w:ind w:firstLine="0"/>
    </w:pPr>
  </w:style>
  <w:style w:type="paragraph" w:styleId="ListContinue3">
    <w:name w:val="List Continue 3"/>
    <w:basedOn w:val="List3"/>
    <w:rsid w:val="00CD743D"/>
    <w:pPr>
      <w:ind w:left="1021" w:firstLine="0"/>
    </w:pPr>
  </w:style>
  <w:style w:type="paragraph" w:styleId="ListContinue4">
    <w:name w:val="List Continue 4"/>
    <w:basedOn w:val="List4"/>
    <w:rsid w:val="00CD743D"/>
    <w:pPr>
      <w:ind w:firstLine="0"/>
    </w:pPr>
  </w:style>
  <w:style w:type="paragraph" w:styleId="ListContinue5">
    <w:name w:val="List Continue 5"/>
    <w:basedOn w:val="List5"/>
    <w:rsid w:val="00CD743D"/>
    <w:pPr>
      <w:ind w:firstLine="0"/>
    </w:pPr>
  </w:style>
  <w:style w:type="paragraph" w:styleId="ListNumber3">
    <w:name w:val="List Number 3"/>
    <w:basedOn w:val="List3"/>
    <w:rsid w:val="00CD743D"/>
    <w:pPr>
      <w:numPr>
        <w:numId w:val="5"/>
      </w:numPr>
    </w:pPr>
  </w:style>
  <w:style w:type="paragraph" w:styleId="ListNumber4">
    <w:name w:val="List Number 4"/>
    <w:basedOn w:val="List4"/>
    <w:rsid w:val="00CD743D"/>
    <w:pPr>
      <w:numPr>
        <w:numId w:val="6"/>
      </w:numPr>
    </w:pPr>
  </w:style>
  <w:style w:type="paragraph" w:styleId="ListNumber5">
    <w:name w:val="List Number 5"/>
    <w:basedOn w:val="List5"/>
    <w:rsid w:val="00CD743D"/>
    <w:pPr>
      <w:numPr>
        <w:numId w:val="7"/>
      </w:numPr>
    </w:pPr>
  </w:style>
  <w:style w:type="paragraph" w:styleId="BlockText">
    <w:name w:val="Block Text"/>
    <w:basedOn w:val="Normal"/>
    <w:rsid w:val="00CD743D"/>
    <w:pPr>
      <w:spacing w:after="120"/>
      <w:ind w:left="1440" w:right="1440"/>
    </w:pPr>
  </w:style>
  <w:style w:type="character" w:customStyle="1" w:styleId="Subscript">
    <w:name w:val="Subscript"/>
    <w:basedOn w:val="DefaultParagraphFont"/>
    <w:rsid w:val="00CD743D"/>
    <w:rPr>
      <w:sz w:val="16"/>
      <w:vertAlign w:val="subscript"/>
    </w:rPr>
  </w:style>
  <w:style w:type="character" w:customStyle="1" w:styleId="Superscript">
    <w:name w:val="Superscript"/>
    <w:basedOn w:val="DefaultParagraphFont"/>
    <w:rsid w:val="00CD743D"/>
    <w:rPr>
      <w:sz w:val="16"/>
      <w:vertAlign w:val="superscript"/>
    </w:rPr>
  </w:style>
  <w:style w:type="character" w:customStyle="1" w:styleId="Symbols">
    <w:name w:val="Symbols"/>
    <w:basedOn w:val="DefaultParagraphFont"/>
    <w:rsid w:val="00CD743D"/>
    <w:rPr>
      <w:rFonts w:ascii="Symbol" w:hAnsi="Symbol"/>
    </w:rPr>
  </w:style>
  <w:style w:type="character" w:customStyle="1" w:styleId="MenuOptions">
    <w:name w:val="Menu Options"/>
    <w:basedOn w:val="DefaultParagraphFont"/>
    <w:rsid w:val="00CD743D"/>
    <w:rPr>
      <w:rFonts w:ascii="Arial Narrow" w:hAnsi="Arial Narrow"/>
      <w:smallCaps/>
    </w:rPr>
  </w:style>
  <w:style w:type="character" w:customStyle="1" w:styleId="Buttons">
    <w:name w:val="Buttons"/>
    <w:basedOn w:val="DefaultParagraphFont"/>
    <w:rsid w:val="00CD743D"/>
    <w:rPr>
      <w:b/>
    </w:rPr>
  </w:style>
  <w:style w:type="character" w:customStyle="1" w:styleId="Underlined">
    <w:name w:val="Underlined"/>
    <w:basedOn w:val="DefaultParagraphFont"/>
    <w:rsid w:val="00CD743D"/>
    <w:rPr>
      <w:u w:val="single"/>
    </w:rPr>
  </w:style>
  <w:style w:type="paragraph" w:customStyle="1" w:styleId="TableBodyTextRight">
    <w:name w:val="Table Body Text Right"/>
    <w:basedOn w:val="TableBodyText"/>
    <w:rsid w:val="00CD743D"/>
    <w:pPr>
      <w:widowControl w:val="0"/>
      <w:autoSpaceDE w:val="0"/>
      <w:autoSpaceDN w:val="0"/>
      <w:adjustRightInd w:val="0"/>
      <w:jc w:val="right"/>
    </w:pPr>
    <w:rPr>
      <w:rFonts w:cs="Arial"/>
      <w:szCs w:val="18"/>
    </w:rPr>
  </w:style>
  <w:style w:type="paragraph" w:customStyle="1" w:styleId="CopyrightText">
    <w:name w:val="Copyright Text"/>
    <w:basedOn w:val="BodyText"/>
    <w:rsid w:val="00CD743D"/>
    <w:rPr>
      <w:sz w:val="18"/>
    </w:rPr>
  </w:style>
  <w:style w:type="paragraph" w:customStyle="1" w:styleId="BodySmallRight">
    <w:name w:val="Body Small Right"/>
    <w:basedOn w:val="BodyTextRight"/>
    <w:rsid w:val="00CD743D"/>
    <w:rPr>
      <w:sz w:val="18"/>
      <w:szCs w:val="18"/>
    </w:rPr>
  </w:style>
  <w:style w:type="paragraph" w:customStyle="1" w:styleId="MarginEdition">
    <w:name w:val="Margin Edition"/>
    <w:basedOn w:val="MarginNote"/>
    <w:rsid w:val="00CD743D"/>
    <w:pPr>
      <w:spacing w:before="0" w:after="0"/>
    </w:pPr>
    <w:rPr>
      <w:rFonts w:ascii="Times New Roman" w:hAnsi="Times New Roman"/>
      <w:color w:val="999999"/>
    </w:rPr>
  </w:style>
  <w:style w:type="paragraph" w:customStyle="1" w:styleId="Spacer">
    <w:name w:val="Spacer"/>
    <w:basedOn w:val="Normal"/>
    <w:rsid w:val="00CD743D"/>
    <w:rPr>
      <w:sz w:val="2"/>
      <w:szCs w:val="2"/>
    </w:rPr>
  </w:style>
  <w:style w:type="character" w:customStyle="1" w:styleId="Small">
    <w:name w:val="Small"/>
    <w:basedOn w:val="DefaultParagraphFont"/>
    <w:rsid w:val="00CD743D"/>
    <w:rPr>
      <w:sz w:val="16"/>
    </w:rPr>
  </w:style>
  <w:style w:type="paragraph" w:customStyle="1" w:styleId="WideTable">
    <w:name w:val="Wide Table"/>
    <w:basedOn w:val="Normal"/>
    <w:rsid w:val="00CD743D"/>
    <w:pPr>
      <w:ind w:left="-1418"/>
    </w:pPr>
    <w:rPr>
      <w:sz w:val="2"/>
      <w:szCs w:val="2"/>
    </w:rPr>
  </w:style>
  <w:style w:type="character" w:styleId="PageNumber">
    <w:name w:val="page number"/>
    <w:basedOn w:val="DefaultParagraphFont"/>
    <w:rsid w:val="00CD743D"/>
  </w:style>
  <w:style w:type="paragraph" w:styleId="Quote">
    <w:name w:val="Quote"/>
    <w:basedOn w:val="Heading1"/>
    <w:link w:val="QuoteChar"/>
    <w:qFormat/>
    <w:rsid w:val="00CD743D"/>
    <w:rPr>
      <w:b w:val="0"/>
      <w:sz w:val="72"/>
      <w:szCs w:val="72"/>
      <w:lang w:val="en-NZ"/>
    </w:rPr>
  </w:style>
  <w:style w:type="character" w:customStyle="1" w:styleId="QuoteChar">
    <w:name w:val="Quote Char"/>
    <w:basedOn w:val="DefaultParagraphFont"/>
    <w:link w:val="Quote"/>
    <w:rsid w:val="00CD74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43D"/>
    <w:pPr>
      <w:pageBreakBefore/>
    </w:pPr>
  </w:style>
  <w:style w:type="paragraph" w:customStyle="1" w:styleId="Border">
    <w:name w:val="Border"/>
    <w:basedOn w:val="Normal"/>
    <w:qFormat/>
    <w:rsid w:val="00CD74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43D"/>
    <w:rPr>
      <w:b/>
      <w:bCs/>
      <w:i/>
      <w:iCs/>
      <w:color w:val="auto"/>
    </w:rPr>
  </w:style>
  <w:style w:type="paragraph" w:styleId="IntenseQuote">
    <w:name w:val="Intense Quote"/>
    <w:basedOn w:val="Normal"/>
    <w:next w:val="Normal"/>
    <w:link w:val="IntenseQuoteChar"/>
    <w:uiPriority w:val="30"/>
    <w:qFormat/>
    <w:rsid w:val="00CD74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4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43D"/>
    <w:rPr>
      <w:smallCaps/>
      <w:color w:val="auto"/>
      <w:u w:val="single"/>
    </w:rPr>
  </w:style>
  <w:style w:type="character" w:styleId="IntenseReference">
    <w:name w:val="Intense Reference"/>
    <w:basedOn w:val="DefaultParagraphFont"/>
    <w:uiPriority w:val="32"/>
    <w:qFormat/>
    <w:rsid w:val="00CD743D"/>
    <w:rPr>
      <w:b/>
      <w:bCs/>
      <w:smallCaps/>
      <w:color w:val="auto"/>
      <w:spacing w:val="5"/>
      <w:u w:val="single"/>
    </w:rPr>
  </w:style>
  <w:style w:type="paragraph" w:customStyle="1" w:styleId="2ColumnHeading">
    <w:name w:val="2Column Heading"/>
    <w:basedOn w:val="BodyText"/>
    <w:qFormat/>
    <w:rsid w:val="00CD743D"/>
    <w:pPr>
      <w:spacing w:after="60"/>
      <w:ind w:left="-2268"/>
    </w:pPr>
    <w:rPr>
      <w:b/>
    </w:rPr>
  </w:style>
  <w:style w:type="paragraph" w:customStyle="1" w:styleId="Heading1TOC">
    <w:name w:val="Heading1 TOC"/>
    <w:basedOn w:val="Normal"/>
    <w:qFormat/>
    <w:rsid w:val="00CD743D"/>
    <w:pPr>
      <w:spacing w:before="240" w:after="120"/>
    </w:pPr>
    <w:rPr>
      <w:rFonts w:ascii="Times New Roman" w:hAnsi="Times New Roman"/>
      <w:b/>
      <w:sz w:val="32"/>
    </w:rPr>
  </w:style>
  <w:style w:type="paragraph" w:customStyle="1" w:styleId="Heading2TOC">
    <w:name w:val="Heading2 TOC"/>
    <w:basedOn w:val="Normal"/>
    <w:qFormat/>
    <w:rsid w:val="00CD743D"/>
    <w:pPr>
      <w:spacing w:before="240" w:after="60"/>
    </w:pPr>
    <w:rPr>
      <w:rFonts w:ascii="Times New Roman" w:hAnsi="Times New Roman"/>
      <w:b/>
      <w:sz w:val="28"/>
    </w:rPr>
  </w:style>
  <w:style w:type="character" w:customStyle="1" w:styleId="Underline">
    <w:name w:val="Underline"/>
    <w:basedOn w:val="DefaultParagraphFont"/>
    <w:qFormat/>
    <w:rsid w:val="00CD743D"/>
    <w:rPr>
      <w:u w:val="single"/>
    </w:rPr>
  </w:style>
  <w:style w:type="paragraph" w:styleId="BalloonText">
    <w:name w:val="Balloon Text"/>
    <w:basedOn w:val="Normal"/>
    <w:link w:val="BalloonTextChar"/>
    <w:rsid w:val="00CD743D"/>
    <w:rPr>
      <w:rFonts w:ascii="Tahoma" w:hAnsi="Tahoma" w:cs="Tahoma"/>
      <w:sz w:val="16"/>
      <w:szCs w:val="16"/>
    </w:rPr>
  </w:style>
  <w:style w:type="character" w:customStyle="1" w:styleId="BalloonTextChar">
    <w:name w:val="Balloon Text Char"/>
    <w:basedOn w:val="DefaultParagraphFont"/>
    <w:link w:val="BalloonText"/>
    <w:rsid w:val="00CD74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4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74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43D"/>
    <w:rPr>
      <w:b/>
      <w:color w:val="660033"/>
      <w:spacing w:val="0"/>
    </w:rPr>
  </w:style>
  <w:style w:type="paragraph" w:customStyle="1" w:styleId="Nameditemlist">
    <w:name w:val="Named item list"/>
    <w:basedOn w:val="BodyText"/>
    <w:qFormat/>
    <w:rsid w:val="00CD74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894</Words>
  <Characters>5600</Characters>
  <Application>Microsoft Office Word</Application>
  <DocSecurity>0</DocSecurity>
  <Lines>228</Lines>
  <Paragraphs>128</Paragraphs>
  <ScaleCrop>false</ScaleCrop>
  <Company>Author-it Software Corporation Ltd.</Company>
  <LinksUpToDate>false</LinksUpToDate>
  <CharactersWithSpaces>6421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MARC2004A Operate deck machinery</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2013-06-06T04:53:00Z</dcterms:created>
  <dcterms:modified xsi:type="dcterms:W3CDTF">2013-06-06T04:53:00Z</dcterms:modified>
</cp:coreProperties>
</file>