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320" w:rsidP="00B01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MARB4003A Manage refuelling</w:t>
      </w:r>
      <w:r>
        <w:fldChar w:fldCharType="end"/>
      </w:r>
    </w:p>
    <w:p w:rsidR="00B01320" w:rsidP="00B01320">
      <w:pPr>
        <w:pStyle w:val="Version"/>
        <w:sectPr w:rsidSect="00EB4D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B4DD2" w:rsidP="00EB4DD2">
      <w:pPr>
        <w:pStyle w:val="SuperHeading"/>
      </w:pPr>
      <w:r w:rsidRPr="00EB4DD2">
        <w:t>MARB4003A Manage refuelling</w:t>
      </w:r>
    </w:p>
    <w:p w:rsidR="00000000" w:rsidRPr="00EB4DD2" w:rsidP="00EB4DD2">
      <w:pPr>
        <w:pStyle w:val="Heading1"/>
      </w:pPr>
      <w:bookmarkStart w:id="1" w:name="O_535906"/>
      <w:bookmarkEnd w:id="1"/>
      <w:r w:rsidRPr="00EB4DD2">
        <w:t>Modification History</w:t>
      </w:r>
    </w:p>
    <w:p w:rsidR="00000000" w:rsidRPr="00EB4DD2" w:rsidP="00EB4DD2">
      <w:pPr>
        <w:pStyle w:val="BodyText"/>
      </w:pPr>
      <w:r w:rsidRPr="00EB4DD2">
        <w:t>Release 1</w:t>
      </w:r>
    </w:p>
    <w:p w:rsidR="00000000" w:rsidRPr="00EB4DD2" w:rsidP="00EB4DD2">
      <w:pPr>
        <w:pStyle w:val="BodyText"/>
      </w:pPr>
      <w:r w:rsidRPr="00EB4DD2">
        <w:t>This is the first release of this unit.</w:t>
      </w:r>
    </w:p>
    <w:p w:rsidR="00000000" w:rsidRPr="00EB4DD2" w:rsidP="00EB4DD2">
      <w:pPr>
        <w:pStyle w:val="BodyText"/>
      </w:pPr>
      <w:r w:rsidRPr="00EB4DD2">
        <w:t>This unit replaces and is equivalent to TDMMR5407B Carry out refueling and fuel transfer operations.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2" w:name="O_535907"/>
      <w:bookmarkEnd w:id="2"/>
      <w:r w:rsidRPr="00EB4DD2">
        <w:t>Unit Descriptor</w:t>
      </w:r>
    </w:p>
    <w:p w:rsidR="00000000" w:rsidRPr="00EB4DD2" w:rsidP="00EB4DD2">
      <w:pPr>
        <w:pStyle w:val="BodyText"/>
      </w:pPr>
      <w:r w:rsidRPr="00EB4DD2">
        <w:t>This unit involves the skills and knowledge require</w:t>
      </w:r>
      <w:r w:rsidRPr="00EB4DD2">
        <w:t>d to manage refuelling and fuel transfer operations.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3" w:name="O_535908"/>
      <w:bookmarkEnd w:id="3"/>
      <w:r w:rsidRPr="00EB4DD2">
        <w:t>Application of the Unit</w:t>
      </w:r>
    </w:p>
    <w:p w:rsidR="00000000" w:rsidRPr="00EB4DD2" w:rsidP="00EB4DD2">
      <w:pPr>
        <w:pStyle w:val="BodyText"/>
      </w:pPr>
      <w:r w:rsidRPr="00EB4DD2">
        <w:t>This unit applies to engine workers in the maritime industry working as a Marine Engine Driver Grade 1 on vessels up to 1500 kW.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4" w:name="O_535909"/>
      <w:bookmarkEnd w:id="4"/>
      <w:r w:rsidRPr="00EB4DD2">
        <w:t>Licensing/Regula</w:t>
      </w:r>
      <w:r w:rsidRPr="00EB4DD2">
        <w:t>tory Information</w:t>
      </w:r>
    </w:p>
    <w:p w:rsidR="00000000" w:rsidRPr="00EB4DD2" w:rsidP="00EB4DD2">
      <w:pPr>
        <w:pStyle w:val="BodyText"/>
      </w:pPr>
      <w:r w:rsidRPr="00EB4DD2">
        <w:t>Not applicable.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5" w:name="O_535910"/>
      <w:bookmarkEnd w:id="5"/>
      <w:r w:rsidRPr="00EB4DD2">
        <w:t>Pre-Requisites</w:t>
      </w:r>
    </w:p>
    <w:p w:rsidR="00000000" w:rsidRPr="00EB4DD2" w:rsidP="00EB4DD2">
      <w:pPr>
        <w:pStyle w:val="BodyText"/>
      </w:pPr>
      <w:r w:rsidRPr="00EB4DD2">
        <w:t>Not applicable.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6" w:name="O_535911"/>
      <w:bookmarkEnd w:id="6"/>
      <w:r w:rsidRPr="00EB4DD2">
        <w:t>Employability Skills Information</w:t>
      </w:r>
    </w:p>
    <w:p w:rsidR="00000000" w:rsidRPr="00EB4DD2" w:rsidP="00EB4DD2">
      <w:pPr>
        <w:pStyle w:val="BodyText"/>
      </w:pPr>
      <w:r w:rsidRPr="00EB4DD2">
        <w:t>This unit contains employability skills.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7" w:name="O_535912"/>
      <w:bookmarkEnd w:id="7"/>
      <w:r w:rsidRPr="00EB4DD2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Elements describe the</w:t>
            </w:r>
            <w:r w:rsidRPr="00EB4DD2">
              <w:t xml:space="preserve">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EB4DD2" w:rsidP="00EB4DD2">
      <w:pPr>
        <w:pStyle w:val="BodyText"/>
      </w:pP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8" w:name="O_535913"/>
      <w:bookmarkEnd w:id="8"/>
      <w:r w:rsidRPr="00EB4DD2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Plan refuelling or fuel transfer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Fuel tanks are dipped to establish current level of fuel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Fuel is ordered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Amount and positioning of fuel on board vessel is calculated with reference to tank tables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BoldandItalics"/>
              </w:rPr>
              <w:t>Impact of refuelling on safety and operation of vesse</w:t>
            </w:r>
            <w:r w:rsidRPr="00EB4DD2">
              <w:t>l is determined and appropriate strategies are implemented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 xml:space="preserve">Local port authorities are informed of </w:t>
            </w:r>
            <w:r w:rsidRPr="00EB4DD2">
              <w:t xml:space="preserve">vessel location for bunkering operations and duration of bunkering 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Prepare vessel for refuelling or fuel transfer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Vessel is positioned and secured for refuelling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 xml:space="preserve">All </w:t>
            </w:r>
            <w:r w:rsidRPr="00EB4DD2">
              <w:rPr>
                <w:rStyle w:val="BoldandItalics"/>
              </w:rPr>
              <w:t xml:space="preserve">personal protective equipment </w:t>
            </w:r>
            <w:r w:rsidRPr="00EB4DD2">
              <w:t>is accessed and used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BoldandItalics"/>
              </w:rPr>
              <w:t>Bunkering equipment</w:t>
            </w:r>
            <w:r w:rsidRPr="00EB4DD2">
              <w:t xml:space="preserve"> is correctly deployed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BoldandItalics"/>
              </w:rPr>
              <w:t>Safety zone</w:t>
            </w:r>
            <w:r w:rsidRPr="00EB4DD2">
              <w:t xml:space="preserve"> for refuelling process is established and maintained for full duration of operation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BoldandItalics"/>
              </w:rPr>
              <w:t>Procedures for refuelling</w:t>
            </w:r>
            <w:r w:rsidRPr="00EB4DD2">
              <w:t xml:space="preserve"> are established with bunker operator and completed lists are checked according to organisation and safety management system (SMS) requirements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Bunker hose is securely connected to vessel fuel manifold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2.7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 xml:space="preserve">Tank valves are opened as necessary and </w:t>
            </w:r>
            <w:r w:rsidRPr="00EB4DD2">
              <w:t>refuelling operations are performed safely according to SMS and regulatory requirements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2.8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Tanks are dipped to ensure correct amount of fuel has been received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2.9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Fuel samples are taken to check q</w:t>
            </w:r>
            <w:r w:rsidRPr="00EB4DD2">
              <w:t>uality of fuel received and appropriate action is taken if fuel sample is off speculation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Complete refuelling operations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BoldandItalics"/>
              </w:rPr>
              <w:t>Shut-down procedures</w:t>
            </w:r>
            <w:r w:rsidRPr="00EB4DD2">
              <w:t xml:space="preserve"> are conducted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 xml:space="preserve">Malfunctions, faults, irregular performance or </w:t>
            </w:r>
            <w:r w:rsidRPr="00EB4DD2">
              <w:t xml:space="preserve">damage to refuelling equipment are recorded and repairs are organised, according to organisational procedures 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Refuelling equipment is maintained and secured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BoldandItalics"/>
              </w:rPr>
              <w:t>Refuelling records</w:t>
            </w:r>
            <w:r w:rsidRPr="00EB4DD2">
              <w:t xml:space="preserve"> are completed according </w:t>
            </w:r>
            <w:r w:rsidRPr="00EB4DD2">
              <w:t xml:space="preserve">to organisational </w:t>
            </w:r>
            <w:r w:rsidRPr="00EB4DD2">
              <w:t>procedures and regulatory requirements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Manage an emergency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Appropriate response is made to an</w:t>
            </w:r>
            <w:r w:rsidRPr="00EB4DD2">
              <w:rPr>
                <w:rStyle w:val="BoldandItalics"/>
              </w:rPr>
              <w:t xml:space="preserve"> emergency situation</w:t>
            </w:r>
            <w:r w:rsidRPr="00EB4DD2">
              <w:t xml:space="preserve">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Safety zone is closed off and isolated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All persons in the safety zone are correctly notified and their activities are managed to ensure safety according to organisational procedures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Appropriate authoriti</w:t>
            </w:r>
            <w:r w:rsidRPr="00EB4DD2">
              <w:t>es are notified and actions are taken as directed according to emergency procedures and regulatory requirements</w:t>
            </w:r>
          </w:p>
        </w:tc>
      </w:tr>
      <w:tr w:rsidTr="00B013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4.5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rPr>
                <w:rStyle w:val="BoldandItalics"/>
              </w:rPr>
              <w:t xml:space="preserve">Documentation </w:t>
            </w:r>
            <w:r w:rsidRPr="00EB4DD2">
              <w:t>of emergency is completed according to organisational procedures and relevant maritime authority</w:t>
            </w:r>
          </w:p>
        </w:tc>
      </w:tr>
    </w:tbl>
    <w:p w:rsidR="00000000" w:rsidRPr="00EB4DD2" w:rsidP="00EB4DD2">
      <w:pPr>
        <w:pStyle w:val="BodyText"/>
      </w:pP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9" w:name="O_535914"/>
      <w:bookmarkEnd w:id="9"/>
      <w:r w:rsidRPr="00EB4DD2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This section describes the skills and knowledge required for this unit.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Required Skills: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Complete required records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Implement procedures for dealing with an oil spill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Measure tank levels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Recognise faulty equipment and take appropriate action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Recognise problems and hazards during refuelling and fuel transfer operations, and take appropriate action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Select and use relevant equipment required for refuelling and fuel transfer operations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T</w:t>
            </w:r>
            <w:r w:rsidRPr="00EB4DD2">
              <w:t>ake appropriate action in an accidental spillage, fire or safety incident during refuelling and fuel transfer operations</w:t>
            </w:r>
          </w:p>
        </w:tc>
      </w:tr>
    </w:tbl>
    <w:p w:rsidR="00000000" w:rsidRPr="00EB4DD2" w:rsidP="00EB4DD2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Required Knowledge: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Environmental protection measures to be applied during refuelling or transfer operations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Functions and responsibilities of crew during refuelling or transfer operations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Hazards and safety precautions to be observed during refuelling or transfer operations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Refuelling and fuel transfer procedures applying to commercial vessels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Requirements</w:t>
            </w:r>
            <w:r w:rsidRPr="00EB4DD2">
              <w:t xml:space="preserve"> for reporting incidents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Work health and safety (WHS)/occupational health and safety (OHS) and pollution control legislation and policies</w:t>
            </w:r>
          </w:p>
        </w:tc>
      </w:tr>
    </w:tbl>
    <w:p w:rsidR="00000000" w:rsidRPr="00EB4DD2" w:rsidP="00EB4DD2">
      <w:pPr>
        <w:pStyle w:val="BodyText"/>
      </w:pP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10" w:name="O_535915"/>
      <w:bookmarkEnd w:id="10"/>
      <w:r w:rsidRPr="00EB4DD2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EB4D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The evidence guide provides advice on assessment and must be read in</w:t>
            </w:r>
            <w:r w:rsidRPr="00EB4DD2">
              <w:t xml:space="preserve"> conjunction with the performance criteria, the required skills and knowledge, the range statement and the Assessment Guidelines for the Training Package.</w:t>
            </w:r>
          </w:p>
        </w:tc>
      </w:tr>
      <w:tr w:rsidTr="00EB4D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The ev</w:t>
            </w:r>
            <w:r w:rsidRPr="00EB4DD2">
              <w:t>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EB4DD2" w:rsidP="00EB4DD2">
            <w:pPr>
              <w:pStyle w:val="ListBullet"/>
            </w:pPr>
            <w:r w:rsidRPr="00EB4DD2">
              <w:t>being aware of own ability and limits to rectify irregul</w:t>
            </w:r>
            <w:r w:rsidRPr="00EB4DD2">
              <w:t>arities and faults</w:t>
            </w:r>
          </w:p>
          <w:p w:rsidR="00000000" w:rsidRPr="00EB4DD2" w:rsidP="00EB4DD2">
            <w:pPr>
              <w:pStyle w:val="ListBullet"/>
            </w:pPr>
            <w:r w:rsidRPr="00EB4DD2">
              <w:t>attention to detail when completing documentation</w:t>
            </w:r>
          </w:p>
          <w:p w:rsidR="00000000" w:rsidRPr="00EB4DD2" w:rsidP="00EB4DD2">
            <w:pPr>
              <w:pStyle w:val="ListBullet"/>
            </w:pPr>
            <w:r w:rsidRPr="00EB4DD2">
              <w:t>attention to appropriate level of detail in recordkeeping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ensuring currency of relevant WHS/OHS skills and knowledge.</w:t>
            </w:r>
          </w:p>
        </w:tc>
      </w:tr>
      <w:tr w:rsidTr="00EB4D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Performance is demonstrated consistently over time and in a suitable range of contexts.</w:t>
            </w:r>
          </w:p>
          <w:p w:rsidR="00000000" w:rsidRPr="00EB4DD2" w:rsidP="00EB4DD2">
            <w:pPr>
              <w:pStyle w:val="BodyText"/>
            </w:pPr>
            <w:r w:rsidRPr="00EB4DD2">
              <w:t>Resources for assessment include access to:</w:t>
            </w:r>
          </w:p>
          <w:p w:rsidR="00000000" w:rsidRPr="00EB4DD2" w:rsidP="00EB4DD2">
            <w:pPr>
              <w:pStyle w:val="ListBullet"/>
            </w:pPr>
            <w:r w:rsidRPr="00EB4DD2">
              <w:t>industry-approved marine operations site where managing refuelling can be conducted</w:t>
            </w:r>
          </w:p>
          <w:p w:rsidR="00000000" w:rsidRPr="00EB4DD2" w:rsidP="00EB4DD2">
            <w:pPr>
              <w:pStyle w:val="ListBullet"/>
            </w:pPr>
            <w:r w:rsidRPr="00EB4DD2">
              <w:t>tools, equipment and personal protectiv</w:t>
            </w:r>
            <w:r w:rsidRPr="00EB4DD2">
              <w:t>e equipment currently used in industry</w:t>
            </w:r>
          </w:p>
          <w:p w:rsidR="00000000" w:rsidRPr="00EB4DD2" w:rsidP="00EB4DD2">
            <w:pPr>
              <w:pStyle w:val="ListBullet"/>
            </w:pPr>
            <w:r w:rsidRPr="00EB4DD2">
              <w:t>relevant regulatory and equipment documentation that impacts on work activities</w:t>
            </w:r>
          </w:p>
          <w:p w:rsidR="00000000" w:rsidRPr="00EB4DD2" w:rsidP="00EB4DD2">
            <w:pPr>
              <w:pStyle w:val="ListBullet"/>
            </w:pPr>
            <w:r w:rsidRPr="00EB4DD2">
              <w:t>range of relevant exercises, case studies and/or other simulated practical and knowledge assessments</w:t>
            </w:r>
          </w:p>
          <w:p w:rsidR="00000000" w:rsidRPr="00EB4DD2" w:rsidP="00EB4DD2">
            <w:pPr>
              <w:pStyle w:val="ListBullet"/>
            </w:pPr>
            <w:r w:rsidRPr="00EB4DD2">
              <w:t>appropriate range of relevant operat</w:t>
            </w:r>
            <w:r w:rsidRPr="00EB4DD2">
              <w:t>ional situations in the workplace.</w:t>
            </w:r>
          </w:p>
          <w:p w:rsidR="00000000" w:rsidRPr="00EB4DD2" w:rsidP="00EB4DD2">
            <w:pPr>
              <w:pStyle w:val="BodyText"/>
            </w:pPr>
            <w:r w:rsidRPr="00EB4DD2">
              <w:t>In both real and simulated environments, access is required to:</w:t>
            </w:r>
          </w:p>
          <w:p w:rsidR="00000000" w:rsidRPr="00EB4DD2" w:rsidP="00EB4DD2">
            <w:pPr>
              <w:pStyle w:val="ListBullet"/>
            </w:pPr>
            <w:r w:rsidRPr="00EB4DD2">
              <w:t>relevant and appropriate materials and equipment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applicable documentation including workplace procedures, regulations, codes of practice and operation manua</w:t>
            </w:r>
            <w:r w:rsidRPr="00EB4DD2">
              <w:t>ls.</w:t>
            </w:r>
          </w:p>
        </w:tc>
      </w:tr>
      <w:tr w:rsidTr="00EB4D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Practical assessment must occur in an:</w:t>
            </w:r>
          </w:p>
          <w:p w:rsidR="00000000" w:rsidRPr="00EB4DD2" w:rsidP="00EB4DD2">
            <w:pPr>
              <w:pStyle w:val="ListBullet"/>
            </w:pPr>
            <w:r w:rsidRPr="00EB4DD2">
              <w:t>appropriately simulated workplace environment and/or</w:t>
            </w:r>
          </w:p>
          <w:p w:rsidR="00000000" w:rsidRPr="00EB4DD2" w:rsidP="00EB4DD2">
            <w:pPr>
              <w:pStyle w:val="ListBullet"/>
            </w:pPr>
            <w:r w:rsidRPr="00EB4DD2">
              <w:t>appropriate range of situations in the workplace.</w:t>
            </w:r>
          </w:p>
          <w:p w:rsidR="00000000" w:rsidRPr="00EB4DD2" w:rsidP="00EB4DD2">
            <w:pPr>
              <w:pStyle w:val="BodyText"/>
            </w:pPr>
            <w:r w:rsidRPr="00EB4DD2">
              <w:t>A range of assessment methods should be used to assess practical skills and knowledge. The following examples are appropriate to this unit:</w:t>
            </w:r>
          </w:p>
          <w:p w:rsidR="00000000" w:rsidRPr="00EB4DD2" w:rsidP="00EB4DD2">
            <w:pPr>
              <w:pStyle w:val="ListBullet"/>
            </w:pPr>
            <w:r w:rsidRPr="00EB4DD2">
              <w:t xml:space="preserve">direct observation of the candidate managing refuelling 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direct observation of the candidate applying relevant WHS/</w:t>
            </w:r>
            <w:r w:rsidRPr="00EB4DD2">
              <w:t>OHS requirements and work practices.</w:t>
            </w:r>
          </w:p>
        </w:tc>
      </w:tr>
      <w:tr w:rsidTr="00EB4DD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BodyText"/>
            </w:pPr>
            <w:r w:rsidRPr="00EB4DD2">
              <w:t>Holistic assessment with other units relevant to the industry sector, workplace and job role is recommended.</w:t>
            </w:r>
          </w:p>
          <w:p w:rsidR="00000000" w:rsidRPr="00EB4DD2" w:rsidP="00EB4DD2">
            <w:pPr>
              <w:pStyle w:val="BodyText"/>
            </w:pPr>
            <w:r w:rsidRPr="00EB4DD2">
              <w:t>In all cases where practical assessment is used it should be combined wit</w:t>
            </w:r>
            <w:r w:rsidRPr="00EB4DD2">
              <w:t>h targeted questioning to assess Required Knowledge.</w:t>
            </w:r>
          </w:p>
          <w:p w:rsidR="00000000" w:rsidRPr="00EB4DD2" w:rsidP="00EB4DD2">
            <w:pPr>
              <w:pStyle w:val="BodyText"/>
            </w:pPr>
            <w:r w:rsidRPr="00EB4DD2">
              <w:t>Assessment processes and techniques must be appropriate to the language and literacy requirements of the work being performed and the capacity of the candidate.</w:t>
            </w:r>
          </w:p>
        </w:tc>
      </w:tr>
    </w:tbl>
    <w:p w:rsidR="00000000" w:rsidRPr="00EB4DD2" w:rsidP="00EB4DD2">
      <w:pPr>
        <w:pStyle w:val="BodyText"/>
      </w:pP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11" w:name="O_535916"/>
      <w:bookmarkEnd w:id="11"/>
      <w:r w:rsidRPr="00EB4DD2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The ran</w:t>
            </w:r>
            <w:r w:rsidRPr="00EB4DD2">
              <w:t>ge statement relates to the unit of competency as a whole. It allows for different work environments and situations that may affect performance. Bold italicised wording, if used in the performance criteria, is detailed below.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Impact of refuelling on safety and operation of vessel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Hot work</w:t>
            </w:r>
          </w:p>
          <w:p w:rsidR="00000000" w:rsidRPr="00EB4DD2" w:rsidP="00EB4DD2">
            <w:pPr>
              <w:pStyle w:val="ListBullet"/>
            </w:pPr>
            <w:r w:rsidRPr="00EB4DD2">
              <w:t>Increase in the potential for fire</w:t>
            </w:r>
          </w:p>
          <w:p w:rsidR="00000000" w:rsidRPr="00EB4DD2" w:rsidP="00EB4DD2">
            <w:pPr>
              <w:pStyle w:val="ListBullet"/>
            </w:pPr>
            <w:r w:rsidRPr="00EB4DD2">
              <w:t>Loading and discharging operations</w:t>
            </w:r>
          </w:p>
          <w:p w:rsidR="00000000" w:rsidRPr="00EB4DD2" w:rsidP="00EB4DD2">
            <w:pPr>
              <w:pStyle w:val="ListBullet"/>
            </w:pPr>
            <w:r w:rsidRPr="00EB4DD2">
              <w:t>Stability including the effect of free surface</w:t>
            </w:r>
          </w:p>
          <w:p w:rsidR="00000000" w:rsidRPr="00EB4DD2" w:rsidP="00EB4DD2">
            <w:pPr>
              <w:pStyle w:val="ListBullet"/>
            </w:pPr>
            <w:r w:rsidRPr="00EB4DD2">
              <w:t>Toxic fumes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Work being conducted by shore contractors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Personal protective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Gloves</w:t>
            </w:r>
          </w:p>
          <w:p w:rsidR="00000000" w:rsidRPr="00EB4DD2" w:rsidP="00EB4DD2">
            <w:pPr>
              <w:pStyle w:val="ListBullet"/>
            </w:pPr>
            <w:r w:rsidRPr="00EB4DD2">
              <w:t>Overalls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Work boots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Bunkering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Bunding</w:t>
            </w:r>
          </w:p>
          <w:p w:rsidR="00000000" w:rsidRPr="00EB4DD2" w:rsidP="00EB4DD2">
            <w:pPr>
              <w:pStyle w:val="ListBullet"/>
            </w:pPr>
            <w:r w:rsidRPr="00EB4DD2">
              <w:t>Bunker flag</w:t>
            </w:r>
          </w:p>
          <w:p w:rsidR="00000000" w:rsidRPr="00EB4DD2" w:rsidP="00EB4DD2">
            <w:pPr>
              <w:pStyle w:val="ListBullet"/>
            </w:pPr>
            <w:r w:rsidRPr="00EB4DD2">
              <w:t>Fire extinguishers</w:t>
            </w:r>
          </w:p>
          <w:p w:rsidR="00000000" w:rsidRPr="00EB4DD2" w:rsidP="00EB4DD2">
            <w:pPr>
              <w:pStyle w:val="ListBullet"/>
            </w:pPr>
            <w:r w:rsidRPr="00EB4DD2">
              <w:t>No-smoking signs</w:t>
            </w:r>
          </w:p>
          <w:p w:rsidR="00000000" w:rsidRPr="00EB4DD2" w:rsidP="00EB4DD2">
            <w:pPr>
              <w:pStyle w:val="ListBullet"/>
            </w:pPr>
            <w:r w:rsidRPr="00EB4DD2">
              <w:t>Radios</w:t>
            </w:r>
          </w:p>
          <w:p w:rsidR="00000000" w:rsidRPr="00EB4DD2" w:rsidP="00EB4DD2">
            <w:pPr>
              <w:pStyle w:val="ListBullet"/>
            </w:pPr>
            <w:r w:rsidRPr="00EB4DD2">
              <w:t>Sample containers</w:t>
            </w:r>
          </w:p>
          <w:p w:rsidR="00000000" w:rsidRPr="00EB4DD2" w:rsidP="00EB4DD2">
            <w:pPr>
              <w:pStyle w:val="ListBullet"/>
            </w:pPr>
            <w:r w:rsidRPr="00EB4DD2">
              <w:t>Scupper plugs</w:t>
            </w:r>
          </w:p>
          <w:p w:rsidR="00000000" w:rsidRPr="00EB4DD2" w:rsidP="00EB4DD2">
            <w:pPr>
              <w:pStyle w:val="ListBullet"/>
            </w:pPr>
            <w:r w:rsidRPr="00EB4DD2">
              <w:t>Sounding tape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Spill kit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Safety zone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Area where no-smoking or hot work is permitted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Area that can contain a spill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Procedures for refuelling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Establishing:</w:t>
            </w:r>
          </w:p>
          <w:p w:rsidR="00000000" w:rsidRPr="00EB4DD2" w:rsidP="00EB4DD2">
            <w:pPr>
              <w:pStyle w:val="ListBullet2"/>
            </w:pPr>
            <w:r w:rsidRPr="00EB4DD2">
              <w:t>flow rates</w:t>
            </w:r>
          </w:p>
          <w:p w:rsidR="00000000" w:rsidRPr="00EB4DD2" w:rsidP="00EB4DD2">
            <w:pPr>
              <w:pStyle w:val="ListBullet2"/>
            </w:pPr>
            <w:r w:rsidRPr="00EB4DD2">
              <w:t>system of communication with supplier in relation to starting and shut-down procedures</w:t>
            </w:r>
          </w:p>
          <w:p w:rsidR="00000000" w:rsidP="00EB4DD2">
            <w:pPr>
              <w:pStyle w:val="ListBullet2"/>
              <w:rPr>
                <w:lang w:val="en-NZ"/>
              </w:rPr>
            </w:pPr>
            <w:r w:rsidRPr="00EB4DD2">
              <w:t>emergency disconnection procedures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Shut-down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Blowing through of bunker hoses</w:t>
            </w:r>
          </w:p>
          <w:p w:rsidR="00000000" w:rsidRPr="00EB4DD2" w:rsidP="00EB4DD2">
            <w:pPr>
              <w:pStyle w:val="ListBullet"/>
            </w:pPr>
            <w:r w:rsidRPr="00EB4DD2">
              <w:t>Disconnecting bunker hose</w:t>
            </w:r>
          </w:p>
          <w:p w:rsidR="00000000" w:rsidRPr="00EB4DD2" w:rsidP="00EB4DD2">
            <w:pPr>
              <w:pStyle w:val="ListBullet"/>
            </w:pPr>
            <w:r w:rsidRPr="00EB4DD2">
              <w:t>Isolating fuel valves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Stowing equipment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Refuelling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>Bunker receipt</w:t>
            </w:r>
          </w:p>
          <w:p w:rsidR="00000000" w:rsidRPr="00EB4DD2" w:rsidP="00EB4DD2">
            <w:pPr>
              <w:pStyle w:val="ListBullet"/>
            </w:pPr>
            <w:r w:rsidRPr="00EB4DD2">
              <w:t>Log book entry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Oil record book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Emergency situations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 xml:space="preserve">Broken mooring lines </w:t>
            </w:r>
          </w:p>
          <w:p w:rsidR="00000000" w:rsidRPr="00EB4DD2" w:rsidP="00EB4DD2">
            <w:pPr>
              <w:pStyle w:val="ListBullet"/>
            </w:pPr>
            <w:r w:rsidRPr="00EB4DD2">
              <w:t>Fire</w:t>
            </w:r>
          </w:p>
          <w:p w:rsidR="00000000" w:rsidP="00EB4DD2">
            <w:pPr>
              <w:pStyle w:val="ListBullet"/>
              <w:rPr>
                <w:lang w:val="en-NZ"/>
              </w:rPr>
            </w:pPr>
            <w:r w:rsidRPr="00EB4DD2">
              <w:t>Oil spill</w:t>
            </w:r>
          </w:p>
        </w:tc>
      </w:tr>
      <w:tr w:rsidTr="00B013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DD2">
            <w:pPr>
              <w:pStyle w:val="BodyText"/>
              <w:rPr>
                <w:lang w:val="en-NZ"/>
              </w:rPr>
            </w:pPr>
            <w:r w:rsidRPr="00EB4DD2">
              <w:t>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DD2" w:rsidP="00EB4DD2">
            <w:pPr>
              <w:pStyle w:val="ListBullet"/>
            </w:pPr>
            <w:r w:rsidRPr="00EB4DD2">
              <w:t xml:space="preserve">Incident report forms </w:t>
            </w:r>
          </w:p>
          <w:p w:rsidR="00000000" w:rsidRPr="00EB4DD2" w:rsidP="00EB4DD2">
            <w:pPr>
              <w:pStyle w:val="ListBullet"/>
            </w:pPr>
            <w:r w:rsidRPr="00EB4DD2">
              <w:t>Log book entry</w:t>
            </w:r>
          </w:p>
        </w:tc>
      </w:tr>
    </w:tbl>
    <w:p w:rsidR="00000000" w:rsidRPr="00EB4DD2" w:rsidP="00EB4DD2">
      <w:pPr>
        <w:pStyle w:val="BodyText"/>
      </w:pP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12" w:name="O_535917"/>
      <w:bookmarkEnd w:id="12"/>
      <w:r w:rsidRPr="00EB4DD2">
        <w:t>Unit Sector(s)</w:t>
      </w:r>
    </w:p>
    <w:p w:rsidR="00000000" w:rsidRPr="00EB4DD2" w:rsidP="00EB4DD2">
      <w:pPr>
        <w:pStyle w:val="BodyText"/>
      </w:pPr>
      <w:r w:rsidRPr="00EB4DD2">
        <w:t>Not applicable.</w:t>
      </w:r>
    </w:p>
    <w:p w:rsidR="00000000" w:rsidRPr="00EB4DD2" w:rsidP="00EB4DD2">
      <w:pPr>
        <w:pStyle w:val="AllowPageBreak"/>
      </w:pPr>
    </w:p>
    <w:p w:rsidR="00000000" w:rsidRPr="00EB4DD2" w:rsidP="00EB4DD2">
      <w:pPr>
        <w:pStyle w:val="Heading1"/>
      </w:pPr>
      <w:bookmarkStart w:id="13" w:name="O_535918"/>
      <w:bookmarkEnd w:id="13"/>
      <w:r w:rsidRPr="00EB4DD2">
        <w:t>Competency Field</w:t>
      </w:r>
    </w:p>
    <w:p w:rsidR="00000000" w:rsidRPr="00EB4DD2" w:rsidP="00EB4DD2">
      <w:pPr>
        <w:pStyle w:val="BodyText"/>
      </w:pPr>
      <w:r w:rsidRPr="00EB4DD2">
        <w:t>Equipment Checking and Maintenance</w:t>
      </w:r>
    </w:p>
    <w:p w:rsidR="00000000" w:rsidRPr="00EB4DD2" w:rsidP="00EB4DD2"/>
    <w:sectPr w:rsidSect="00EB4D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D2" w:rsidRPr="00B01320" w:rsidP="00B01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20" w:rsidP="00EB4D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B01320" w:rsidP="00EB4D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01320" w:rsidP="00EB4D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D2" w:rsidRPr="00B01320" w:rsidP="00B013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D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20" w:rsidRPr="002D2AF8" w:rsidP="00EB4D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MARB4003A Manage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B01320" w:rsidP="00EB4D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E9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7EA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D2A1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D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D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D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D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D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D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D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D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D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D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DD2"/>
  </w:style>
  <w:style w:type="character" w:customStyle="1" w:styleId="Heading1Char">
    <w:name w:val="Heading 1 Char"/>
    <w:basedOn w:val="DefaultParagraphFont"/>
    <w:link w:val="Heading1"/>
    <w:rsid w:val="00EB4D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DD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D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DD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DD2"/>
    <w:rPr>
      <w:b/>
      <w:spacing w:val="0"/>
    </w:rPr>
  </w:style>
  <w:style w:type="paragraph" w:styleId="ListBullet2">
    <w:name w:val="List Bullet 2"/>
    <w:basedOn w:val="List2"/>
    <w:rsid w:val="00EB4DD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D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D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B4DD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4D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D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D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D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D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D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D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D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D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D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D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D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D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D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D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D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D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D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D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D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D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D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D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D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D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D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D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D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D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D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DD2"/>
    <w:rPr>
      <w:i/>
    </w:rPr>
  </w:style>
  <w:style w:type="paragraph" w:styleId="Caption">
    <w:name w:val="caption"/>
    <w:basedOn w:val="BodyText"/>
    <w:next w:val="Normal"/>
    <w:qFormat/>
    <w:rsid w:val="00EB4D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D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D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DD2"/>
  </w:style>
  <w:style w:type="paragraph" w:styleId="TableofFigures">
    <w:name w:val="table of figures"/>
    <w:basedOn w:val="Normal"/>
    <w:next w:val="Normal"/>
    <w:semiHidden/>
    <w:rsid w:val="00EB4D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DD2"/>
    <w:pPr>
      <w:numPr>
        <w:numId w:val="11"/>
      </w:numPr>
    </w:pPr>
  </w:style>
  <w:style w:type="character" w:customStyle="1" w:styleId="WingdingSymbols">
    <w:name w:val="Wingding Symbols"/>
    <w:rsid w:val="00EB4DD2"/>
    <w:rPr>
      <w:rFonts w:ascii="Wingdings" w:hAnsi="Wingdings"/>
    </w:rPr>
  </w:style>
  <w:style w:type="paragraph" w:customStyle="1" w:styleId="TableHeading">
    <w:name w:val="Table Heading"/>
    <w:basedOn w:val="HeadingBase"/>
    <w:rsid w:val="00EB4D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DD2"/>
    <w:rPr>
      <w:color w:val="0033CC"/>
      <w:u w:val="none"/>
    </w:rPr>
  </w:style>
  <w:style w:type="paragraph" w:customStyle="1" w:styleId="BodyTextRight">
    <w:name w:val="Body Text Right"/>
    <w:basedOn w:val="BodyText"/>
    <w:rsid w:val="00EB4D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D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D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D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D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D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DD2"/>
    <w:rPr>
      <w:sz w:val="32"/>
    </w:rPr>
  </w:style>
  <w:style w:type="paragraph" w:customStyle="1" w:styleId="HeadingProcedure">
    <w:name w:val="Heading Procedure"/>
    <w:basedOn w:val="HeadingBase"/>
    <w:next w:val="Normal"/>
    <w:rsid w:val="00EB4D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DD2"/>
    <w:pPr>
      <w:spacing w:before="60" w:after="60"/>
    </w:pPr>
  </w:style>
  <w:style w:type="paragraph" w:styleId="ListContinue">
    <w:name w:val="List Continue"/>
    <w:basedOn w:val="List"/>
    <w:rsid w:val="00EB4DD2"/>
    <w:pPr>
      <w:ind w:firstLine="0"/>
    </w:pPr>
  </w:style>
  <w:style w:type="paragraph" w:customStyle="1" w:styleId="ListNote">
    <w:name w:val="List Note"/>
    <w:basedOn w:val="List"/>
    <w:rsid w:val="00EB4D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D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D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DD2"/>
    <w:rPr>
      <w:rFonts w:ascii="Courier New" w:hAnsi="Courier New"/>
    </w:rPr>
  </w:style>
  <w:style w:type="paragraph" w:customStyle="1" w:styleId="NoteBullet">
    <w:name w:val="Note Bullet"/>
    <w:basedOn w:val="Note"/>
    <w:rsid w:val="00EB4D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D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D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D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DD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4D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D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DD2"/>
    <w:rPr>
      <w:b/>
      <w:smallCaps/>
    </w:rPr>
  </w:style>
  <w:style w:type="paragraph" w:customStyle="1" w:styleId="TableListNumber">
    <w:name w:val="Table List Number"/>
    <w:basedOn w:val="ListNumber"/>
    <w:rsid w:val="00EB4D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D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DD2"/>
    <w:pPr>
      <w:numPr>
        <w:numId w:val="9"/>
      </w:numPr>
    </w:pPr>
  </w:style>
  <w:style w:type="paragraph" w:customStyle="1" w:styleId="ListAlpha2">
    <w:name w:val="List Alpha 2"/>
    <w:basedOn w:val="List2"/>
    <w:rsid w:val="00EB4DD2"/>
    <w:pPr>
      <w:numPr>
        <w:numId w:val="8"/>
      </w:numPr>
    </w:pPr>
  </w:style>
  <w:style w:type="paragraph" w:styleId="List2">
    <w:name w:val="List 2"/>
    <w:basedOn w:val="BodyText"/>
    <w:rsid w:val="00EB4D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D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D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D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DD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DD2"/>
    <w:pPr>
      <w:numPr>
        <w:numId w:val="3"/>
      </w:numPr>
    </w:pPr>
  </w:style>
  <w:style w:type="paragraph" w:styleId="ListBullet5">
    <w:name w:val="List Bullet 5"/>
    <w:basedOn w:val="List5"/>
    <w:rsid w:val="00EB4DD2"/>
    <w:pPr>
      <w:numPr>
        <w:numId w:val="4"/>
      </w:numPr>
    </w:pPr>
  </w:style>
  <w:style w:type="paragraph" w:styleId="ListContinue2">
    <w:name w:val="List Continue 2"/>
    <w:basedOn w:val="List2"/>
    <w:rsid w:val="00EB4DD2"/>
    <w:pPr>
      <w:ind w:firstLine="0"/>
    </w:pPr>
  </w:style>
  <w:style w:type="paragraph" w:styleId="ListContinue3">
    <w:name w:val="List Continue 3"/>
    <w:basedOn w:val="List3"/>
    <w:rsid w:val="00EB4DD2"/>
    <w:pPr>
      <w:ind w:left="1021" w:firstLine="0"/>
    </w:pPr>
  </w:style>
  <w:style w:type="paragraph" w:styleId="ListContinue4">
    <w:name w:val="List Continue 4"/>
    <w:basedOn w:val="List4"/>
    <w:rsid w:val="00EB4DD2"/>
    <w:pPr>
      <w:ind w:firstLine="0"/>
    </w:pPr>
  </w:style>
  <w:style w:type="paragraph" w:styleId="ListContinue5">
    <w:name w:val="List Continue 5"/>
    <w:basedOn w:val="List5"/>
    <w:rsid w:val="00EB4DD2"/>
    <w:pPr>
      <w:ind w:firstLine="0"/>
    </w:pPr>
  </w:style>
  <w:style w:type="paragraph" w:styleId="ListNumber3">
    <w:name w:val="List Number 3"/>
    <w:basedOn w:val="List3"/>
    <w:rsid w:val="00EB4DD2"/>
    <w:pPr>
      <w:numPr>
        <w:numId w:val="5"/>
      </w:numPr>
    </w:pPr>
  </w:style>
  <w:style w:type="paragraph" w:styleId="ListNumber4">
    <w:name w:val="List Number 4"/>
    <w:basedOn w:val="List4"/>
    <w:rsid w:val="00EB4DD2"/>
    <w:pPr>
      <w:numPr>
        <w:numId w:val="6"/>
      </w:numPr>
    </w:pPr>
  </w:style>
  <w:style w:type="paragraph" w:styleId="ListNumber5">
    <w:name w:val="List Number 5"/>
    <w:basedOn w:val="List5"/>
    <w:rsid w:val="00EB4DD2"/>
    <w:pPr>
      <w:numPr>
        <w:numId w:val="7"/>
      </w:numPr>
    </w:pPr>
  </w:style>
  <w:style w:type="paragraph" w:styleId="BlockText">
    <w:name w:val="Block Text"/>
    <w:basedOn w:val="Normal"/>
    <w:rsid w:val="00EB4D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D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DD2"/>
    <w:rPr>
      <w:sz w:val="16"/>
      <w:vertAlign w:val="superscript"/>
    </w:rPr>
  </w:style>
  <w:style w:type="character" w:customStyle="1" w:styleId="Symbols">
    <w:name w:val="Symbols"/>
    <w:basedOn w:val="DefaultParagraphFont"/>
    <w:rsid w:val="00EB4DD2"/>
    <w:rPr>
      <w:rFonts w:ascii="Symbol" w:hAnsi="Symbol"/>
    </w:rPr>
  </w:style>
  <w:style w:type="character" w:customStyle="1" w:styleId="MenuOptions">
    <w:name w:val="Menu Options"/>
    <w:basedOn w:val="DefaultParagraphFont"/>
    <w:rsid w:val="00EB4D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DD2"/>
    <w:rPr>
      <w:b/>
    </w:rPr>
  </w:style>
  <w:style w:type="character" w:customStyle="1" w:styleId="Underlined">
    <w:name w:val="Underlined"/>
    <w:basedOn w:val="DefaultParagraphFont"/>
    <w:rsid w:val="00EB4DD2"/>
    <w:rPr>
      <w:u w:val="single"/>
    </w:rPr>
  </w:style>
  <w:style w:type="paragraph" w:customStyle="1" w:styleId="TableBodyTextRight">
    <w:name w:val="Table Body Text Right"/>
    <w:basedOn w:val="TableBodyText"/>
    <w:rsid w:val="00EB4D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DD2"/>
    <w:rPr>
      <w:sz w:val="18"/>
    </w:rPr>
  </w:style>
  <w:style w:type="paragraph" w:customStyle="1" w:styleId="BodySmallRight">
    <w:name w:val="Body Small Right"/>
    <w:basedOn w:val="BodyTextRight"/>
    <w:rsid w:val="00EB4DD2"/>
    <w:rPr>
      <w:sz w:val="18"/>
      <w:szCs w:val="18"/>
    </w:rPr>
  </w:style>
  <w:style w:type="paragraph" w:customStyle="1" w:styleId="MarginEdition">
    <w:name w:val="Margin Edition"/>
    <w:basedOn w:val="MarginNote"/>
    <w:rsid w:val="00EB4D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DD2"/>
    <w:rPr>
      <w:sz w:val="2"/>
      <w:szCs w:val="2"/>
    </w:rPr>
  </w:style>
  <w:style w:type="character" w:customStyle="1" w:styleId="Small">
    <w:name w:val="Small"/>
    <w:basedOn w:val="DefaultParagraphFont"/>
    <w:rsid w:val="00EB4DD2"/>
    <w:rPr>
      <w:sz w:val="16"/>
    </w:rPr>
  </w:style>
  <w:style w:type="paragraph" w:customStyle="1" w:styleId="WideTable">
    <w:name w:val="Wide Table"/>
    <w:basedOn w:val="Normal"/>
    <w:rsid w:val="00EB4D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DD2"/>
  </w:style>
  <w:style w:type="paragraph" w:styleId="Quote">
    <w:name w:val="Quote"/>
    <w:basedOn w:val="Heading1"/>
    <w:link w:val="QuoteChar"/>
    <w:qFormat/>
    <w:rsid w:val="00EB4D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D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DD2"/>
    <w:pPr>
      <w:pageBreakBefore/>
    </w:pPr>
  </w:style>
  <w:style w:type="paragraph" w:customStyle="1" w:styleId="Border">
    <w:name w:val="Border"/>
    <w:basedOn w:val="Normal"/>
    <w:qFormat/>
    <w:rsid w:val="00EB4D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D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D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D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D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D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D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D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D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DD2"/>
    <w:rPr>
      <w:u w:val="single"/>
    </w:rPr>
  </w:style>
  <w:style w:type="paragraph" w:styleId="BalloonText">
    <w:name w:val="Balloon Text"/>
    <w:basedOn w:val="Normal"/>
    <w:link w:val="BalloonTextChar"/>
    <w:rsid w:val="00EB4D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D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DD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D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D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DD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1180</Words>
  <Characters>7348</Characters>
  <Application>Microsoft Office Word</Application>
  <DocSecurity>0</DocSecurity>
  <Lines>307</Lines>
  <Paragraphs>173</Paragraphs>
  <ScaleCrop>false</ScaleCrop>
  <Company>Author-it Software Corporation Ltd.</Company>
  <LinksUpToDate>false</LinksUpToDate>
  <CharactersWithSpaces>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MARB4003A Manage refuelling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2013-06-06T05:19:00Z</dcterms:created>
  <dcterms:modified xsi:type="dcterms:W3CDTF">2013-06-06T05:19:00Z</dcterms:modified>
</cp:coreProperties>
</file>