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8BE" w:rsidP="00EE78BE">
      <w:pPr>
        <w:pStyle w:val="Title"/>
      </w:pPr>
      <w:r>
        <w:fldChar w:fldCharType="begin"/>
      </w:r>
      <w:r>
        <w:instrText xml:space="preserve"> TITLE   \* MERGEFORMAT </w:instrText>
      </w:r>
      <w:r>
        <w:fldChar w:fldCharType="separate"/>
      </w:r>
      <w:r>
        <w:t>MARB3002A Perform routine engine maintenance on a vessel</w:t>
      </w:r>
      <w:r>
        <w:fldChar w:fldCharType="end"/>
      </w:r>
    </w:p>
    <w:p w:rsidR="00EE78BE" w:rsidP="00EE78BE">
      <w:pPr>
        <w:pStyle w:val="Version"/>
        <w:sectPr w:rsidSect="00887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40E" w:rsidP="0088740E">
      <w:pPr>
        <w:pStyle w:val="SuperHeading"/>
      </w:pPr>
      <w:r w:rsidRPr="0088740E">
        <w:t>MARB3002A Perform routine engine maintenance on a vessel</w:t>
      </w:r>
    </w:p>
    <w:p w:rsidR="00000000" w:rsidRPr="0088740E" w:rsidP="0088740E">
      <w:pPr>
        <w:pStyle w:val="Heading1"/>
      </w:pPr>
      <w:bookmarkStart w:id="1" w:name="O_535786"/>
      <w:bookmarkEnd w:id="1"/>
      <w:r w:rsidRPr="0088740E">
        <w:t>Modification History</w:t>
      </w:r>
    </w:p>
    <w:p w:rsidR="00000000" w:rsidRPr="0088740E" w:rsidP="0088740E">
      <w:pPr>
        <w:pStyle w:val="BodyText"/>
      </w:pPr>
      <w:r w:rsidRPr="0088740E">
        <w:t>Release 1</w:t>
      </w:r>
    </w:p>
    <w:p w:rsidR="00000000" w:rsidRPr="0088740E" w:rsidP="0088740E">
      <w:pPr>
        <w:pStyle w:val="BodyText"/>
      </w:pPr>
      <w:r w:rsidRPr="0088740E">
        <w:t>This is the first release of this unit.</w:t>
      </w:r>
    </w:p>
    <w:p w:rsidR="00000000" w:rsidRPr="0088740E" w:rsidP="0088740E">
      <w:pPr>
        <w:pStyle w:val="AllowPageBreak"/>
      </w:pPr>
    </w:p>
    <w:p w:rsidR="00000000" w:rsidRPr="0088740E" w:rsidP="0088740E">
      <w:pPr>
        <w:pStyle w:val="Heading1"/>
      </w:pPr>
      <w:bookmarkStart w:id="2" w:name="O_535787"/>
      <w:bookmarkEnd w:id="2"/>
      <w:r w:rsidRPr="0088740E">
        <w:t>Unit Descriptor</w:t>
      </w:r>
    </w:p>
    <w:p w:rsidR="00000000" w:rsidRPr="0088740E" w:rsidP="0088740E">
      <w:pPr>
        <w:pStyle w:val="BodyText"/>
      </w:pPr>
      <w:r w:rsidRPr="0088740E">
        <w:t>This unit involves the skills and knowledge required to service engines and engine components on a vessel.</w:t>
      </w:r>
    </w:p>
    <w:p w:rsidR="00000000" w:rsidRPr="0088740E" w:rsidP="0088740E">
      <w:pPr>
        <w:pStyle w:val="AllowPageBreak"/>
      </w:pPr>
    </w:p>
    <w:p w:rsidR="00000000" w:rsidRPr="0088740E" w:rsidP="0088740E">
      <w:pPr>
        <w:pStyle w:val="Heading1"/>
      </w:pPr>
      <w:bookmarkStart w:id="3" w:name="O_535788"/>
      <w:bookmarkEnd w:id="3"/>
      <w:r w:rsidRPr="0088740E">
        <w:t xml:space="preserve">Application </w:t>
      </w:r>
      <w:r w:rsidRPr="0088740E">
        <w:t>of the Unit</w:t>
      </w:r>
    </w:p>
    <w:p w:rsidR="00000000" w:rsidRPr="0088740E" w:rsidP="0088740E">
      <w:pPr>
        <w:pStyle w:val="BodyText"/>
      </w:pPr>
      <w:r w:rsidRPr="0088740E">
        <w:t>This unit applies to an Integrated Rating performing a range of engine maintenance activities as required on a range of vessels.</w:t>
      </w:r>
    </w:p>
    <w:p w:rsidR="00000000" w:rsidRPr="0088740E" w:rsidP="0088740E">
      <w:pPr>
        <w:pStyle w:val="AllowPageBreak"/>
      </w:pPr>
    </w:p>
    <w:p w:rsidR="00000000" w:rsidRPr="0088740E" w:rsidP="0088740E">
      <w:pPr>
        <w:pStyle w:val="Heading1"/>
      </w:pPr>
      <w:bookmarkStart w:id="4" w:name="O_535789"/>
      <w:bookmarkEnd w:id="4"/>
      <w:r w:rsidRPr="0088740E">
        <w:t>Licensing/Regulatory Information</w:t>
      </w:r>
    </w:p>
    <w:p w:rsidR="00000000" w:rsidRPr="0088740E" w:rsidP="0088740E">
      <w:pPr>
        <w:pStyle w:val="BodyText"/>
      </w:pPr>
      <w:r w:rsidRPr="0088740E">
        <w:t>Not applicable.</w:t>
      </w:r>
    </w:p>
    <w:p w:rsidR="00000000" w:rsidRPr="0088740E" w:rsidP="0088740E">
      <w:pPr>
        <w:pStyle w:val="AllowPageBreak"/>
      </w:pPr>
    </w:p>
    <w:p w:rsidR="00000000" w:rsidRPr="0088740E" w:rsidP="0088740E">
      <w:pPr>
        <w:pStyle w:val="Heading1"/>
      </w:pPr>
      <w:bookmarkStart w:id="5" w:name="O_535790"/>
      <w:bookmarkEnd w:id="5"/>
      <w:r w:rsidRPr="0088740E">
        <w:t>Pre-Requisites</w:t>
      </w:r>
    </w:p>
    <w:p w:rsidR="00000000" w:rsidRPr="0088740E" w:rsidP="0088740E">
      <w:pPr>
        <w:pStyle w:val="BodyText"/>
      </w:pPr>
      <w:r w:rsidRPr="0088740E">
        <w:t>Not applicable.</w:t>
      </w:r>
    </w:p>
    <w:p w:rsidR="00000000" w:rsidRPr="0088740E" w:rsidP="0088740E">
      <w:pPr>
        <w:pStyle w:val="AllowPageBreak"/>
      </w:pPr>
    </w:p>
    <w:p w:rsidR="00000000" w:rsidRPr="0088740E" w:rsidP="0088740E">
      <w:pPr>
        <w:pStyle w:val="Heading1"/>
      </w:pPr>
      <w:bookmarkStart w:id="6" w:name="O_535791"/>
      <w:bookmarkEnd w:id="6"/>
      <w:r w:rsidRPr="0088740E">
        <w:t>Employability Skills Information</w:t>
      </w:r>
    </w:p>
    <w:p w:rsidR="00000000" w:rsidRPr="0088740E" w:rsidP="0088740E">
      <w:pPr>
        <w:pStyle w:val="BodyText"/>
      </w:pPr>
      <w:r w:rsidRPr="0088740E">
        <w:t>This unit contains employability skills.</w:t>
      </w:r>
    </w:p>
    <w:p w:rsidR="00000000" w:rsidRPr="0088740E" w:rsidP="0088740E">
      <w:pPr>
        <w:pStyle w:val="AllowPageBreak"/>
      </w:pPr>
    </w:p>
    <w:p w:rsidR="00000000" w:rsidRPr="0088740E" w:rsidP="0088740E">
      <w:pPr>
        <w:pStyle w:val="Heading1"/>
      </w:pPr>
      <w:bookmarkStart w:id="7" w:name="O_535792"/>
      <w:bookmarkEnd w:id="7"/>
      <w:r w:rsidRPr="0088740E">
        <w:t>Elements and Performance Criteria Pre-Content</w:t>
      </w:r>
    </w:p>
    <w:tbl>
      <w:tblPr>
        <w:tblW w:w="9640" w:type="dxa"/>
        <w:tblLayout w:type="fixed"/>
        <w:tblCellMar>
          <w:left w:w="62" w:type="dxa"/>
          <w:right w:w="62" w:type="dxa"/>
        </w:tblCellMar>
        <w:tblLook w:val="0000"/>
      </w:tblPr>
      <w:tblGrid>
        <w:gridCol w:w="2776"/>
        <w:gridCol w:w="6864"/>
      </w:tblGrid>
      <w:tr w:rsidTr="00EE78B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Performance criteria describe the req</w:t>
            </w:r>
            <w:r w:rsidRPr="0088740E">
              <w:t>uired performance needed to demonstrate achievement of the element. Assessment of performance is to be consistent with the evidence guide.</w:t>
            </w:r>
          </w:p>
        </w:tc>
      </w:tr>
    </w:tbl>
    <w:p w:rsidR="00000000" w:rsidRPr="0088740E" w:rsidP="0088740E">
      <w:pPr>
        <w:pStyle w:val="BodyText"/>
      </w:pPr>
    </w:p>
    <w:p w:rsidR="00000000" w:rsidRPr="0088740E" w:rsidP="0088740E">
      <w:pPr>
        <w:pStyle w:val="AllowPageBreak"/>
      </w:pPr>
    </w:p>
    <w:p w:rsidR="00000000" w:rsidRPr="0088740E" w:rsidP="0088740E">
      <w:pPr>
        <w:pStyle w:val="Heading1"/>
      </w:pPr>
      <w:bookmarkStart w:id="8" w:name="O_535793"/>
      <w:bookmarkEnd w:id="8"/>
      <w:r w:rsidRPr="0088740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EE78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Plan engine maintenance tasks</w:t>
            </w: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1.1</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Planned maintenance system is accessed to establish engine maintenance requirements for vessel</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1.2</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BoldandItalics"/>
              </w:rPr>
              <w:t>Maintenance tasks</w:t>
            </w:r>
            <w:r w:rsidRPr="0088740E">
              <w:t xml:space="preserve"> are proposed and prioritised in conjunction with others involved in or affected by the maintenance work</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1.3</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Resource requirements are identified and allocated to ensure efficient completion of tasks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1.4</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Maintenance tasks to be performed are recorded in the maintenance schedule according to organisational procedures</w:t>
            </w:r>
          </w:p>
        </w:tc>
      </w:tr>
      <w:tr w:rsidTr="00EE78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Prepare for engine service</w:t>
            </w: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2.1</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Nature and</w:t>
            </w:r>
            <w:r w:rsidRPr="0088740E">
              <w:t xml:space="preserve"> scope of work requirements are confirmed</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2.2</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Service procedures, workshop manuals and manufacturer specifications are accessed and interpreted</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2.3</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BoldandItalics"/>
              </w:rPr>
              <w:t>Tools, equipment and materials</w:t>
            </w:r>
            <w:r w:rsidRPr="0088740E">
              <w:t xml:space="preserve"> required for servicing task are identified and prepared</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2.4</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Engine and components are visually inspected for external signs of defects according to maintenance documentation</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2.5</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 xml:space="preserve">Electrical components are identified and </w:t>
            </w:r>
            <w:r w:rsidRPr="0088740E">
              <w:rPr>
                <w:rStyle w:val="BoldandItalics"/>
              </w:rPr>
              <w:t>safe use of electrical equipment</w:t>
            </w:r>
            <w:r w:rsidRPr="0088740E">
              <w:t xml:space="preserve"> is ensured</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2.6</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Engine is started, ran up to operating temperature and checked for leaks, abnormal noises and pressures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2.7</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Test results are compared with manufacturer/component supplier specifications to determine compliance or non-compliance</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2.8</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Results are docume</w:t>
            </w:r>
            <w:r w:rsidRPr="0088740E">
              <w:t>nted with supporting information and recommendations are made as to serviceability and repair</w:t>
            </w:r>
          </w:p>
        </w:tc>
      </w:tr>
      <w:tr w:rsidTr="00EE78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Service engines and engine components</w:t>
            </w: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3.1</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Work health and safety (WHS)/occupational health and safety (OHS) requirements are identified and observed</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3.2</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Service operations are performed according to organisational procedures and manufacturer/component supplier specifications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3.3</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Fluid level checks and replenishments are carried out according to manufacturer/component supplier specifications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3.4</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Appropriate lubricants are applied to engine</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3.5</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Equipment/components requiring replacement are changed according to manufacturer/component supplier specifications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3.6</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Adjustments are made according to manufacturer/component supplier specifications</w:t>
            </w:r>
          </w:p>
        </w:tc>
      </w:tr>
      <w:tr w:rsidTr="00EE78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Complete work</w:t>
            </w: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4.1</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Engine is inspected to ensure protective guards, cowlings and safety features are in place</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4.2</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Engine is cleaned according to organisational procedures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4.3</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Materials that can be reused are collected and stored according to manufacturer specifications and organisational procedures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4.4</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Tools and equipment are cleaned, maintained and stored according to manufacturer specifications and organisational procedure</w:t>
            </w:r>
            <w:r w:rsidRPr="0088740E">
              <w:t>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4.5</w:t>
            </w:r>
          </w:p>
        </w:tc>
        <w:tc>
          <w:tcPr>
            <w:tcW w:w="686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Waste and scrap is removed according to legislative requirements and organisational procedures</w:t>
            </w:r>
          </w:p>
        </w:tc>
      </w:tr>
      <w:tr w:rsidTr="00EE78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4.6</w:t>
            </w:r>
          </w:p>
        </w:tc>
        <w:tc>
          <w:tcPr>
            <w:tcW w:w="6864"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Unserviceable equipment is tagged and faults are identified according to organisational procedures</w:t>
            </w:r>
          </w:p>
        </w:tc>
      </w:tr>
    </w:tbl>
    <w:p w:rsidR="00000000" w:rsidRPr="0088740E" w:rsidP="0088740E">
      <w:pPr>
        <w:pStyle w:val="BodyText"/>
      </w:pPr>
    </w:p>
    <w:p w:rsidR="00000000" w:rsidRPr="0088740E" w:rsidP="0088740E">
      <w:pPr>
        <w:pStyle w:val="AllowPageBreak"/>
      </w:pPr>
    </w:p>
    <w:p w:rsidR="00000000" w:rsidRPr="0088740E" w:rsidP="0088740E">
      <w:pPr>
        <w:pStyle w:val="Heading1"/>
      </w:pPr>
      <w:bookmarkStart w:id="9" w:name="O_535794"/>
      <w:bookmarkEnd w:id="9"/>
      <w:r w:rsidRPr="0088740E">
        <w:t>Required Skills and Knowledge</w:t>
      </w:r>
    </w:p>
    <w:tbl>
      <w:tblPr>
        <w:tblW w:w="0" w:type="auto"/>
        <w:tblCellMar>
          <w:left w:w="62" w:type="dxa"/>
          <w:right w:w="62" w:type="dxa"/>
        </w:tblCellMar>
        <w:tblLook w:val="0000"/>
      </w:tblPr>
      <w:tblGrid>
        <w:gridCol w:w="9196"/>
      </w:tblGrid>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This section describes the skills and knowledge required for this unit.</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Required Skills:</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740E" w:rsidP="0088740E">
            <w:pPr>
              <w:pStyle w:val="ListBullet"/>
            </w:pPr>
            <w:r w:rsidRPr="0088740E">
              <w:t>Assist in servicing marine:</w:t>
            </w:r>
          </w:p>
          <w:p w:rsidR="00000000" w:rsidRPr="0088740E" w:rsidP="0088740E">
            <w:pPr>
              <w:pStyle w:val="ListBullet2"/>
            </w:pPr>
            <w:r w:rsidRPr="0088740E">
              <w:t>fuel systems/components</w:t>
            </w:r>
          </w:p>
          <w:p w:rsidR="00000000" w:rsidRPr="0088740E" w:rsidP="0088740E">
            <w:pPr>
              <w:pStyle w:val="ListBullet2"/>
            </w:pPr>
            <w:r w:rsidRPr="0088740E">
              <w:t>ignition systems/components</w:t>
            </w:r>
          </w:p>
          <w:p w:rsidR="00000000" w:rsidRPr="0088740E" w:rsidP="0088740E">
            <w:pPr>
              <w:pStyle w:val="ListBullet2"/>
            </w:pPr>
            <w:r w:rsidRPr="0088740E">
              <w:t>intake systems/components</w:t>
            </w:r>
          </w:p>
          <w:p w:rsidR="00000000" w:rsidRPr="0088740E" w:rsidP="0088740E">
            <w:pPr>
              <w:pStyle w:val="ListBullet2"/>
            </w:pPr>
            <w:r w:rsidRPr="0088740E">
              <w:t>exhaust systems/components</w:t>
            </w:r>
          </w:p>
          <w:p w:rsidR="00000000" w:rsidRPr="0088740E" w:rsidP="0088740E">
            <w:pPr>
              <w:pStyle w:val="ListBullet2"/>
            </w:pPr>
            <w:r w:rsidRPr="0088740E">
              <w:t>lubrication systems/components</w:t>
            </w:r>
          </w:p>
          <w:p w:rsidR="00000000" w:rsidRPr="0088740E" w:rsidP="0088740E">
            <w:pPr>
              <w:pStyle w:val="ListBullet2"/>
            </w:pPr>
            <w:r w:rsidRPr="0088740E">
              <w:t>cooling systems/components</w:t>
            </w:r>
          </w:p>
          <w:p w:rsidR="00000000" w:rsidRPr="0088740E" w:rsidP="0088740E">
            <w:pPr>
              <w:pStyle w:val="ListBullet2"/>
            </w:pPr>
            <w:r w:rsidRPr="0088740E">
              <w:t>engine mounting systems/components</w:t>
            </w:r>
          </w:p>
        </w:tc>
      </w:tr>
    </w:tbl>
    <w:p w:rsidR="00000000" w:rsidRPr="0088740E" w:rsidP="0088740E">
      <w:pPr>
        <w:pStyle w:val="BodyText"/>
      </w:pPr>
    </w:p>
    <w:tbl>
      <w:tblPr>
        <w:tblW w:w="0" w:type="auto"/>
        <w:tblCellMar>
          <w:left w:w="62" w:type="dxa"/>
          <w:right w:w="62" w:type="dxa"/>
        </w:tblCellMar>
        <w:tblLook w:val="0000"/>
      </w:tblPr>
      <w:tblGrid>
        <w:gridCol w:w="9196"/>
      </w:tblGrid>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Required Knowledge:</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ListBullet"/>
              <w:rPr>
                <w:lang w:val="en-NZ"/>
              </w:rPr>
            </w:pPr>
            <w:r w:rsidRPr="0088740E">
              <w:t>Basic electrical theory covering voltage, current, resistance, power, magnetic and inductance</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ListBullet"/>
              <w:rPr>
                <w:lang w:val="en-NZ"/>
              </w:rPr>
            </w:pPr>
            <w:r w:rsidRPr="0088740E">
              <w:t>Mechanical theory covering the concepts and principles of mechanical, hydraulic and pneumatic systems</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740E" w:rsidP="0088740E">
            <w:pPr>
              <w:pStyle w:val="ListBullet"/>
            </w:pPr>
            <w:r w:rsidRPr="0088740E">
              <w:t>Types, functions and limitations of marine:</w:t>
            </w:r>
          </w:p>
          <w:p w:rsidR="00000000" w:rsidRPr="0088740E" w:rsidP="0088740E">
            <w:pPr>
              <w:pStyle w:val="ListBullet2"/>
            </w:pPr>
            <w:r w:rsidRPr="0088740E">
              <w:t>engines</w:t>
            </w:r>
          </w:p>
          <w:p w:rsidR="00000000" w:rsidRPr="0088740E" w:rsidP="0088740E">
            <w:pPr>
              <w:pStyle w:val="ListBullet2"/>
            </w:pPr>
            <w:r w:rsidRPr="0088740E">
              <w:t>fuel systems/components</w:t>
            </w:r>
          </w:p>
          <w:p w:rsidR="00000000" w:rsidRPr="0088740E" w:rsidP="0088740E">
            <w:pPr>
              <w:pStyle w:val="ListBullet2"/>
            </w:pPr>
            <w:r w:rsidRPr="0088740E">
              <w:t>ignition systems/components</w:t>
            </w:r>
          </w:p>
          <w:p w:rsidR="00000000" w:rsidRPr="0088740E" w:rsidP="0088740E">
            <w:pPr>
              <w:pStyle w:val="ListBullet2"/>
            </w:pPr>
            <w:r w:rsidRPr="0088740E">
              <w:t>intake systems/components</w:t>
            </w:r>
          </w:p>
          <w:p w:rsidR="00000000" w:rsidRPr="0088740E" w:rsidP="0088740E">
            <w:pPr>
              <w:pStyle w:val="ListBullet2"/>
            </w:pPr>
            <w:r w:rsidRPr="0088740E">
              <w:t>exhaust systems/components</w:t>
            </w:r>
          </w:p>
          <w:p w:rsidR="00000000" w:rsidRPr="0088740E" w:rsidP="0088740E">
            <w:pPr>
              <w:pStyle w:val="ListBullet2"/>
            </w:pPr>
            <w:r w:rsidRPr="0088740E">
              <w:t>lubrication systems/components</w:t>
            </w:r>
          </w:p>
          <w:p w:rsidR="00000000" w:rsidRPr="0088740E" w:rsidP="0088740E">
            <w:pPr>
              <w:pStyle w:val="ListBullet2"/>
            </w:pPr>
            <w:r w:rsidRPr="0088740E">
              <w:t>cooling systems/components</w:t>
            </w:r>
          </w:p>
          <w:p w:rsidR="00000000" w:rsidP="0088740E">
            <w:pPr>
              <w:pStyle w:val="ListBullet2"/>
              <w:rPr>
                <w:lang w:val="en-NZ"/>
              </w:rPr>
            </w:pPr>
            <w:r w:rsidRPr="0088740E">
              <w:t>engine mounting systems/components</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740E" w:rsidP="0088740E">
            <w:pPr>
              <w:pStyle w:val="ListBullet"/>
            </w:pPr>
            <w:r w:rsidRPr="0088740E">
              <w:t>WHS/OHS requirements and work practices</w:t>
            </w:r>
          </w:p>
        </w:tc>
      </w:tr>
    </w:tbl>
    <w:p w:rsidR="00000000" w:rsidRPr="0088740E" w:rsidP="0088740E">
      <w:pPr>
        <w:pStyle w:val="BodyText"/>
      </w:pPr>
    </w:p>
    <w:p w:rsidR="00000000" w:rsidRPr="0088740E" w:rsidP="0088740E">
      <w:pPr>
        <w:pStyle w:val="AllowPageBreak"/>
      </w:pPr>
    </w:p>
    <w:p w:rsidR="00000000" w:rsidRPr="0088740E" w:rsidP="0088740E">
      <w:pPr>
        <w:pStyle w:val="Heading1"/>
      </w:pPr>
      <w:bookmarkStart w:id="10" w:name="O_535795"/>
      <w:bookmarkEnd w:id="10"/>
      <w:r w:rsidRPr="0088740E">
        <w:t>Evidence Guide</w:t>
      </w:r>
    </w:p>
    <w:tbl>
      <w:tblPr>
        <w:tblW w:w="9499" w:type="dxa"/>
        <w:tblLayout w:type="fixed"/>
        <w:tblCellMar>
          <w:left w:w="62" w:type="dxa"/>
          <w:right w:w="62" w:type="dxa"/>
        </w:tblCellMar>
        <w:tblLook w:val="0000"/>
      </w:tblPr>
      <w:tblGrid>
        <w:gridCol w:w="3340"/>
        <w:gridCol w:w="6159"/>
      </w:tblGrid>
      <w:tr w:rsidTr="0088740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The evidence guide provides advice on assessment and must be read in conjunction with the performance criteria, the required skills and knowledge, the range statement and the Assessment Guidelines for the Training Package.</w:t>
            </w:r>
          </w:p>
        </w:tc>
      </w:tr>
      <w:tr w:rsidTr="0088740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Critical aspects for assessment</w:t>
            </w:r>
            <w:r w:rsidRPr="0088740E">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The evidence required to demonstrate competence in this unit must be relevant to and satisfy all of the requirements of the Elements, Performance Criteria, Required Skills, Required Knowledge an</w:t>
            </w:r>
            <w:r w:rsidRPr="0088740E">
              <w:t>d include:</w:t>
            </w:r>
          </w:p>
          <w:p w:rsidR="00000000" w:rsidRPr="0088740E" w:rsidP="0088740E">
            <w:pPr>
              <w:pStyle w:val="ListBullet"/>
            </w:pPr>
            <w:r w:rsidRPr="0088740E">
              <w:t>ensuring currency of relevant WHS/OHS skills and knowledge</w:t>
            </w:r>
          </w:p>
          <w:p w:rsidR="00000000" w:rsidP="0088740E">
            <w:pPr>
              <w:pStyle w:val="ListBullet"/>
              <w:rPr>
                <w:lang w:val="en-NZ"/>
              </w:rPr>
            </w:pPr>
            <w:r w:rsidRPr="0088740E">
              <w:t>ensuring behaviour reflects relevant current legislative and regulatory requirements.</w:t>
            </w:r>
          </w:p>
        </w:tc>
      </w:tr>
      <w:tr w:rsidTr="0088740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Performance is demonstrated consistently over time and in a suitable range of contexts.</w:t>
            </w:r>
          </w:p>
          <w:p w:rsidR="00000000" w:rsidRPr="0088740E" w:rsidP="0088740E">
            <w:pPr>
              <w:pStyle w:val="BodyText"/>
            </w:pPr>
            <w:r w:rsidRPr="0088740E">
              <w:t>Resources for assessment include access to:</w:t>
            </w:r>
          </w:p>
          <w:p w:rsidR="00000000" w:rsidRPr="0088740E" w:rsidP="0088740E">
            <w:pPr>
              <w:pStyle w:val="ListBullet"/>
            </w:pPr>
            <w:r w:rsidRPr="0088740E">
              <w:t>industry-approved marine operations site where performing routine engine maintenance on a vessel may be conducted</w:t>
            </w:r>
          </w:p>
          <w:p w:rsidR="00000000" w:rsidRPr="0088740E" w:rsidP="0088740E">
            <w:pPr>
              <w:pStyle w:val="ListBullet"/>
            </w:pPr>
            <w:r w:rsidRPr="0088740E">
              <w:t>tools, eq</w:t>
            </w:r>
            <w:r w:rsidRPr="0088740E">
              <w:t>uipment and personal protective equipment currently used in industry</w:t>
            </w:r>
          </w:p>
          <w:p w:rsidR="00000000" w:rsidRPr="0088740E" w:rsidP="0088740E">
            <w:pPr>
              <w:pStyle w:val="ListBullet"/>
            </w:pPr>
            <w:r w:rsidRPr="0088740E">
              <w:t>relevant regulatory and equipment documentation that impacts on work activities</w:t>
            </w:r>
          </w:p>
          <w:p w:rsidR="00000000" w:rsidRPr="0088740E" w:rsidP="0088740E">
            <w:pPr>
              <w:pStyle w:val="ListBullet"/>
            </w:pPr>
            <w:r w:rsidRPr="0088740E">
              <w:t>range of relevant exercises, case studies and/or other simulated practical and knowledge assessments</w:t>
            </w:r>
          </w:p>
          <w:p w:rsidR="00000000" w:rsidRPr="0088740E" w:rsidP="0088740E">
            <w:pPr>
              <w:pStyle w:val="ListBullet"/>
            </w:pPr>
            <w:r w:rsidRPr="0088740E">
              <w:t>approp</w:t>
            </w:r>
            <w:r w:rsidRPr="0088740E">
              <w:t>riate range of relevant operational situations in the workplace.</w:t>
            </w:r>
          </w:p>
          <w:p w:rsidR="00000000" w:rsidRPr="0088740E" w:rsidP="0088740E">
            <w:pPr>
              <w:pStyle w:val="BodyText"/>
            </w:pPr>
            <w:r w:rsidRPr="0088740E">
              <w:t>In both real and simulated environments, access is required to:</w:t>
            </w:r>
          </w:p>
          <w:p w:rsidR="00000000" w:rsidRPr="0088740E" w:rsidP="0088740E">
            <w:pPr>
              <w:pStyle w:val="ListBullet"/>
            </w:pPr>
            <w:r w:rsidRPr="0088740E">
              <w:t>relevant and appropriate materials and equipment</w:t>
            </w:r>
          </w:p>
          <w:p w:rsidR="00000000" w:rsidP="0088740E">
            <w:pPr>
              <w:pStyle w:val="ListBullet"/>
              <w:rPr>
                <w:lang w:val="en-NZ"/>
              </w:rPr>
            </w:pPr>
            <w:r w:rsidRPr="0088740E">
              <w:t>applicable documentation including workplace procedures, regulations, codes o</w:t>
            </w:r>
            <w:r w:rsidRPr="0088740E">
              <w:t>f practice and operation manuals.</w:t>
            </w:r>
          </w:p>
        </w:tc>
      </w:tr>
      <w:tr w:rsidTr="0088740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Practical assessment must occur in an:</w:t>
            </w:r>
          </w:p>
          <w:p w:rsidR="00000000" w:rsidRPr="0088740E" w:rsidP="0088740E">
            <w:pPr>
              <w:pStyle w:val="ListBullet"/>
            </w:pPr>
            <w:r w:rsidRPr="0088740E">
              <w:t>appropriately simulated workplace environment and/or</w:t>
            </w:r>
          </w:p>
          <w:p w:rsidR="00000000" w:rsidRPr="0088740E" w:rsidP="0088740E">
            <w:pPr>
              <w:pStyle w:val="ListBullet"/>
            </w:pPr>
            <w:r w:rsidRPr="0088740E">
              <w:t>appropriate range of situations in the workplace.</w:t>
            </w:r>
          </w:p>
          <w:p w:rsidR="00000000" w:rsidRPr="0088740E" w:rsidP="0088740E">
            <w:pPr>
              <w:pStyle w:val="BodyText"/>
            </w:pPr>
            <w:r w:rsidRPr="0088740E">
              <w:t>A range of assessment methods should be used to assess practical skills and knowledge. The following examples are appropriate to this unit:</w:t>
            </w:r>
          </w:p>
          <w:p w:rsidR="00000000" w:rsidRPr="0088740E" w:rsidP="0088740E">
            <w:pPr>
              <w:pStyle w:val="ListBullet"/>
            </w:pPr>
            <w:r w:rsidRPr="0088740E">
              <w:t>direct observation of the candidate performing routine engine maintenance on a vessel</w:t>
            </w:r>
          </w:p>
          <w:p w:rsidR="00000000" w:rsidP="0088740E">
            <w:pPr>
              <w:pStyle w:val="ListBullet"/>
              <w:rPr>
                <w:lang w:val="en-NZ"/>
              </w:rPr>
            </w:pPr>
            <w:r w:rsidRPr="0088740E">
              <w:t>direct observation of candida</w:t>
            </w:r>
            <w:r w:rsidRPr="0088740E">
              <w:t>te applying relevant WHS/OHS requirements and work practices.</w:t>
            </w:r>
          </w:p>
        </w:tc>
      </w:tr>
      <w:tr w:rsidTr="0088740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88740E" w:rsidP="0088740E">
            <w:pPr>
              <w:pStyle w:val="BodyText"/>
            </w:pPr>
            <w:r w:rsidRPr="0088740E">
              <w:t>Holistic assessment with other units relevant to the industry sector, workplace and job role is recommended.</w:t>
            </w:r>
          </w:p>
          <w:p w:rsidR="00000000" w:rsidRPr="0088740E" w:rsidP="0088740E">
            <w:pPr>
              <w:pStyle w:val="BodyText"/>
            </w:pPr>
            <w:r w:rsidRPr="0088740E">
              <w:t xml:space="preserve">In all cases where practical assessment is used </w:t>
            </w:r>
            <w:r w:rsidRPr="0088740E">
              <w:t>it should be combined with targeted questioning to assess Required Knowledge.</w:t>
            </w:r>
          </w:p>
          <w:p w:rsidR="00000000" w:rsidRPr="0088740E" w:rsidP="0088740E">
            <w:pPr>
              <w:pStyle w:val="BodyText"/>
            </w:pPr>
            <w:r w:rsidRPr="0088740E">
              <w:t>Assessment processes and techniques must be appropriate to the language and literacy requirements of the work being performed and the capacity of the candidate.</w:t>
            </w:r>
          </w:p>
        </w:tc>
      </w:tr>
    </w:tbl>
    <w:p w:rsidR="00000000" w:rsidRPr="0088740E" w:rsidP="0088740E">
      <w:pPr>
        <w:pStyle w:val="BodyText"/>
      </w:pPr>
    </w:p>
    <w:p w:rsidR="00000000" w:rsidRPr="0088740E" w:rsidP="0088740E">
      <w:pPr>
        <w:pStyle w:val="AllowPageBreak"/>
      </w:pPr>
    </w:p>
    <w:p w:rsidR="00000000" w:rsidRPr="0088740E" w:rsidP="0088740E">
      <w:pPr>
        <w:pStyle w:val="Heading1"/>
      </w:pPr>
      <w:bookmarkStart w:id="11" w:name="O_535796"/>
      <w:bookmarkEnd w:id="11"/>
      <w:r w:rsidRPr="0088740E">
        <w:t>Range Statement</w:t>
      </w:r>
    </w:p>
    <w:tbl>
      <w:tblPr>
        <w:tblW w:w="0" w:type="auto"/>
        <w:tblCellMar>
          <w:left w:w="62" w:type="dxa"/>
          <w:right w:w="62" w:type="dxa"/>
        </w:tblCellMar>
        <w:tblLook w:val="0000"/>
      </w:tblPr>
      <w:tblGrid>
        <w:gridCol w:w="2586"/>
        <w:gridCol w:w="6610"/>
      </w:tblGrid>
      <w:tr w:rsidTr="00EE78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The range statement relates to the unit of competency as a whole. It allows for different work environments and situations that may affect performance. Bold italicised wording, if used in the performance criteria, is detailed below.</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Maintenance tasks may include:</w:t>
            </w:r>
          </w:p>
        </w:tc>
        <w:tc>
          <w:tcPr>
            <w:tcW w:w="0" w:type="auto"/>
            <w:tcBorders>
              <w:top w:val="nil"/>
              <w:left w:val="nil"/>
              <w:bottom w:val="nil"/>
              <w:right w:val="nil"/>
            </w:tcBorders>
            <w:tcMar>
              <w:top w:w="0" w:type="dxa"/>
              <w:left w:w="62" w:type="dxa"/>
              <w:bottom w:w="0" w:type="dxa"/>
              <w:right w:w="62" w:type="dxa"/>
            </w:tcMar>
          </w:tcPr>
          <w:p w:rsidR="00000000" w:rsidRPr="0088740E" w:rsidP="0088740E">
            <w:pPr>
              <w:pStyle w:val="ListBullet"/>
            </w:pPr>
            <w:r w:rsidRPr="0088740E">
              <w:t>Greasing and oiling of machinery</w:t>
            </w:r>
          </w:p>
          <w:p w:rsidR="00000000" w:rsidRPr="0088740E" w:rsidP="0088740E">
            <w:pPr>
              <w:pStyle w:val="ListBullet"/>
            </w:pPr>
            <w:r w:rsidRPr="0088740E">
              <w:t>Inspection and maintenance of:</w:t>
            </w:r>
          </w:p>
          <w:p w:rsidR="00000000" w:rsidRPr="0088740E" w:rsidP="0088740E">
            <w:pPr>
              <w:pStyle w:val="ListBullet2"/>
            </w:pPr>
            <w:r w:rsidRPr="0088740E">
              <w:t>hoists and lifting equipment</w:t>
            </w:r>
          </w:p>
          <w:p w:rsidR="00000000" w:rsidRPr="0088740E" w:rsidP="0088740E">
            <w:pPr>
              <w:pStyle w:val="ListBullet2"/>
            </w:pPr>
            <w:r w:rsidRPr="0088740E">
              <w:t>hatches, watertight doors ports and deadlights</w:t>
            </w:r>
          </w:p>
          <w:p w:rsidR="00000000" w:rsidRPr="0088740E" w:rsidP="0088740E">
            <w:pPr>
              <w:pStyle w:val="ListBullet"/>
            </w:pPr>
            <w:r w:rsidRPr="0088740E">
              <w:t xml:space="preserve">Routine inspection of hand and power tools, measuring instruments and machinery </w:t>
            </w:r>
            <w:r w:rsidRPr="0088740E">
              <w:t>tools</w:t>
            </w:r>
          </w:p>
          <w:p w:rsidR="00000000" w:rsidRPr="0088740E" w:rsidP="0088740E">
            <w:pPr>
              <w:pStyle w:val="ListBullet"/>
            </w:pPr>
            <w:r w:rsidRPr="0088740E">
              <w:t>Safe disposal of waste materials</w:t>
            </w:r>
          </w:p>
          <w:p w:rsidR="00000000" w:rsidP="0088740E">
            <w:pPr>
              <w:pStyle w:val="ListBullet"/>
              <w:rPr>
                <w:lang w:val="en-NZ"/>
              </w:rPr>
            </w:pPr>
            <w:r w:rsidRPr="0088740E">
              <w:t>Surface preparation and painting</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Tools, equipment and materials may include:</w:t>
            </w:r>
          </w:p>
        </w:tc>
        <w:tc>
          <w:tcPr>
            <w:tcW w:w="0" w:type="auto"/>
            <w:tcBorders>
              <w:top w:val="nil"/>
              <w:left w:val="nil"/>
              <w:bottom w:val="nil"/>
              <w:right w:val="nil"/>
            </w:tcBorders>
            <w:tcMar>
              <w:top w:w="0" w:type="dxa"/>
              <w:left w:w="62" w:type="dxa"/>
              <w:bottom w:w="0" w:type="dxa"/>
              <w:right w:w="62" w:type="dxa"/>
            </w:tcMar>
          </w:tcPr>
          <w:p w:rsidR="00000000" w:rsidRPr="0088740E" w:rsidP="0088740E">
            <w:pPr>
              <w:pStyle w:val="ListBullet"/>
            </w:pPr>
            <w:r w:rsidRPr="0088740E">
              <w:t>Cleaning materials</w:t>
            </w:r>
          </w:p>
          <w:p w:rsidR="00000000" w:rsidRPr="0088740E" w:rsidP="0088740E">
            <w:pPr>
              <w:pStyle w:val="ListBullet"/>
            </w:pPr>
            <w:r w:rsidRPr="0088740E">
              <w:t>Hand tools</w:t>
            </w:r>
          </w:p>
          <w:p w:rsidR="00000000" w:rsidRPr="0088740E" w:rsidP="0088740E">
            <w:pPr>
              <w:pStyle w:val="ListBullet"/>
            </w:pPr>
            <w:r w:rsidRPr="0088740E">
              <w:t xml:space="preserve">Machine tools </w:t>
            </w:r>
          </w:p>
          <w:p w:rsidR="00000000" w:rsidRPr="0088740E" w:rsidP="0088740E">
            <w:pPr>
              <w:pStyle w:val="ListBullet"/>
            </w:pPr>
            <w:r w:rsidRPr="0088740E">
              <w:t>Measuring instruments</w:t>
            </w:r>
          </w:p>
          <w:p w:rsidR="00000000" w:rsidP="0088740E">
            <w:pPr>
              <w:pStyle w:val="ListBullet"/>
              <w:rPr>
                <w:lang w:val="en-NZ"/>
              </w:rPr>
            </w:pPr>
            <w:r w:rsidRPr="0088740E">
              <w:t>Power tools</w:t>
            </w:r>
          </w:p>
        </w:tc>
      </w:tr>
      <w:tr w:rsidTr="00EE78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740E">
            <w:pPr>
              <w:pStyle w:val="BodyText"/>
              <w:rPr>
                <w:lang w:val="en-NZ"/>
              </w:rPr>
            </w:pPr>
            <w:r w:rsidRPr="0088740E">
              <w:t>Safe use of electrical equipment must include:</w:t>
            </w:r>
          </w:p>
        </w:tc>
        <w:tc>
          <w:tcPr>
            <w:tcW w:w="0" w:type="auto"/>
            <w:tcBorders>
              <w:top w:val="nil"/>
              <w:left w:val="nil"/>
              <w:bottom w:val="nil"/>
              <w:right w:val="nil"/>
            </w:tcBorders>
            <w:tcMar>
              <w:top w:w="0" w:type="dxa"/>
              <w:left w:w="62" w:type="dxa"/>
              <w:bottom w:w="0" w:type="dxa"/>
              <w:right w:w="62" w:type="dxa"/>
            </w:tcMar>
          </w:tcPr>
          <w:p w:rsidR="00000000" w:rsidRPr="0088740E" w:rsidP="0088740E">
            <w:pPr>
              <w:pStyle w:val="ListBullet"/>
            </w:pPr>
            <w:r w:rsidRPr="0088740E">
              <w:t>Awareness of safety precautions to be taken before commencing work</w:t>
            </w:r>
          </w:p>
          <w:p w:rsidR="00000000" w:rsidRPr="0088740E" w:rsidP="0088740E">
            <w:pPr>
              <w:pStyle w:val="ListBullet"/>
            </w:pPr>
            <w:r w:rsidRPr="0088740E">
              <w:t>Emergency procedures</w:t>
            </w:r>
          </w:p>
          <w:p w:rsidR="00000000" w:rsidRPr="0088740E" w:rsidP="0088740E">
            <w:pPr>
              <w:pStyle w:val="ListBullet"/>
            </w:pPr>
            <w:r w:rsidRPr="0088740E">
              <w:t>Isolation procedures</w:t>
            </w:r>
          </w:p>
          <w:p w:rsidR="00000000" w:rsidRPr="0088740E" w:rsidP="0088740E">
            <w:pPr>
              <w:pStyle w:val="ListBullet"/>
            </w:pPr>
            <w:r w:rsidRPr="0088740E">
              <w:t xml:space="preserve">Precautions to be taken to prevent electric shock </w:t>
            </w:r>
          </w:p>
          <w:p w:rsidR="00000000" w:rsidRPr="0088740E" w:rsidP="0088740E">
            <w:pPr>
              <w:pStyle w:val="ListBullet"/>
            </w:pPr>
            <w:r w:rsidRPr="0088740E">
              <w:t>Voltages in use on board</w:t>
            </w:r>
          </w:p>
        </w:tc>
      </w:tr>
    </w:tbl>
    <w:p w:rsidR="00000000" w:rsidRPr="0088740E" w:rsidP="0088740E">
      <w:pPr>
        <w:pStyle w:val="BodyText"/>
      </w:pPr>
    </w:p>
    <w:p w:rsidR="00000000" w:rsidRPr="0088740E" w:rsidP="0088740E">
      <w:pPr>
        <w:pStyle w:val="AllowPageBreak"/>
      </w:pPr>
    </w:p>
    <w:p w:rsidR="00000000" w:rsidRPr="0088740E" w:rsidP="0088740E">
      <w:pPr>
        <w:pStyle w:val="Heading1"/>
      </w:pPr>
      <w:bookmarkStart w:id="12" w:name="O_535797"/>
      <w:bookmarkEnd w:id="12"/>
      <w:r w:rsidRPr="0088740E">
        <w:t>Unit Sector(s)</w:t>
      </w:r>
    </w:p>
    <w:p w:rsidR="00000000" w:rsidRPr="0088740E" w:rsidP="0088740E">
      <w:pPr>
        <w:pStyle w:val="BodyText"/>
      </w:pPr>
      <w:r w:rsidRPr="0088740E">
        <w:t>Not applicable.</w:t>
      </w:r>
    </w:p>
    <w:p w:rsidR="00000000" w:rsidRPr="0088740E" w:rsidP="0088740E">
      <w:pPr>
        <w:pStyle w:val="AllowPageBreak"/>
      </w:pPr>
    </w:p>
    <w:p w:rsidR="00000000" w:rsidRPr="0088740E" w:rsidP="0088740E">
      <w:pPr>
        <w:pStyle w:val="Heading1"/>
      </w:pPr>
      <w:bookmarkStart w:id="13" w:name="O_535798"/>
      <w:bookmarkEnd w:id="13"/>
      <w:r w:rsidRPr="0088740E">
        <w:t>Competency Field</w:t>
      </w:r>
    </w:p>
    <w:p w:rsidR="00000000" w:rsidRPr="0088740E" w:rsidP="0088740E">
      <w:pPr>
        <w:pStyle w:val="BodyText"/>
      </w:pPr>
      <w:r w:rsidRPr="0088740E">
        <w:t>Equipment Checking and Maintenance</w:t>
      </w:r>
    </w:p>
    <w:p w:rsidR="00000000" w:rsidRPr="0088740E" w:rsidP="0088740E"/>
    <w:sectPr w:rsidSect="00887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E" w:rsidRPr="00EE78BE" w:rsidP="00EE7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BE" w:rsidP="00887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78BE" w:rsidP="008874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E78BE" w:rsidP="00887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E" w:rsidRPr="00EE78BE" w:rsidP="00EE78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BE" w:rsidRPr="002D2AF8" w:rsidP="0088740E">
    <w:pPr>
      <w:pStyle w:val="Header"/>
      <w:framePr w:wrap="around"/>
    </w:pPr>
    <w:r>
      <w:fldChar w:fldCharType="begin"/>
    </w:r>
    <w:r>
      <w:instrText xml:space="preserve"> TITLE   \* MERGEFORMAT </w:instrText>
    </w:r>
    <w:r>
      <w:fldChar w:fldCharType="separate"/>
    </w:r>
    <w:r>
      <w:t>MARB3002A Perform routine engine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EE78BE" w:rsidP="00887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C3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78B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09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40E"/>
    <w:pPr>
      <w:spacing w:before="360" w:after="60"/>
      <w:outlineLvl w:val="0"/>
    </w:pPr>
    <w:rPr>
      <w:sz w:val="32"/>
    </w:rPr>
  </w:style>
  <w:style w:type="paragraph" w:styleId="Heading2">
    <w:name w:val="heading 2"/>
    <w:basedOn w:val="HeadingBase"/>
    <w:next w:val="BodyText"/>
    <w:link w:val="Heading2Char"/>
    <w:qFormat/>
    <w:rsid w:val="0088740E"/>
    <w:pPr>
      <w:keepLines/>
      <w:spacing w:before="240" w:after="120"/>
      <w:outlineLvl w:val="1"/>
    </w:pPr>
    <w:rPr>
      <w:sz w:val="28"/>
      <w:szCs w:val="40"/>
    </w:rPr>
  </w:style>
  <w:style w:type="paragraph" w:styleId="Heading3">
    <w:name w:val="heading 3"/>
    <w:basedOn w:val="HeadingBase"/>
    <w:next w:val="BodyText"/>
    <w:link w:val="Heading3Char"/>
    <w:qFormat/>
    <w:rsid w:val="0088740E"/>
    <w:pPr>
      <w:spacing w:before="180" w:after="120"/>
      <w:outlineLvl w:val="2"/>
    </w:pPr>
    <w:rPr>
      <w:spacing w:val="-10"/>
      <w:kern w:val="32"/>
    </w:rPr>
  </w:style>
  <w:style w:type="paragraph" w:styleId="Heading4">
    <w:name w:val="heading 4"/>
    <w:basedOn w:val="HeadingBase"/>
    <w:next w:val="BodyText"/>
    <w:link w:val="Heading4Char"/>
    <w:qFormat/>
    <w:rsid w:val="0088740E"/>
    <w:pPr>
      <w:spacing w:before="160" w:after="120"/>
      <w:outlineLvl w:val="3"/>
    </w:pPr>
    <w:rPr>
      <w:sz w:val="22"/>
    </w:rPr>
  </w:style>
  <w:style w:type="paragraph" w:styleId="Heading5">
    <w:name w:val="heading 5"/>
    <w:basedOn w:val="HeadingBase"/>
    <w:next w:val="Normal"/>
    <w:link w:val="Heading5Char"/>
    <w:qFormat/>
    <w:rsid w:val="0088740E"/>
    <w:pPr>
      <w:spacing w:before="80"/>
      <w:outlineLvl w:val="4"/>
    </w:pPr>
    <w:rPr>
      <w:color w:val="918585"/>
      <w:sz w:val="20"/>
    </w:rPr>
  </w:style>
  <w:style w:type="paragraph" w:styleId="Heading6">
    <w:name w:val="heading 6"/>
    <w:basedOn w:val="HeadingBase"/>
    <w:next w:val="Normal"/>
    <w:link w:val="Heading6Char"/>
    <w:qFormat/>
    <w:rsid w:val="0088740E"/>
    <w:pPr>
      <w:spacing w:before="60"/>
      <w:outlineLvl w:val="5"/>
    </w:pPr>
    <w:rPr>
      <w:color w:val="918585"/>
      <w:sz w:val="20"/>
    </w:rPr>
  </w:style>
  <w:style w:type="paragraph" w:styleId="Heading7">
    <w:name w:val="heading 7"/>
    <w:basedOn w:val="Normal"/>
    <w:next w:val="Normal"/>
    <w:link w:val="Heading7Char"/>
    <w:qFormat/>
    <w:rsid w:val="0088740E"/>
    <w:pPr>
      <w:ind w:left="720"/>
      <w:outlineLvl w:val="6"/>
    </w:pPr>
    <w:rPr>
      <w:i/>
    </w:rPr>
  </w:style>
  <w:style w:type="paragraph" w:styleId="Heading8">
    <w:name w:val="heading 8"/>
    <w:basedOn w:val="Normal"/>
    <w:next w:val="Normal"/>
    <w:link w:val="Heading8Char"/>
    <w:qFormat/>
    <w:rsid w:val="0088740E"/>
    <w:pPr>
      <w:ind w:left="720"/>
      <w:outlineLvl w:val="7"/>
    </w:pPr>
    <w:rPr>
      <w:i/>
    </w:rPr>
  </w:style>
  <w:style w:type="paragraph" w:styleId="Heading9">
    <w:name w:val="heading 9"/>
    <w:basedOn w:val="Normal"/>
    <w:next w:val="Normal"/>
    <w:link w:val="Heading9Char"/>
    <w:qFormat/>
    <w:rsid w:val="0088740E"/>
    <w:pPr>
      <w:ind w:left="720"/>
      <w:outlineLvl w:val="8"/>
    </w:pPr>
    <w:rPr>
      <w:i/>
    </w:rPr>
  </w:style>
  <w:style w:type="character" w:default="1" w:styleId="DefaultParagraphFont">
    <w:name w:val="Default Paragraph Font"/>
    <w:uiPriority w:val="1"/>
    <w:unhideWhenUsed/>
    <w:rsid w:val="00887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40E"/>
  </w:style>
  <w:style w:type="character" w:customStyle="1" w:styleId="Heading1Char">
    <w:name w:val="Heading 1 Char"/>
    <w:basedOn w:val="DefaultParagraphFont"/>
    <w:link w:val="Heading1"/>
    <w:rsid w:val="0088740E"/>
    <w:rPr>
      <w:rFonts w:ascii="Times New Roman" w:eastAsia="Times New Roman" w:hAnsi="Times New Roman" w:cs="Times New Roman"/>
      <w:b/>
      <w:sz w:val="32"/>
      <w:szCs w:val="20"/>
      <w:lang w:eastAsia="en-US"/>
    </w:rPr>
  </w:style>
  <w:style w:type="paragraph" w:styleId="BodyText">
    <w:name w:val="Body Text"/>
    <w:basedOn w:val="Normal"/>
    <w:link w:val="BodyTextChar"/>
    <w:rsid w:val="008874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40E"/>
    <w:rPr>
      <w:rFonts w:ascii="Times New Roman" w:eastAsia="Times New Roman" w:hAnsi="Times New Roman" w:cs="Times New Roman"/>
      <w:sz w:val="24"/>
      <w:lang w:eastAsia="en-US"/>
    </w:rPr>
  </w:style>
  <w:style w:type="paragraph" w:styleId="ListBullet">
    <w:name w:val="List Bullet"/>
    <w:basedOn w:val="List"/>
    <w:rsid w:val="0088740E"/>
    <w:pPr>
      <w:numPr>
        <w:numId w:val="13"/>
      </w:numPr>
      <w:tabs>
        <w:tab w:val="clear" w:pos="340"/>
      </w:tabs>
      <w:spacing w:before="40" w:after="40"/>
    </w:pPr>
  </w:style>
  <w:style w:type="character" w:customStyle="1" w:styleId="SpecialBold">
    <w:name w:val="Special Bold"/>
    <w:basedOn w:val="DefaultParagraphFont"/>
    <w:rsid w:val="0088740E"/>
    <w:rPr>
      <w:b/>
      <w:spacing w:val="0"/>
    </w:rPr>
  </w:style>
  <w:style w:type="paragraph" w:styleId="ListBullet2">
    <w:name w:val="List Bullet 2"/>
    <w:basedOn w:val="List2"/>
    <w:rsid w:val="0088740E"/>
    <w:pPr>
      <w:numPr>
        <w:numId w:val="14"/>
      </w:numPr>
      <w:tabs>
        <w:tab w:val="clear" w:pos="680"/>
      </w:tabs>
    </w:pPr>
  </w:style>
  <w:style w:type="paragraph" w:customStyle="1" w:styleId="SuperHeading">
    <w:name w:val="SuperHeading"/>
    <w:basedOn w:val="Normal"/>
    <w:rsid w:val="0088740E"/>
    <w:pPr>
      <w:spacing w:before="240" w:after="120"/>
      <w:outlineLvl w:val="0"/>
    </w:pPr>
    <w:rPr>
      <w:rFonts w:ascii="Times New Roman" w:hAnsi="Times New Roman"/>
      <w:b/>
      <w:sz w:val="32"/>
    </w:rPr>
  </w:style>
  <w:style w:type="paragraph" w:customStyle="1" w:styleId="AllowPageBreak">
    <w:name w:val="AllowPageBreak"/>
    <w:rsid w:val="008874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740E"/>
    <w:rPr>
      <w:b/>
      <w:i/>
      <w:u w:val="none"/>
    </w:rPr>
  </w:style>
  <w:style w:type="character" w:customStyle="1" w:styleId="Heading2Char">
    <w:name w:val="Heading 2 Char"/>
    <w:basedOn w:val="DefaultParagraphFont"/>
    <w:link w:val="Heading2"/>
    <w:rsid w:val="00887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40E"/>
    <w:rPr>
      <w:rFonts w:ascii="Courier New" w:eastAsia="Times New Roman" w:hAnsi="Courier New" w:cs="Times New Roman"/>
      <w:i/>
      <w:szCs w:val="20"/>
      <w:lang w:eastAsia="en-US"/>
    </w:rPr>
  </w:style>
  <w:style w:type="paragraph" w:customStyle="1" w:styleId="HeadingBase">
    <w:name w:val="Heading Base"/>
    <w:rsid w:val="00887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40E"/>
    <w:pPr>
      <w:tabs>
        <w:tab w:val="right" w:leader="dot" w:pos="9072"/>
      </w:tabs>
      <w:ind w:left="567"/>
    </w:pPr>
    <w:rPr>
      <w:szCs w:val="22"/>
    </w:rPr>
  </w:style>
  <w:style w:type="paragraph" w:customStyle="1" w:styleId="TOCBase">
    <w:name w:val="TOC Base"/>
    <w:rsid w:val="00887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40E"/>
    <w:pPr>
      <w:tabs>
        <w:tab w:val="right" w:leader="dot" w:pos="9072"/>
      </w:tabs>
      <w:spacing w:before="40" w:after="40"/>
      <w:ind w:left="284"/>
    </w:pPr>
    <w:rPr>
      <w:rFonts w:ascii="Times New Roman" w:hAnsi="Times New Roman"/>
    </w:rPr>
  </w:style>
  <w:style w:type="paragraph" w:styleId="TOC1">
    <w:name w:val="toc 1"/>
    <w:basedOn w:val="TOCBase"/>
    <w:next w:val="Normal"/>
    <w:rsid w:val="00887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40E"/>
    <w:rPr>
      <w:rFonts w:ascii="Times New Roman" w:eastAsia="Times New Roman" w:hAnsi="Times New Roman" w:cs="Times New Roman"/>
      <w:sz w:val="16"/>
      <w:lang w:eastAsia="en-US"/>
    </w:rPr>
  </w:style>
  <w:style w:type="paragraph" w:styleId="Title">
    <w:name w:val="Title"/>
    <w:basedOn w:val="HeadingBase"/>
    <w:link w:val="TitleChar"/>
    <w:qFormat/>
    <w:rsid w:val="0088740E"/>
    <w:pPr>
      <w:spacing w:before="5040"/>
      <w:jc w:val="center"/>
    </w:pPr>
    <w:rPr>
      <w:sz w:val="48"/>
      <w:szCs w:val="72"/>
      <w:lang w:val="en-US"/>
    </w:rPr>
  </w:style>
  <w:style w:type="character" w:customStyle="1" w:styleId="TitleChar">
    <w:name w:val="Title Char"/>
    <w:basedOn w:val="DefaultParagraphFont"/>
    <w:link w:val="Title"/>
    <w:rsid w:val="00887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40E"/>
    <w:pPr>
      <w:tabs>
        <w:tab w:val="left" w:pos="3600"/>
        <w:tab w:val="left" w:pos="3958"/>
      </w:tabs>
    </w:pPr>
  </w:style>
  <w:style w:type="paragraph" w:styleId="List">
    <w:name w:val="List"/>
    <w:basedOn w:val="BodyText"/>
    <w:next w:val="BodyText"/>
    <w:rsid w:val="0088740E"/>
    <w:pPr>
      <w:tabs>
        <w:tab w:val="left" w:pos="340"/>
      </w:tabs>
      <w:spacing w:before="60" w:after="60"/>
      <w:ind w:left="340" w:hanging="340"/>
    </w:pPr>
  </w:style>
  <w:style w:type="paragraph" w:customStyle="1" w:styleId="Note">
    <w:name w:val="Note"/>
    <w:basedOn w:val="BodyText"/>
    <w:rsid w:val="00887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40E"/>
    <w:pPr>
      <w:framePr w:wrap="auto" w:hAnchor="text" w:y="6049"/>
    </w:pPr>
    <w:rPr>
      <w:color w:val="000000"/>
      <w:sz w:val="40"/>
    </w:rPr>
  </w:style>
  <w:style w:type="paragraph" w:customStyle="1" w:styleId="TOCTitle">
    <w:name w:val="TOCTitle"/>
    <w:basedOn w:val="Heading1"/>
    <w:rsid w:val="0088740E"/>
    <w:pPr>
      <w:spacing w:after="240"/>
      <w:jc w:val="center"/>
      <w:outlineLvl w:val="9"/>
    </w:pPr>
    <w:rPr>
      <w:caps/>
    </w:rPr>
  </w:style>
  <w:style w:type="paragraph" w:customStyle="1" w:styleId="Version">
    <w:name w:val="Version"/>
    <w:rsid w:val="00887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40E"/>
    <w:pPr>
      <w:keepNext w:val="0"/>
      <w:tabs>
        <w:tab w:val="right" w:pos="4176"/>
      </w:tabs>
      <w:ind w:left="198" w:hanging="198"/>
    </w:pPr>
    <w:rPr>
      <w:rFonts w:ascii="Garamond" w:hAnsi="Garamond"/>
    </w:rPr>
  </w:style>
  <w:style w:type="paragraph" w:styleId="IndexHeading">
    <w:name w:val="index heading"/>
    <w:basedOn w:val="Normal"/>
    <w:next w:val="Index1"/>
    <w:semiHidden/>
    <w:rsid w:val="0088740E"/>
    <w:pPr>
      <w:spacing w:before="120" w:after="120"/>
    </w:pPr>
    <w:rPr>
      <w:rFonts w:ascii="Arial" w:hAnsi="Arial"/>
      <w:b/>
      <w:color w:val="918585"/>
      <w:sz w:val="24"/>
    </w:rPr>
  </w:style>
  <w:style w:type="paragraph" w:styleId="Header">
    <w:name w:val="header"/>
    <w:basedOn w:val="Normal"/>
    <w:link w:val="HeaderChar"/>
    <w:rsid w:val="00887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40E"/>
    <w:rPr>
      <w:rFonts w:ascii="Times New Roman" w:eastAsia="Times New Roman" w:hAnsi="Times New Roman" w:cs="Times New Roman"/>
      <w:sz w:val="16"/>
      <w:szCs w:val="20"/>
      <w:lang w:val="en-GB" w:eastAsia="en-US"/>
    </w:rPr>
  </w:style>
  <w:style w:type="paragraph" w:customStyle="1" w:styleId="Chapter">
    <w:name w:val="Chapter"/>
    <w:basedOn w:val="Normal"/>
    <w:rsid w:val="0088740E"/>
    <w:pPr>
      <w:spacing w:before="240"/>
    </w:pPr>
    <w:rPr>
      <w:rFonts w:ascii="Times New Roman" w:hAnsi="Times New Roman"/>
      <w:smallCaps/>
      <w:spacing w:val="80"/>
      <w:sz w:val="28"/>
    </w:rPr>
  </w:style>
  <w:style w:type="paragraph" w:customStyle="1" w:styleId="InChapter">
    <w:name w:val="InChapter"/>
    <w:basedOn w:val="Heading3"/>
    <w:rsid w:val="0088740E"/>
    <w:pPr>
      <w:spacing w:after="240"/>
      <w:outlineLvl w:val="9"/>
    </w:pPr>
    <w:rPr>
      <w:noProof/>
    </w:rPr>
  </w:style>
  <w:style w:type="paragraph" w:styleId="Index2">
    <w:name w:val="index 2"/>
    <w:basedOn w:val="Normal"/>
    <w:next w:val="Normal"/>
    <w:semiHidden/>
    <w:rsid w:val="0088740E"/>
    <w:pPr>
      <w:tabs>
        <w:tab w:val="right" w:pos="4176"/>
      </w:tabs>
      <w:ind w:left="568" w:hanging="284"/>
    </w:pPr>
    <w:rPr>
      <w:rFonts w:ascii="Garamond" w:hAnsi="Garamond"/>
    </w:rPr>
  </w:style>
  <w:style w:type="paragraph" w:customStyle="1" w:styleId="Byline">
    <w:name w:val="Byline"/>
    <w:rsid w:val="00887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40E"/>
    <w:pPr>
      <w:tabs>
        <w:tab w:val="clear" w:pos="3600"/>
        <w:tab w:val="clear" w:pos="3958"/>
      </w:tabs>
      <w:jc w:val="right"/>
    </w:pPr>
  </w:style>
  <w:style w:type="character" w:styleId="Emphasis">
    <w:name w:val="Emphasis"/>
    <w:basedOn w:val="DefaultParagraphFont"/>
    <w:qFormat/>
    <w:rsid w:val="0088740E"/>
    <w:rPr>
      <w:i/>
    </w:rPr>
  </w:style>
  <w:style w:type="paragraph" w:styleId="Caption">
    <w:name w:val="caption"/>
    <w:basedOn w:val="BodyText"/>
    <w:next w:val="Normal"/>
    <w:qFormat/>
    <w:rsid w:val="0088740E"/>
    <w:pPr>
      <w:framePr w:w="2268" w:hSpace="181" w:vSpace="181" w:wrap="around" w:vAnchor="text" w:hAnchor="page" w:x="1135" w:y="285" w:anchorLock="1"/>
    </w:pPr>
    <w:rPr>
      <w:i/>
    </w:rPr>
  </w:style>
  <w:style w:type="paragraph" w:customStyle="1" w:styleId="MiniTOCTitle">
    <w:name w:val="MiniTOCTitle"/>
    <w:basedOn w:val="Heading4"/>
    <w:rsid w:val="0088740E"/>
    <w:pPr>
      <w:spacing w:before="240"/>
      <w:outlineLvl w:val="9"/>
    </w:pPr>
    <w:rPr>
      <w:noProof/>
      <w:sz w:val="24"/>
    </w:rPr>
  </w:style>
  <w:style w:type="paragraph" w:customStyle="1" w:styleId="MiniTOCItem">
    <w:name w:val="MiniTOCItem"/>
    <w:basedOn w:val="ListBullet"/>
    <w:rsid w:val="0088740E"/>
    <w:pPr>
      <w:numPr>
        <w:numId w:val="0"/>
      </w:numPr>
      <w:tabs>
        <w:tab w:val="right" w:leader="dot" w:pos="6521"/>
      </w:tabs>
      <w:spacing w:before="0" w:after="0"/>
    </w:pPr>
  </w:style>
  <w:style w:type="paragraph" w:customStyle="1" w:styleId="TOFTitle">
    <w:name w:val="TOFTitle"/>
    <w:basedOn w:val="TOCTitle"/>
    <w:rsid w:val="0088740E"/>
  </w:style>
  <w:style w:type="paragraph" w:styleId="TableofFigures">
    <w:name w:val="table of figures"/>
    <w:basedOn w:val="Normal"/>
    <w:next w:val="Normal"/>
    <w:semiHidden/>
    <w:rsid w:val="0088740E"/>
    <w:pPr>
      <w:tabs>
        <w:tab w:val="right" w:leader="dot" w:pos="9072"/>
      </w:tabs>
      <w:ind w:left="970" w:hanging="403"/>
    </w:pPr>
    <w:rPr>
      <w:rFonts w:ascii="Times New Roman" w:hAnsi="Times New Roman"/>
      <w:b/>
    </w:rPr>
  </w:style>
  <w:style w:type="paragraph" w:styleId="ListNumber">
    <w:name w:val="List Number"/>
    <w:basedOn w:val="List"/>
    <w:rsid w:val="0088740E"/>
    <w:pPr>
      <w:numPr>
        <w:numId w:val="11"/>
      </w:numPr>
    </w:pPr>
  </w:style>
  <w:style w:type="character" w:customStyle="1" w:styleId="WingdingSymbols">
    <w:name w:val="Wingding Symbols"/>
    <w:rsid w:val="0088740E"/>
    <w:rPr>
      <w:rFonts w:ascii="Wingdings" w:hAnsi="Wingdings"/>
    </w:rPr>
  </w:style>
  <w:style w:type="paragraph" w:customStyle="1" w:styleId="TableHeading">
    <w:name w:val="Table Heading"/>
    <w:basedOn w:val="HeadingBase"/>
    <w:rsid w:val="0088740E"/>
    <w:pPr>
      <w:keepLines/>
      <w:pBdr>
        <w:bottom w:val="single" w:sz="6" w:space="1" w:color="918585"/>
      </w:pBdr>
      <w:spacing w:before="240"/>
    </w:pPr>
  </w:style>
  <w:style w:type="character" w:customStyle="1" w:styleId="HotSpot">
    <w:name w:val="HotSpot"/>
    <w:rsid w:val="0088740E"/>
    <w:rPr>
      <w:color w:val="0033CC"/>
      <w:u w:val="none"/>
    </w:rPr>
  </w:style>
  <w:style w:type="paragraph" w:customStyle="1" w:styleId="BodyTextRight">
    <w:name w:val="Body Text Right"/>
    <w:basedOn w:val="BodyText"/>
    <w:rsid w:val="0088740E"/>
    <w:pPr>
      <w:spacing w:before="0" w:after="0"/>
      <w:jc w:val="right"/>
    </w:pPr>
  </w:style>
  <w:style w:type="paragraph" w:styleId="Index3">
    <w:name w:val="index 3"/>
    <w:basedOn w:val="ListNumber2"/>
    <w:next w:val="Normal"/>
    <w:semiHidden/>
    <w:rsid w:val="0088740E"/>
    <w:pPr>
      <w:numPr>
        <w:numId w:val="0"/>
      </w:numPr>
      <w:tabs>
        <w:tab w:val="right" w:leader="dot" w:pos="4176"/>
      </w:tabs>
    </w:pPr>
  </w:style>
  <w:style w:type="paragraph" w:styleId="ListNumber2">
    <w:name w:val="List Number 2"/>
    <w:basedOn w:val="List2"/>
    <w:rsid w:val="0088740E"/>
    <w:pPr>
      <w:numPr>
        <w:numId w:val="10"/>
      </w:numPr>
      <w:tabs>
        <w:tab w:val="clear" w:pos="1060"/>
      </w:tabs>
    </w:pPr>
  </w:style>
  <w:style w:type="paragraph" w:customStyle="1" w:styleId="MarginNote">
    <w:name w:val="Margin Note"/>
    <w:basedOn w:val="BodyText"/>
    <w:rsid w:val="00887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40E"/>
    <w:rPr>
      <w:sz w:val="32"/>
    </w:rPr>
  </w:style>
  <w:style w:type="paragraph" w:customStyle="1" w:styleId="HeadingProcedure">
    <w:name w:val="Heading Procedure"/>
    <w:basedOn w:val="HeadingBase"/>
    <w:next w:val="Normal"/>
    <w:rsid w:val="0088740E"/>
    <w:pPr>
      <w:tabs>
        <w:tab w:val="left" w:pos="0"/>
      </w:tabs>
      <w:spacing w:before="120" w:after="60"/>
    </w:pPr>
    <w:rPr>
      <w:i/>
      <w:color w:val="918585"/>
      <w:sz w:val="22"/>
    </w:rPr>
  </w:style>
  <w:style w:type="paragraph" w:customStyle="1" w:styleId="TableBodyText">
    <w:name w:val="Table Body Text"/>
    <w:basedOn w:val="BodyText"/>
    <w:rsid w:val="0088740E"/>
    <w:pPr>
      <w:spacing w:before="60" w:after="60"/>
    </w:pPr>
  </w:style>
  <w:style w:type="paragraph" w:styleId="ListContinue">
    <w:name w:val="List Continue"/>
    <w:basedOn w:val="List"/>
    <w:rsid w:val="0088740E"/>
    <w:pPr>
      <w:ind w:firstLine="0"/>
    </w:pPr>
  </w:style>
  <w:style w:type="paragraph" w:customStyle="1" w:styleId="ListNote">
    <w:name w:val="List Note"/>
    <w:basedOn w:val="List"/>
    <w:rsid w:val="0088740E"/>
    <w:pPr>
      <w:pBdr>
        <w:top w:val="single" w:sz="6" w:space="2" w:color="918585"/>
        <w:bottom w:val="single" w:sz="6" w:space="2" w:color="918585"/>
      </w:pBdr>
      <w:tabs>
        <w:tab w:val="left" w:pos="1021"/>
      </w:tabs>
      <w:ind w:firstLine="0"/>
    </w:pPr>
  </w:style>
  <w:style w:type="paragraph" w:customStyle="1" w:styleId="Warning">
    <w:name w:val="Warning"/>
    <w:basedOn w:val="BodyText"/>
    <w:rsid w:val="0088740E"/>
    <w:pPr>
      <w:shd w:val="clear" w:color="auto" w:fill="D9D9D9"/>
      <w:tabs>
        <w:tab w:val="left" w:pos="992"/>
      </w:tabs>
      <w:ind w:left="119" w:right="119"/>
    </w:pPr>
    <w:rPr>
      <w:sz w:val="20"/>
    </w:rPr>
  </w:style>
  <w:style w:type="paragraph" w:customStyle="1" w:styleId="MarginIcons">
    <w:name w:val="Margin Icons"/>
    <w:basedOn w:val="BodyText"/>
    <w:rsid w:val="00887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40E"/>
    <w:rPr>
      <w:rFonts w:ascii="Courier New" w:hAnsi="Courier New"/>
    </w:rPr>
  </w:style>
  <w:style w:type="paragraph" w:customStyle="1" w:styleId="NoteBullet">
    <w:name w:val="Note Bullet"/>
    <w:basedOn w:val="Note"/>
    <w:rsid w:val="0088740E"/>
    <w:pPr>
      <w:tabs>
        <w:tab w:val="clear" w:pos="680"/>
      </w:tabs>
      <w:spacing w:before="60" w:after="60"/>
    </w:pPr>
  </w:style>
  <w:style w:type="paragraph" w:customStyle="1" w:styleId="SubHeading2">
    <w:name w:val="SubHeading2"/>
    <w:basedOn w:val="HeadingBase"/>
    <w:rsid w:val="0088740E"/>
    <w:pPr>
      <w:spacing w:before="240" w:after="60"/>
    </w:pPr>
    <w:rPr>
      <w:sz w:val="20"/>
    </w:rPr>
  </w:style>
  <w:style w:type="paragraph" w:customStyle="1" w:styleId="SubHeading1">
    <w:name w:val="SubHeading1"/>
    <w:basedOn w:val="HeadingBase"/>
    <w:rsid w:val="0088740E"/>
    <w:pPr>
      <w:spacing w:before="240" w:after="60"/>
    </w:pPr>
    <w:rPr>
      <w:color w:val="918585"/>
      <w:sz w:val="22"/>
    </w:rPr>
  </w:style>
  <w:style w:type="paragraph" w:customStyle="1" w:styleId="SideHeading">
    <w:name w:val="Side Heading"/>
    <w:basedOn w:val="HeadingBase"/>
    <w:rsid w:val="00887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40E"/>
    <w:pPr>
      <w:numPr>
        <w:numId w:val="12"/>
      </w:numPr>
    </w:pPr>
  </w:style>
  <w:style w:type="paragraph" w:styleId="PlainText">
    <w:name w:val="Plain Text"/>
    <w:basedOn w:val="Normal"/>
    <w:link w:val="PlainTextChar"/>
    <w:rsid w:val="0088740E"/>
    <w:rPr>
      <w:sz w:val="20"/>
    </w:rPr>
  </w:style>
  <w:style w:type="character" w:customStyle="1" w:styleId="PlainTextChar">
    <w:name w:val="Plain Text Char"/>
    <w:basedOn w:val="DefaultParagraphFont"/>
    <w:link w:val="PlainText"/>
    <w:rsid w:val="0088740E"/>
    <w:rPr>
      <w:rFonts w:ascii="Courier New" w:eastAsia="Times New Roman" w:hAnsi="Courier New" w:cs="Times New Roman"/>
      <w:sz w:val="20"/>
      <w:szCs w:val="20"/>
      <w:lang w:eastAsia="en-US"/>
    </w:rPr>
  </w:style>
  <w:style w:type="character" w:customStyle="1" w:styleId="MenuOption">
    <w:name w:val="Menu Option"/>
    <w:basedOn w:val="DefaultParagraphFont"/>
    <w:rsid w:val="0088740E"/>
    <w:rPr>
      <w:b/>
      <w:smallCaps/>
    </w:rPr>
  </w:style>
  <w:style w:type="paragraph" w:customStyle="1" w:styleId="TableListNumber">
    <w:name w:val="Table List Number"/>
    <w:basedOn w:val="ListNumber"/>
    <w:rsid w:val="0088740E"/>
    <w:pPr>
      <w:numPr>
        <w:numId w:val="0"/>
      </w:numPr>
    </w:pPr>
  </w:style>
  <w:style w:type="paragraph" w:styleId="TOC4">
    <w:name w:val="toc 4"/>
    <w:basedOn w:val="TOCBase"/>
    <w:next w:val="Normal"/>
    <w:semiHidden/>
    <w:rsid w:val="0088740E"/>
    <w:pPr>
      <w:tabs>
        <w:tab w:val="right" w:leader="dot" w:pos="9071"/>
      </w:tabs>
      <w:ind w:left="1701"/>
    </w:pPr>
  </w:style>
  <w:style w:type="paragraph" w:customStyle="1" w:styleId="ListAlpha">
    <w:name w:val="List Alpha"/>
    <w:basedOn w:val="List"/>
    <w:rsid w:val="0088740E"/>
    <w:pPr>
      <w:numPr>
        <w:numId w:val="9"/>
      </w:numPr>
    </w:pPr>
  </w:style>
  <w:style w:type="paragraph" w:customStyle="1" w:styleId="ListAlpha2">
    <w:name w:val="List Alpha 2"/>
    <w:basedOn w:val="List2"/>
    <w:rsid w:val="0088740E"/>
    <w:pPr>
      <w:numPr>
        <w:numId w:val="8"/>
      </w:numPr>
    </w:pPr>
  </w:style>
  <w:style w:type="paragraph" w:styleId="List2">
    <w:name w:val="List 2"/>
    <w:basedOn w:val="BodyText"/>
    <w:rsid w:val="0088740E"/>
    <w:pPr>
      <w:tabs>
        <w:tab w:val="left" w:pos="680"/>
      </w:tabs>
      <w:spacing w:before="60" w:after="60"/>
      <w:ind w:left="680" w:hanging="340"/>
    </w:pPr>
  </w:style>
  <w:style w:type="paragraph" w:styleId="List3">
    <w:name w:val="List 3"/>
    <w:basedOn w:val="BodyText"/>
    <w:rsid w:val="0088740E"/>
    <w:pPr>
      <w:tabs>
        <w:tab w:val="left" w:pos="1021"/>
      </w:tabs>
      <w:spacing w:before="60" w:after="60"/>
      <w:ind w:left="1020" w:hanging="340"/>
    </w:pPr>
  </w:style>
  <w:style w:type="paragraph" w:styleId="List4">
    <w:name w:val="List 4"/>
    <w:basedOn w:val="BodyText"/>
    <w:rsid w:val="0088740E"/>
    <w:pPr>
      <w:tabs>
        <w:tab w:val="left" w:pos="1361"/>
      </w:tabs>
      <w:spacing w:before="60" w:after="60"/>
      <w:ind w:left="1361" w:hanging="340"/>
    </w:pPr>
  </w:style>
  <w:style w:type="paragraph" w:styleId="List5">
    <w:name w:val="List 5"/>
    <w:basedOn w:val="BodyText"/>
    <w:rsid w:val="0088740E"/>
    <w:pPr>
      <w:tabs>
        <w:tab w:val="left" w:pos="1701"/>
      </w:tabs>
      <w:spacing w:before="60" w:after="60"/>
      <w:ind w:left="1701" w:hanging="340"/>
    </w:pPr>
  </w:style>
  <w:style w:type="paragraph" w:styleId="ListBullet3">
    <w:name w:val="List Bullet 3"/>
    <w:basedOn w:val="List3"/>
    <w:rsid w:val="0088740E"/>
    <w:pPr>
      <w:numPr>
        <w:numId w:val="15"/>
      </w:numPr>
      <w:tabs>
        <w:tab w:val="clear" w:pos="1021"/>
      </w:tabs>
      <w:ind w:left="1037" w:hanging="357"/>
    </w:pPr>
  </w:style>
  <w:style w:type="paragraph" w:styleId="ListBullet4">
    <w:name w:val="List Bullet 4"/>
    <w:basedOn w:val="List4"/>
    <w:rsid w:val="0088740E"/>
    <w:pPr>
      <w:numPr>
        <w:numId w:val="3"/>
      </w:numPr>
    </w:pPr>
  </w:style>
  <w:style w:type="paragraph" w:styleId="ListBullet5">
    <w:name w:val="List Bullet 5"/>
    <w:basedOn w:val="List5"/>
    <w:rsid w:val="0088740E"/>
    <w:pPr>
      <w:numPr>
        <w:numId w:val="4"/>
      </w:numPr>
    </w:pPr>
  </w:style>
  <w:style w:type="paragraph" w:styleId="ListContinue2">
    <w:name w:val="List Continue 2"/>
    <w:basedOn w:val="List2"/>
    <w:rsid w:val="0088740E"/>
    <w:pPr>
      <w:ind w:firstLine="0"/>
    </w:pPr>
  </w:style>
  <w:style w:type="paragraph" w:styleId="ListContinue3">
    <w:name w:val="List Continue 3"/>
    <w:basedOn w:val="List3"/>
    <w:rsid w:val="0088740E"/>
    <w:pPr>
      <w:ind w:left="1021" w:firstLine="0"/>
    </w:pPr>
  </w:style>
  <w:style w:type="paragraph" w:styleId="ListContinue4">
    <w:name w:val="List Continue 4"/>
    <w:basedOn w:val="List4"/>
    <w:rsid w:val="0088740E"/>
    <w:pPr>
      <w:ind w:firstLine="0"/>
    </w:pPr>
  </w:style>
  <w:style w:type="paragraph" w:styleId="ListContinue5">
    <w:name w:val="List Continue 5"/>
    <w:basedOn w:val="List5"/>
    <w:rsid w:val="0088740E"/>
    <w:pPr>
      <w:ind w:firstLine="0"/>
    </w:pPr>
  </w:style>
  <w:style w:type="paragraph" w:styleId="ListNumber3">
    <w:name w:val="List Number 3"/>
    <w:basedOn w:val="List3"/>
    <w:rsid w:val="0088740E"/>
    <w:pPr>
      <w:numPr>
        <w:numId w:val="5"/>
      </w:numPr>
    </w:pPr>
  </w:style>
  <w:style w:type="paragraph" w:styleId="ListNumber4">
    <w:name w:val="List Number 4"/>
    <w:basedOn w:val="List4"/>
    <w:rsid w:val="0088740E"/>
    <w:pPr>
      <w:numPr>
        <w:numId w:val="6"/>
      </w:numPr>
    </w:pPr>
  </w:style>
  <w:style w:type="paragraph" w:styleId="ListNumber5">
    <w:name w:val="List Number 5"/>
    <w:basedOn w:val="List5"/>
    <w:rsid w:val="0088740E"/>
    <w:pPr>
      <w:numPr>
        <w:numId w:val="7"/>
      </w:numPr>
    </w:pPr>
  </w:style>
  <w:style w:type="paragraph" w:styleId="BlockText">
    <w:name w:val="Block Text"/>
    <w:basedOn w:val="Normal"/>
    <w:rsid w:val="0088740E"/>
    <w:pPr>
      <w:spacing w:after="120"/>
      <w:ind w:left="1440" w:right="1440"/>
    </w:pPr>
  </w:style>
  <w:style w:type="character" w:customStyle="1" w:styleId="Subscript">
    <w:name w:val="Subscript"/>
    <w:basedOn w:val="DefaultParagraphFont"/>
    <w:rsid w:val="0088740E"/>
    <w:rPr>
      <w:sz w:val="16"/>
      <w:vertAlign w:val="subscript"/>
    </w:rPr>
  </w:style>
  <w:style w:type="character" w:customStyle="1" w:styleId="Superscript">
    <w:name w:val="Superscript"/>
    <w:basedOn w:val="DefaultParagraphFont"/>
    <w:rsid w:val="0088740E"/>
    <w:rPr>
      <w:sz w:val="16"/>
      <w:vertAlign w:val="superscript"/>
    </w:rPr>
  </w:style>
  <w:style w:type="character" w:customStyle="1" w:styleId="Symbols">
    <w:name w:val="Symbols"/>
    <w:basedOn w:val="DefaultParagraphFont"/>
    <w:rsid w:val="0088740E"/>
    <w:rPr>
      <w:rFonts w:ascii="Symbol" w:hAnsi="Symbol"/>
    </w:rPr>
  </w:style>
  <w:style w:type="character" w:customStyle="1" w:styleId="MenuOptions">
    <w:name w:val="Menu Options"/>
    <w:basedOn w:val="DefaultParagraphFont"/>
    <w:rsid w:val="0088740E"/>
    <w:rPr>
      <w:rFonts w:ascii="Arial Narrow" w:hAnsi="Arial Narrow"/>
      <w:smallCaps/>
    </w:rPr>
  </w:style>
  <w:style w:type="character" w:customStyle="1" w:styleId="Buttons">
    <w:name w:val="Buttons"/>
    <w:basedOn w:val="DefaultParagraphFont"/>
    <w:rsid w:val="0088740E"/>
    <w:rPr>
      <w:b/>
    </w:rPr>
  </w:style>
  <w:style w:type="character" w:customStyle="1" w:styleId="Underlined">
    <w:name w:val="Underlined"/>
    <w:basedOn w:val="DefaultParagraphFont"/>
    <w:rsid w:val="0088740E"/>
    <w:rPr>
      <w:u w:val="single"/>
    </w:rPr>
  </w:style>
  <w:style w:type="paragraph" w:customStyle="1" w:styleId="TableBodyTextRight">
    <w:name w:val="Table Body Text Right"/>
    <w:basedOn w:val="TableBodyText"/>
    <w:rsid w:val="0088740E"/>
    <w:pPr>
      <w:widowControl w:val="0"/>
      <w:autoSpaceDE w:val="0"/>
      <w:autoSpaceDN w:val="0"/>
      <w:adjustRightInd w:val="0"/>
      <w:jc w:val="right"/>
    </w:pPr>
    <w:rPr>
      <w:rFonts w:cs="Arial"/>
      <w:szCs w:val="18"/>
    </w:rPr>
  </w:style>
  <w:style w:type="paragraph" w:customStyle="1" w:styleId="CopyrightText">
    <w:name w:val="Copyright Text"/>
    <w:basedOn w:val="BodyText"/>
    <w:rsid w:val="0088740E"/>
    <w:rPr>
      <w:sz w:val="18"/>
    </w:rPr>
  </w:style>
  <w:style w:type="paragraph" w:customStyle="1" w:styleId="BodySmallRight">
    <w:name w:val="Body Small Right"/>
    <w:basedOn w:val="BodyTextRight"/>
    <w:rsid w:val="0088740E"/>
    <w:rPr>
      <w:sz w:val="18"/>
      <w:szCs w:val="18"/>
    </w:rPr>
  </w:style>
  <w:style w:type="paragraph" w:customStyle="1" w:styleId="MarginEdition">
    <w:name w:val="Margin Edition"/>
    <w:basedOn w:val="MarginNote"/>
    <w:rsid w:val="0088740E"/>
    <w:pPr>
      <w:spacing w:before="0" w:after="0"/>
    </w:pPr>
    <w:rPr>
      <w:rFonts w:ascii="Times New Roman" w:hAnsi="Times New Roman"/>
      <w:color w:val="999999"/>
    </w:rPr>
  </w:style>
  <w:style w:type="paragraph" w:customStyle="1" w:styleId="Spacer">
    <w:name w:val="Spacer"/>
    <w:basedOn w:val="Normal"/>
    <w:rsid w:val="0088740E"/>
    <w:rPr>
      <w:sz w:val="2"/>
      <w:szCs w:val="2"/>
    </w:rPr>
  </w:style>
  <w:style w:type="character" w:customStyle="1" w:styleId="Small">
    <w:name w:val="Small"/>
    <w:basedOn w:val="DefaultParagraphFont"/>
    <w:rsid w:val="0088740E"/>
    <w:rPr>
      <w:sz w:val="16"/>
    </w:rPr>
  </w:style>
  <w:style w:type="paragraph" w:customStyle="1" w:styleId="WideTable">
    <w:name w:val="Wide Table"/>
    <w:basedOn w:val="Normal"/>
    <w:rsid w:val="0088740E"/>
    <w:pPr>
      <w:ind w:left="-1418"/>
    </w:pPr>
    <w:rPr>
      <w:sz w:val="2"/>
      <w:szCs w:val="2"/>
    </w:rPr>
  </w:style>
  <w:style w:type="character" w:styleId="PageNumber">
    <w:name w:val="page number"/>
    <w:basedOn w:val="DefaultParagraphFont"/>
    <w:rsid w:val="0088740E"/>
  </w:style>
  <w:style w:type="paragraph" w:styleId="Quote">
    <w:name w:val="Quote"/>
    <w:basedOn w:val="Heading1"/>
    <w:link w:val="QuoteChar"/>
    <w:qFormat/>
    <w:rsid w:val="0088740E"/>
    <w:rPr>
      <w:b w:val="0"/>
      <w:sz w:val="72"/>
      <w:szCs w:val="72"/>
      <w:lang w:val="en-NZ"/>
    </w:rPr>
  </w:style>
  <w:style w:type="character" w:customStyle="1" w:styleId="QuoteChar">
    <w:name w:val="Quote Char"/>
    <w:basedOn w:val="DefaultParagraphFont"/>
    <w:link w:val="Quote"/>
    <w:rsid w:val="00887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40E"/>
    <w:pPr>
      <w:pageBreakBefore/>
    </w:pPr>
  </w:style>
  <w:style w:type="paragraph" w:customStyle="1" w:styleId="Border">
    <w:name w:val="Border"/>
    <w:basedOn w:val="Normal"/>
    <w:qFormat/>
    <w:rsid w:val="00887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40E"/>
    <w:rPr>
      <w:b/>
      <w:bCs/>
      <w:i/>
      <w:iCs/>
      <w:color w:val="auto"/>
    </w:rPr>
  </w:style>
  <w:style w:type="paragraph" w:styleId="IntenseQuote">
    <w:name w:val="Intense Quote"/>
    <w:basedOn w:val="Normal"/>
    <w:next w:val="Normal"/>
    <w:link w:val="IntenseQuoteChar"/>
    <w:uiPriority w:val="30"/>
    <w:qFormat/>
    <w:rsid w:val="00887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40E"/>
    <w:rPr>
      <w:smallCaps/>
      <w:color w:val="auto"/>
      <w:u w:val="single"/>
    </w:rPr>
  </w:style>
  <w:style w:type="character" w:styleId="IntenseReference">
    <w:name w:val="Intense Reference"/>
    <w:basedOn w:val="DefaultParagraphFont"/>
    <w:uiPriority w:val="32"/>
    <w:qFormat/>
    <w:rsid w:val="0088740E"/>
    <w:rPr>
      <w:b/>
      <w:bCs/>
      <w:smallCaps/>
      <w:color w:val="auto"/>
      <w:spacing w:val="5"/>
      <w:u w:val="single"/>
    </w:rPr>
  </w:style>
  <w:style w:type="paragraph" w:customStyle="1" w:styleId="2ColumnHeading">
    <w:name w:val="2Column Heading"/>
    <w:basedOn w:val="BodyText"/>
    <w:qFormat/>
    <w:rsid w:val="0088740E"/>
    <w:pPr>
      <w:spacing w:after="60"/>
      <w:ind w:left="-2268"/>
    </w:pPr>
    <w:rPr>
      <w:b/>
    </w:rPr>
  </w:style>
  <w:style w:type="paragraph" w:customStyle="1" w:styleId="Heading1TOC">
    <w:name w:val="Heading1 TOC"/>
    <w:basedOn w:val="Normal"/>
    <w:qFormat/>
    <w:rsid w:val="0088740E"/>
    <w:pPr>
      <w:spacing w:before="240" w:after="120"/>
    </w:pPr>
    <w:rPr>
      <w:rFonts w:ascii="Times New Roman" w:hAnsi="Times New Roman"/>
      <w:b/>
      <w:sz w:val="32"/>
    </w:rPr>
  </w:style>
  <w:style w:type="paragraph" w:customStyle="1" w:styleId="Heading2TOC">
    <w:name w:val="Heading2 TOC"/>
    <w:basedOn w:val="Normal"/>
    <w:qFormat/>
    <w:rsid w:val="0088740E"/>
    <w:pPr>
      <w:spacing w:before="240" w:after="60"/>
    </w:pPr>
    <w:rPr>
      <w:rFonts w:ascii="Times New Roman" w:hAnsi="Times New Roman"/>
      <w:b/>
      <w:sz w:val="28"/>
    </w:rPr>
  </w:style>
  <w:style w:type="character" w:customStyle="1" w:styleId="Underline">
    <w:name w:val="Underline"/>
    <w:basedOn w:val="DefaultParagraphFont"/>
    <w:qFormat/>
    <w:rsid w:val="0088740E"/>
    <w:rPr>
      <w:u w:val="single"/>
    </w:rPr>
  </w:style>
  <w:style w:type="paragraph" w:styleId="BalloonText">
    <w:name w:val="Balloon Text"/>
    <w:basedOn w:val="Normal"/>
    <w:link w:val="BalloonTextChar"/>
    <w:rsid w:val="0088740E"/>
    <w:rPr>
      <w:rFonts w:ascii="Tahoma" w:hAnsi="Tahoma" w:cs="Tahoma"/>
      <w:sz w:val="16"/>
      <w:szCs w:val="16"/>
    </w:rPr>
  </w:style>
  <w:style w:type="character" w:customStyle="1" w:styleId="BalloonTextChar">
    <w:name w:val="Balloon Text Char"/>
    <w:basedOn w:val="DefaultParagraphFont"/>
    <w:link w:val="BalloonText"/>
    <w:rsid w:val="00887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4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40E"/>
    <w:rPr>
      <w:b/>
      <w:color w:val="660033"/>
      <w:spacing w:val="0"/>
    </w:rPr>
  </w:style>
  <w:style w:type="paragraph" w:customStyle="1" w:styleId="Nameditemlist">
    <w:name w:val="Named item list"/>
    <w:basedOn w:val="BodyText"/>
    <w:qFormat/>
    <w:rsid w:val="008874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1038</Words>
  <Characters>6844</Characters>
  <Application>Microsoft Office Word</Application>
  <DocSecurity>0</DocSecurity>
  <Lines>283</Lines>
  <Paragraphs>154</Paragraphs>
  <ScaleCrop>false</ScaleCrop>
  <Company>Author-it Software Corporation Ltd.</Company>
  <LinksUpToDate>false</LinksUpToDate>
  <CharactersWithSpaces>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MARB3002A Perform routine engine maintenance on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2013-06-06T04:57:00Z</dcterms:created>
  <dcterms:modified xsi:type="dcterms:W3CDTF">2013-06-06T04:58:00Z</dcterms:modified>
</cp:coreProperties>
</file>