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25F9" w:rsidP="007D25F9">
      <w:pPr>
        <w:pStyle w:val="Title"/>
      </w:pPr>
      <w:r>
        <w:fldChar w:fldCharType="begin"/>
      </w:r>
      <w:r>
        <w:instrText xml:space="preserve"> TITLE   \* MERGEFORMAT </w:instrText>
      </w:r>
      <w:r>
        <w:fldChar w:fldCharType="separate"/>
      </w:r>
      <w:r>
        <w:t>MARB2002A Service marine internal combustion engines and propulsion and auxiliary systems</w:t>
      </w:r>
      <w:r>
        <w:fldChar w:fldCharType="end"/>
      </w:r>
    </w:p>
    <w:p w:rsidR="007D25F9" w:rsidP="007D25F9">
      <w:pPr>
        <w:pStyle w:val="Version"/>
        <w:sectPr w:rsidSect="007D51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514C" w:rsidP="007D514C">
      <w:pPr>
        <w:pStyle w:val="SuperHeading"/>
      </w:pPr>
      <w:r w:rsidRPr="007D514C">
        <w:t>MARB2002A Service marine internal combustion engines and propulsion and auxiliary systems</w:t>
      </w:r>
    </w:p>
    <w:p w:rsidR="00000000" w:rsidRPr="007D514C" w:rsidP="007D514C">
      <w:pPr>
        <w:pStyle w:val="Heading1"/>
      </w:pPr>
      <w:bookmarkStart w:id="1" w:name="O_535726"/>
      <w:bookmarkEnd w:id="1"/>
      <w:r w:rsidRPr="007D514C">
        <w:t>Modification History</w:t>
      </w:r>
    </w:p>
    <w:p w:rsidR="00000000" w:rsidRPr="007D514C" w:rsidP="007D514C">
      <w:pPr>
        <w:pStyle w:val="BodyText"/>
      </w:pPr>
      <w:r w:rsidRPr="007D514C">
        <w:t>Release 1</w:t>
      </w:r>
      <w:r w:rsidRPr="007D514C">
        <w:br/>
        <w:t>This is the first release of this unit.</w:t>
      </w:r>
    </w:p>
    <w:p w:rsidR="00000000" w:rsidRPr="007D514C" w:rsidP="007D514C">
      <w:pPr>
        <w:pStyle w:val="AllowPageBreak"/>
      </w:pPr>
    </w:p>
    <w:p w:rsidR="00000000" w:rsidRPr="007D514C" w:rsidP="007D514C">
      <w:pPr>
        <w:pStyle w:val="Heading1"/>
      </w:pPr>
      <w:bookmarkStart w:id="2" w:name="O_535727"/>
      <w:bookmarkEnd w:id="2"/>
      <w:r w:rsidRPr="007D514C">
        <w:t>Unit Descriptor</w:t>
      </w:r>
    </w:p>
    <w:p w:rsidR="00000000" w:rsidRPr="007D514C" w:rsidP="007D514C">
      <w:pPr>
        <w:pStyle w:val="BodyText"/>
      </w:pPr>
      <w:r w:rsidRPr="007D514C">
        <w:t>This unit involves the skills and knowledge required to perform basic servicing of marine internal combustion engines, and propulsion and auxiliary systems.</w:t>
      </w:r>
    </w:p>
    <w:p w:rsidR="00000000" w:rsidRPr="007D514C" w:rsidP="007D514C">
      <w:pPr>
        <w:pStyle w:val="AllowPageBreak"/>
      </w:pPr>
    </w:p>
    <w:p w:rsidR="00000000" w:rsidRPr="007D514C" w:rsidP="007D514C">
      <w:pPr>
        <w:pStyle w:val="Heading1"/>
      </w:pPr>
      <w:bookmarkStart w:id="3" w:name="O_535728"/>
      <w:bookmarkEnd w:id="3"/>
      <w:r w:rsidRPr="007D514C">
        <w:t>Application of the Unit</w:t>
      </w:r>
    </w:p>
    <w:p w:rsidR="00000000" w:rsidRPr="007D514C" w:rsidP="007D514C">
      <w:pPr>
        <w:pStyle w:val="BodyText"/>
      </w:pPr>
      <w:r w:rsidRPr="007D514C">
        <w:t xml:space="preserve">This unit applies to deck workers working in the maritime </w:t>
      </w:r>
      <w:r w:rsidRPr="007D514C">
        <w:t>industry on vessels up to 12 metres.</w:t>
      </w:r>
    </w:p>
    <w:p w:rsidR="00000000" w:rsidRPr="007D514C" w:rsidP="007D514C">
      <w:pPr>
        <w:pStyle w:val="AllowPageBreak"/>
      </w:pPr>
    </w:p>
    <w:p w:rsidR="00000000" w:rsidRPr="007D514C" w:rsidP="007D514C">
      <w:pPr>
        <w:pStyle w:val="Heading1"/>
      </w:pPr>
      <w:bookmarkStart w:id="4" w:name="O_535729"/>
      <w:bookmarkEnd w:id="4"/>
      <w:r w:rsidRPr="007D514C">
        <w:t>Licensing/Regulatory Information</w:t>
      </w:r>
    </w:p>
    <w:p w:rsidR="00000000" w:rsidRPr="007D514C" w:rsidP="007D514C">
      <w:pPr>
        <w:pStyle w:val="BodyText"/>
      </w:pPr>
      <w:r w:rsidRPr="007D514C">
        <w:t>Not applicable.</w:t>
      </w:r>
    </w:p>
    <w:p w:rsidR="00000000" w:rsidRPr="007D514C" w:rsidP="007D514C">
      <w:pPr>
        <w:pStyle w:val="AllowPageBreak"/>
      </w:pPr>
    </w:p>
    <w:p w:rsidR="00000000" w:rsidRPr="007D514C" w:rsidP="007D514C">
      <w:pPr>
        <w:pStyle w:val="Heading1"/>
      </w:pPr>
      <w:bookmarkStart w:id="5" w:name="O_535730"/>
      <w:bookmarkEnd w:id="5"/>
      <w:r w:rsidRPr="007D514C">
        <w:t>Pre-Requisites</w:t>
      </w:r>
    </w:p>
    <w:p w:rsidR="00000000" w:rsidRPr="007D514C" w:rsidP="007D514C">
      <w:pPr>
        <w:pStyle w:val="BodyText"/>
      </w:pPr>
      <w:r w:rsidRPr="007D514C">
        <w:t>Not applicable.</w:t>
      </w:r>
    </w:p>
    <w:p w:rsidR="00000000" w:rsidRPr="007D514C" w:rsidP="007D514C">
      <w:pPr>
        <w:pStyle w:val="AllowPageBreak"/>
      </w:pPr>
    </w:p>
    <w:p w:rsidR="00000000" w:rsidRPr="007D514C" w:rsidP="007D514C">
      <w:pPr>
        <w:pStyle w:val="Heading1"/>
      </w:pPr>
      <w:bookmarkStart w:id="6" w:name="O_535731"/>
      <w:bookmarkEnd w:id="6"/>
      <w:r w:rsidRPr="007D514C">
        <w:t>Employability Skills Information</w:t>
      </w:r>
    </w:p>
    <w:p w:rsidR="00000000" w:rsidRPr="007D514C" w:rsidP="007D514C">
      <w:pPr>
        <w:pStyle w:val="BodyText"/>
      </w:pPr>
      <w:r w:rsidRPr="007D514C">
        <w:t>This unit contains employability skills.</w:t>
      </w:r>
    </w:p>
    <w:p w:rsidR="00000000" w:rsidRPr="007D514C" w:rsidP="007D514C">
      <w:pPr>
        <w:pStyle w:val="AllowPageBreak"/>
      </w:pPr>
    </w:p>
    <w:p w:rsidR="00000000" w:rsidRPr="007D514C" w:rsidP="007D514C">
      <w:pPr>
        <w:pStyle w:val="Heading1"/>
      </w:pPr>
      <w:bookmarkStart w:id="7" w:name="O_535732"/>
      <w:bookmarkEnd w:id="7"/>
      <w:r w:rsidRPr="007D514C">
        <w:t>Elements and Performance Criteria Pre-Content</w:t>
      </w:r>
    </w:p>
    <w:tbl>
      <w:tblPr>
        <w:tblW w:w="9640" w:type="dxa"/>
        <w:tblLayout w:type="fixed"/>
        <w:tblCellMar>
          <w:left w:w="62" w:type="dxa"/>
          <w:right w:w="62" w:type="dxa"/>
        </w:tblCellMar>
        <w:tblLook w:val="0000"/>
      </w:tblPr>
      <w:tblGrid>
        <w:gridCol w:w="2776"/>
        <w:gridCol w:w="6864"/>
      </w:tblGrid>
      <w:tr w:rsidTr="007D25F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Performance criteria describe the required performance needed to demonstrate achievement of the element. Assessment of performance is to be c</w:t>
            </w:r>
            <w:r w:rsidRPr="007D514C">
              <w:t>onsistent with the evidence guide.</w:t>
            </w:r>
          </w:p>
        </w:tc>
      </w:tr>
    </w:tbl>
    <w:p w:rsidR="00000000" w:rsidRPr="007D514C" w:rsidP="007D514C">
      <w:pPr>
        <w:pStyle w:val="BodyText"/>
      </w:pPr>
    </w:p>
    <w:p w:rsidR="00000000" w:rsidRPr="007D514C" w:rsidP="007D514C">
      <w:pPr>
        <w:pStyle w:val="AllowPageBreak"/>
      </w:pPr>
    </w:p>
    <w:p w:rsidR="00000000" w:rsidRPr="007D514C" w:rsidP="007D514C">
      <w:pPr>
        <w:pStyle w:val="Heading1"/>
      </w:pPr>
      <w:bookmarkStart w:id="8" w:name="O_535733"/>
      <w:bookmarkEnd w:id="8"/>
      <w:r w:rsidRPr="007D514C">
        <w:t>Elements and Performance Criteria</w:t>
      </w:r>
    </w:p>
    <w:tbl>
      <w:tblPr>
        <w:tblW w:w="9640" w:type="dxa"/>
        <w:tblLayout w:type="fixed"/>
        <w:tblCellMar>
          <w:left w:w="62" w:type="dxa"/>
          <w:right w:w="62" w:type="dxa"/>
        </w:tblCellMar>
        <w:tblLook w:val="0000"/>
      </w:tblPr>
      <w:tblGrid>
        <w:gridCol w:w="360"/>
        <w:gridCol w:w="1832"/>
        <w:gridCol w:w="584"/>
        <w:gridCol w:w="6864"/>
      </w:tblGrid>
      <w:tr w:rsidTr="007D25F9">
        <w:tblPrEx>
          <w:tblW w:w="9640"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rPr>
                <w:rStyle w:val="SpecialBold"/>
              </w:rPr>
              <w:t>1</w:t>
            </w:r>
          </w:p>
        </w:tc>
        <w:tc>
          <w:tcPr>
            <w:tcW w:w="1832" w:type="dxa"/>
            <w:vMerge w:val="restart"/>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Prepare for work</w:t>
            </w: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1.1</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Planned maintenance program is accessed to determine servicing requirements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1.2</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Inspections are conducted and additional non-routine servicing requirements are determined</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1.3</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 xml:space="preserve">Manufacturer specifications for </w:t>
            </w:r>
            <w:r w:rsidRPr="007D514C">
              <w:rPr>
                <w:rStyle w:val="BoldandItalics"/>
              </w:rPr>
              <w:t xml:space="preserve">equipment </w:t>
            </w:r>
            <w:r w:rsidRPr="007D514C">
              <w:t>are obtained</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1.4</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Tasks are planned and sequenced in conjunction with others involved in or affected by servicing work</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1.5</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Equipment is safely isolated according to regulations and work health and safety (WHS)/occupational health and safety (OHS) requirements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1.6</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BoldandItalics"/>
              </w:rPr>
              <w:t>Tool</w:t>
            </w:r>
            <w:r w:rsidRPr="007D514C">
              <w:rPr>
                <w:rStyle w:val="BoldandItalics"/>
              </w:rPr>
              <w:t>s and equipment</w:t>
            </w:r>
            <w:r w:rsidRPr="007D514C">
              <w:t xml:space="preserve"> are selected and checked for serviceability</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1.7</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 xml:space="preserve">Work area is prepared </w:t>
            </w:r>
          </w:p>
        </w:tc>
      </w:tr>
      <w:tr w:rsidTr="007D25F9">
        <w:tblPrEx>
          <w:tblW w:w="9640"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rPr>
                <w:rStyle w:val="SpecialBold"/>
              </w:rPr>
              <w:t>2</w:t>
            </w:r>
          </w:p>
        </w:tc>
        <w:tc>
          <w:tcPr>
            <w:tcW w:w="1832" w:type="dxa"/>
            <w:vMerge w:val="restart"/>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Carry out routine service</w:t>
            </w: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2.1</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Equipment is inspected throughout servicing and inspection results are compared with manufacturer specifications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2.2</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BoldandItalics"/>
              </w:rPr>
              <w:t>Servicing tasks</w:t>
            </w:r>
            <w:r w:rsidRPr="007D514C">
              <w:t xml:space="preserve"> are carried out to specification</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2.3</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Mechanical equipment and system components are checked with appropriate instruments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2.4</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Unserviceable equipment is tagged according to workplace procedures and appropriate personnel are notified</w:t>
            </w:r>
          </w:p>
        </w:tc>
      </w:tr>
      <w:tr w:rsidTr="007D25F9">
        <w:tblPrEx>
          <w:tblW w:w="9640"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rPr>
                <w:rStyle w:val="SpecialBold"/>
              </w:rPr>
              <w:t>3</w:t>
            </w:r>
          </w:p>
        </w:tc>
        <w:tc>
          <w:tcPr>
            <w:tcW w:w="1832" w:type="dxa"/>
            <w:vMerge w:val="restart"/>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Repair and replace faulty components</w:t>
            </w: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3.1</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Faulty items or components are removed using appropriate tools and equipment according to workplace procedures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3.2</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Replaceable items are selected or serviceable items are fitted according to manufacturer specifications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3.3</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Adjustments are made to equipment or components to ensure compliance with specifications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3.4</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Operational check is carried out on system to ens</w:t>
            </w:r>
            <w:r w:rsidRPr="007D514C">
              <w:t>ure compliance with manufacturer specifications</w:t>
            </w:r>
          </w:p>
        </w:tc>
      </w:tr>
      <w:tr w:rsidTr="007D25F9">
        <w:tblPrEx>
          <w:tblW w:w="9640" w:type="dxa"/>
          <w:tblLayout w:type="fixed"/>
          <w:tblCellMar>
            <w:left w:w="62" w:type="dxa"/>
            <w:right w:w="62" w:type="dxa"/>
          </w:tblCellMar>
          <w:tblLook w:val="0000"/>
        </w:tblPrEx>
        <w:tc>
          <w:tcPr>
            <w:tcW w:w="360" w:type="dxa"/>
            <w:vMerge w:val="restart"/>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rPr>
                <w:rStyle w:val="SpecialBold"/>
              </w:rPr>
              <w:t>4</w:t>
            </w:r>
          </w:p>
        </w:tc>
        <w:tc>
          <w:tcPr>
            <w:tcW w:w="1832" w:type="dxa"/>
            <w:vMerge w:val="restart"/>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Clean up and complete documentation</w:t>
            </w: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4.1</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Work area is cleared and cleaned</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4.2</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BoldandItalics"/>
              </w:rPr>
              <w:t xml:space="preserve">Materials </w:t>
            </w:r>
            <w:r w:rsidRPr="007D514C">
              <w:t>are disposed of or recycled according to legislative and workplace requirements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4.3</w:t>
            </w:r>
          </w:p>
        </w:tc>
        <w:tc>
          <w:tcPr>
            <w:tcW w:w="686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Tools and equipment are cleaned, checked and stored according to workplace procedures</w:t>
            </w:r>
          </w:p>
        </w:tc>
      </w:tr>
      <w:tr w:rsidTr="007D25F9">
        <w:tblPrEx>
          <w:tblW w:w="9640" w:type="dxa"/>
          <w:tblLayout w:type="fixed"/>
          <w:tblCellMar>
            <w:left w:w="62" w:type="dxa"/>
            <w:right w:w="62" w:type="dxa"/>
          </w:tblCellMar>
          <w:tblLook w:val="0000"/>
        </w:tblPrEx>
        <w:tc>
          <w:tcPr>
            <w:tcW w:w="3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4.4</w:t>
            </w:r>
          </w:p>
        </w:tc>
        <w:tc>
          <w:tcPr>
            <w:tcW w:w="6864"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Maintenance report is completed according to workplace procedures</w:t>
            </w:r>
          </w:p>
        </w:tc>
      </w:tr>
    </w:tbl>
    <w:p w:rsidR="00000000" w:rsidRPr="007D514C" w:rsidP="007D514C">
      <w:pPr>
        <w:pStyle w:val="BodyText"/>
      </w:pPr>
    </w:p>
    <w:p w:rsidR="00000000" w:rsidRPr="007D514C" w:rsidP="007D514C">
      <w:pPr>
        <w:pStyle w:val="AllowPageBreak"/>
      </w:pPr>
    </w:p>
    <w:p w:rsidR="00000000" w:rsidRPr="007D514C" w:rsidP="007D514C">
      <w:pPr>
        <w:pStyle w:val="Heading1"/>
      </w:pPr>
      <w:bookmarkStart w:id="9" w:name="O_535734"/>
      <w:bookmarkEnd w:id="9"/>
      <w:r w:rsidRPr="007D514C">
        <w:t>Required Skills and Knowledge</w:t>
      </w:r>
    </w:p>
    <w:tbl>
      <w:tblPr>
        <w:tblW w:w="0" w:type="auto"/>
        <w:tblCellMar>
          <w:left w:w="62" w:type="dxa"/>
          <w:right w:w="62" w:type="dxa"/>
        </w:tblCellMar>
        <w:tblLook w:val="0000"/>
      </w:tblPr>
      <w:tblGrid>
        <w:gridCol w:w="9196"/>
      </w:tblGrid>
      <w:tr w:rsidTr="007D25F9">
        <w:tblPrEx>
          <w:tblW w:w="0" w:type="auto"/>
          <w:tblCellMar>
            <w:left w:w="62" w:type="dxa"/>
            <w:right w:w="62" w:type="dxa"/>
          </w:tblCellMar>
          <w:tblLook w:val="0000"/>
        </w:tblPrEx>
        <w:trPr>
          <w:trHeight w:val="432"/>
        </w:trPr>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This section describes the skills and knowledge required for this unit.</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Required Skills: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Implement safe and environmentally responsible work practices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Read and interpret:</w:t>
            </w:r>
          </w:p>
          <w:p w:rsidR="00000000" w:rsidRPr="007D514C" w:rsidP="007D514C">
            <w:pPr>
              <w:pStyle w:val="ListBullet2"/>
            </w:pPr>
            <w:r w:rsidRPr="007D514C">
              <w:t xml:space="preserve">manufacturer specifications </w:t>
            </w:r>
          </w:p>
          <w:p w:rsidR="00000000" w:rsidRPr="007D514C" w:rsidP="007D514C">
            <w:pPr>
              <w:pStyle w:val="ListBullet2"/>
            </w:pPr>
            <w:r w:rsidRPr="007D514C">
              <w:t>safety data sheets (SDS)/material safety data sheets (MSDS)</w:t>
            </w:r>
          </w:p>
        </w:tc>
      </w:tr>
    </w:tbl>
    <w:p w:rsidR="00000000" w:rsidRPr="007D514C" w:rsidP="007D514C">
      <w:pPr>
        <w:pStyle w:val="BodyText"/>
      </w:pPr>
    </w:p>
    <w:tbl>
      <w:tblPr>
        <w:tblW w:w="0" w:type="auto"/>
        <w:tblCellMar>
          <w:left w:w="62" w:type="dxa"/>
          <w:right w:w="62" w:type="dxa"/>
        </w:tblCellMar>
        <w:tblLook w:val="0000"/>
      </w:tblPr>
      <w:tblGrid>
        <w:gridCol w:w="9196"/>
      </w:tblGrid>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Required Knowledge: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Basic combustion process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Basic electronic control unit and governor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Basic reverse/reduction gearbox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Basic timing diagrams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Circulating pumps and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Controllable pitch propellers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Cooling systems and cooling system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Couplings types, fittings, keys and keyways, securing nuts, locking</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Environmental responsibilities, regulations and legislative requirements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Fuel systems and fuel system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Intake system and system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Instrumentation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Intermediate bearing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Lube oil:</w:t>
            </w:r>
          </w:p>
          <w:p w:rsidR="00000000" w:rsidRPr="007D514C" w:rsidP="007D514C">
            <w:pPr>
              <w:pStyle w:val="ListBullet2"/>
            </w:pPr>
            <w:r w:rsidRPr="007D514C">
              <w:t>system and system maint</w:t>
            </w:r>
            <w:r w:rsidRPr="007D514C">
              <w:t>enance</w:t>
            </w:r>
          </w:p>
          <w:p w:rsidR="00000000" w:rsidP="007D514C">
            <w:pPr>
              <w:pStyle w:val="ListBullet2"/>
              <w:rPr>
                <w:lang w:val="en-NZ"/>
              </w:rPr>
            </w:pPr>
            <w:r w:rsidRPr="007D514C">
              <w:t>contamination</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Lubricating systems and systems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Maintenance of:</w:t>
            </w:r>
          </w:p>
          <w:p w:rsidR="00000000" w:rsidRPr="007D514C" w:rsidP="007D514C">
            <w:pPr>
              <w:pStyle w:val="ListBullet2"/>
            </w:pPr>
            <w:r w:rsidRPr="007D514C">
              <w:t>drive systems, belts, clutches, motors</w:t>
            </w:r>
          </w:p>
          <w:p w:rsidR="00000000" w:rsidRPr="007D514C" w:rsidP="007D514C">
            <w:pPr>
              <w:pStyle w:val="ListBullet2"/>
            </w:pPr>
            <w:r w:rsidRPr="007D514C">
              <w:t>hydraulic systems</w:t>
            </w:r>
          </w:p>
          <w:p w:rsidR="00000000" w:rsidRPr="007D514C" w:rsidP="007D514C">
            <w:pPr>
              <w:pStyle w:val="ListBullet2"/>
            </w:pPr>
            <w:r w:rsidRPr="007D514C">
              <w:t>pumping systems</w:t>
            </w:r>
          </w:p>
          <w:p w:rsidR="00000000" w:rsidRPr="007D514C" w:rsidP="007D514C">
            <w:pPr>
              <w:pStyle w:val="ListBullet2"/>
            </w:pPr>
            <w:r w:rsidRPr="007D514C">
              <w:t>refrigeration systems</w:t>
            </w:r>
          </w:p>
          <w:p w:rsidR="00000000" w:rsidRPr="007D514C" w:rsidP="007D514C">
            <w:pPr>
              <w:pStyle w:val="ListBullet2"/>
            </w:pPr>
            <w:r w:rsidRPr="007D514C">
              <w:t>sea water piping including corrosion control</w:t>
            </w:r>
          </w:p>
          <w:p w:rsidR="00000000" w:rsidRPr="007D514C" w:rsidP="007D514C">
            <w:pPr>
              <w:pStyle w:val="ListBullet2"/>
            </w:pPr>
            <w:r w:rsidRPr="007D514C">
              <w:t>shaft seals and rudder stock, glands and packings</w:t>
            </w:r>
          </w:p>
          <w:p w:rsidR="00000000" w:rsidP="007D514C">
            <w:pPr>
              <w:pStyle w:val="ListBullet2"/>
              <w:rPr>
                <w:lang w:val="en-NZ"/>
              </w:rPr>
            </w:pPr>
            <w:r w:rsidRPr="007D514C">
              <w:t>steering systems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Marine two- and four- stroke:</w:t>
            </w:r>
          </w:p>
          <w:p w:rsidR="00000000" w:rsidRPr="007D514C" w:rsidP="007D514C">
            <w:pPr>
              <w:pStyle w:val="ListBullet2"/>
            </w:pPr>
            <w:r w:rsidRPr="007D514C">
              <w:t>diesel engines</w:t>
            </w:r>
          </w:p>
          <w:p w:rsidR="00000000" w:rsidP="007D514C">
            <w:pPr>
              <w:pStyle w:val="ListBullet2"/>
              <w:rPr>
                <w:lang w:val="en-NZ"/>
              </w:rPr>
            </w:pPr>
            <w:r w:rsidRPr="007D514C">
              <w:t>petrol engines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Principles and procedures of lubrication</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Propeller and intermediate shafting alignment</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Routine servicing of:</w:t>
            </w:r>
          </w:p>
          <w:p w:rsidR="00000000" w:rsidRPr="007D514C" w:rsidP="007D514C">
            <w:pPr>
              <w:pStyle w:val="ListBullet2"/>
            </w:pPr>
            <w:r w:rsidRPr="007D514C">
              <w:t>firefighting equipment in engine space</w:t>
            </w:r>
          </w:p>
          <w:p w:rsidR="00000000" w:rsidP="007D514C">
            <w:pPr>
              <w:pStyle w:val="ListBullet2"/>
              <w:rPr>
                <w:lang w:val="en-NZ"/>
              </w:rPr>
            </w:pPr>
            <w:r w:rsidRPr="007D514C">
              <w:t>valves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 xml:space="preserve">Sterndrive and water jet drive units maintenance </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ListBullet"/>
              <w:rPr>
                <w:lang w:val="en-NZ"/>
              </w:rPr>
            </w:pPr>
            <w:r w:rsidRPr="007D514C">
              <w:t>Types, characteristics and functions of equipment/tools used in maintenance</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WHS/OHS requirements and work practices</w:t>
            </w:r>
          </w:p>
        </w:tc>
      </w:tr>
    </w:tbl>
    <w:p w:rsidR="00000000" w:rsidRPr="007D514C" w:rsidP="007D514C">
      <w:pPr>
        <w:pStyle w:val="BodyText"/>
      </w:pPr>
    </w:p>
    <w:p w:rsidR="00000000" w:rsidRPr="007D514C" w:rsidP="007D514C">
      <w:pPr>
        <w:pStyle w:val="AllowPageBreak"/>
      </w:pPr>
    </w:p>
    <w:p w:rsidR="00000000" w:rsidRPr="007D514C" w:rsidP="007D514C">
      <w:pPr>
        <w:pStyle w:val="Heading1"/>
      </w:pPr>
      <w:bookmarkStart w:id="10" w:name="O_535735"/>
      <w:bookmarkEnd w:id="10"/>
      <w:r w:rsidRPr="007D514C">
        <w:t>Evidence Guide</w:t>
      </w:r>
    </w:p>
    <w:tbl>
      <w:tblPr>
        <w:tblW w:w="9499" w:type="dxa"/>
        <w:tblLayout w:type="fixed"/>
        <w:tblCellMar>
          <w:left w:w="62" w:type="dxa"/>
          <w:right w:w="62" w:type="dxa"/>
        </w:tblCellMar>
        <w:tblLook w:val="0000"/>
      </w:tblPr>
      <w:tblGrid>
        <w:gridCol w:w="3340"/>
        <w:gridCol w:w="6159"/>
      </w:tblGrid>
      <w:tr w:rsidTr="007D514C">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The evidence guide provides advice on assessment and must be read in conjunction with the performance criteria, the required skills and knowledge, the range statement and the Assessment Guidelines for the Training Package.</w:t>
            </w:r>
          </w:p>
        </w:tc>
      </w:tr>
      <w:tr w:rsidTr="007D5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Critical aspects for assessment</w:t>
            </w:r>
            <w:r w:rsidRPr="007D514C">
              <w:rPr>
                <w:rStyle w:val="SpecialBold"/>
              </w:rPr>
              <w:t xml:space="preserve"> and evidence required to demonstrate competency in this unit</w:t>
            </w:r>
          </w:p>
        </w:tc>
        <w:tc>
          <w:tcPr>
            <w:tcW w:w="6159"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The evidence required to demonstrate competence in this unit must be relevant to and satisfy all of the requirements of the Elements, Performance Criteria, Required Skills, Required Knowledge an</w:t>
            </w:r>
            <w:r w:rsidRPr="007D514C">
              <w:t>d include:</w:t>
            </w:r>
          </w:p>
          <w:p w:rsidR="00000000" w:rsidRPr="007D514C" w:rsidP="007D514C">
            <w:pPr>
              <w:pStyle w:val="ListBullet"/>
            </w:pPr>
            <w:r w:rsidRPr="007D514C">
              <w:t xml:space="preserve">being aware of own ability and limits to rectify irregularities and faults </w:t>
            </w:r>
          </w:p>
          <w:p w:rsidR="00000000" w:rsidP="007D514C">
            <w:pPr>
              <w:pStyle w:val="ListBullet"/>
              <w:rPr>
                <w:lang w:val="en-NZ"/>
              </w:rPr>
            </w:pPr>
            <w:r w:rsidRPr="007D514C">
              <w:t>implementing workplace environmental and waste management procedures correctly.</w:t>
            </w:r>
          </w:p>
        </w:tc>
      </w:tr>
      <w:tr w:rsidTr="007D5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Context of and specific resources for assessment</w:t>
            </w:r>
          </w:p>
        </w:tc>
        <w:tc>
          <w:tcPr>
            <w:tcW w:w="6159"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Performance is demonstrated consistently over time and in a suitable range of contexts.</w:t>
            </w:r>
          </w:p>
          <w:p w:rsidR="00000000" w:rsidRPr="007D514C" w:rsidP="007D514C">
            <w:pPr>
              <w:pStyle w:val="BodyText"/>
            </w:pPr>
            <w:r w:rsidRPr="007D514C">
              <w:t>Resources for assessment include access to:</w:t>
            </w:r>
          </w:p>
          <w:p w:rsidR="00000000" w:rsidRPr="007D514C" w:rsidP="007D514C">
            <w:pPr>
              <w:pStyle w:val="ListBullet"/>
            </w:pPr>
            <w:r w:rsidRPr="007D514C">
              <w:t>industry-approved marine operations site where servicing marine internal combustion engines, and propulsion and auxiliary s</w:t>
            </w:r>
            <w:r w:rsidRPr="007D514C">
              <w:t>ystems can be conducted</w:t>
            </w:r>
          </w:p>
          <w:p w:rsidR="00000000" w:rsidRPr="007D514C" w:rsidP="007D514C">
            <w:pPr>
              <w:pStyle w:val="ListBullet"/>
            </w:pPr>
            <w:r w:rsidRPr="007D514C">
              <w:t>tools, equipment and personal protective equipment currently used in industry</w:t>
            </w:r>
          </w:p>
          <w:p w:rsidR="00000000" w:rsidRPr="007D514C" w:rsidP="007D514C">
            <w:pPr>
              <w:pStyle w:val="ListBullet"/>
            </w:pPr>
            <w:r w:rsidRPr="007D514C">
              <w:t>relevant regulatory and equipment documentation that impacts on work activities</w:t>
            </w:r>
          </w:p>
          <w:p w:rsidR="00000000" w:rsidRPr="007D514C" w:rsidP="007D514C">
            <w:pPr>
              <w:pStyle w:val="ListBullet"/>
            </w:pPr>
            <w:r w:rsidRPr="007D514C">
              <w:t>range of relevant exercises, case studies and/or other simulated practical</w:t>
            </w:r>
            <w:r w:rsidRPr="007D514C">
              <w:t xml:space="preserve"> and knowledge assessments</w:t>
            </w:r>
          </w:p>
          <w:p w:rsidR="00000000" w:rsidRPr="007D514C" w:rsidP="007D514C">
            <w:pPr>
              <w:pStyle w:val="ListBullet"/>
            </w:pPr>
            <w:r w:rsidRPr="007D514C">
              <w:t>appropriate range of relevant operational situations in the workplace.</w:t>
            </w:r>
          </w:p>
          <w:p w:rsidR="00000000" w:rsidRPr="007D514C" w:rsidP="007D514C">
            <w:pPr>
              <w:pStyle w:val="BodyText"/>
            </w:pPr>
            <w:r w:rsidRPr="007D514C">
              <w:t>In both real and simulated environments, access is required to:</w:t>
            </w:r>
          </w:p>
          <w:p w:rsidR="00000000" w:rsidRPr="007D514C" w:rsidP="007D514C">
            <w:pPr>
              <w:pStyle w:val="ListBullet"/>
            </w:pPr>
            <w:r w:rsidRPr="007D514C">
              <w:t>relevant and appropriate materials and equipment</w:t>
            </w:r>
          </w:p>
          <w:p w:rsidR="00000000" w:rsidP="007D514C">
            <w:pPr>
              <w:pStyle w:val="ListBullet"/>
              <w:rPr>
                <w:lang w:val="en-NZ"/>
              </w:rPr>
            </w:pPr>
            <w:r w:rsidRPr="007D514C">
              <w:t>applicable documentation including workplace</w:t>
            </w:r>
            <w:r w:rsidRPr="007D514C">
              <w:t xml:space="preserve"> procedures, regulations, codes of practice and operation manuals.</w:t>
            </w:r>
          </w:p>
        </w:tc>
      </w:tr>
      <w:tr w:rsidTr="007D5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Method of assessment</w:t>
            </w:r>
          </w:p>
        </w:tc>
        <w:tc>
          <w:tcPr>
            <w:tcW w:w="6159"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Practical assessment must occur in an:</w:t>
            </w:r>
          </w:p>
          <w:p w:rsidR="00000000" w:rsidRPr="007D514C" w:rsidP="007D514C">
            <w:pPr>
              <w:pStyle w:val="ListBullet"/>
            </w:pPr>
            <w:r w:rsidRPr="007D514C">
              <w:t>appropriately simulated workplace environment and/or</w:t>
            </w:r>
          </w:p>
          <w:p w:rsidR="00000000" w:rsidRPr="007D514C" w:rsidP="007D514C">
            <w:pPr>
              <w:pStyle w:val="ListBullet"/>
            </w:pPr>
            <w:r w:rsidRPr="007D514C">
              <w:t>appropriate range of situations in the workplace.</w:t>
            </w:r>
          </w:p>
          <w:p w:rsidR="00000000" w:rsidRPr="007D514C" w:rsidP="007D514C">
            <w:pPr>
              <w:pStyle w:val="BodyText"/>
            </w:pPr>
            <w:r w:rsidRPr="007D514C">
              <w:t>A range of assessment methods should be used to assess practical skills and knowledge. The following examples are appropriate to this unit:</w:t>
            </w:r>
          </w:p>
          <w:p w:rsidR="00000000" w:rsidRPr="007D514C" w:rsidP="007D514C">
            <w:pPr>
              <w:pStyle w:val="ListBullet"/>
            </w:pPr>
            <w:r w:rsidRPr="007D514C">
              <w:t>direct observation of the candidate servicing marine internal combustion engines, and propulsion and auxiliary syst</w:t>
            </w:r>
            <w:r w:rsidRPr="007D514C">
              <w:t>ems</w:t>
            </w:r>
          </w:p>
          <w:p w:rsidR="00000000" w:rsidP="007D514C">
            <w:pPr>
              <w:pStyle w:val="ListBullet"/>
              <w:rPr>
                <w:lang w:val="en-NZ"/>
              </w:rPr>
            </w:pPr>
            <w:r w:rsidRPr="007D514C">
              <w:t>direct observation of the candidate applying relevant WHS/OHS requirements and work practices.</w:t>
            </w:r>
          </w:p>
        </w:tc>
      </w:tr>
      <w:tr w:rsidTr="007D514C">
        <w:tblPrEx>
          <w:tblW w:w="9499" w:type="dxa"/>
          <w:tblLayout w:type="fixed"/>
          <w:tblCellMar>
            <w:left w:w="62" w:type="dxa"/>
            <w:right w:w="62" w:type="dxa"/>
          </w:tblCellMar>
          <w:tblLook w:val="0000"/>
        </w:tblPrEx>
        <w:tc>
          <w:tcPr>
            <w:tcW w:w="3340" w:type="dxa"/>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rPr>
                <w:rStyle w:val="SpecialBold"/>
              </w:rPr>
              <w:t>Guidance information for assessment</w:t>
            </w:r>
          </w:p>
        </w:tc>
        <w:tc>
          <w:tcPr>
            <w:tcW w:w="6159" w:type="dxa"/>
            <w:tcBorders>
              <w:top w:val="nil"/>
              <w:left w:val="nil"/>
              <w:bottom w:val="nil"/>
              <w:right w:val="nil"/>
            </w:tcBorders>
            <w:tcMar>
              <w:top w:w="0" w:type="dxa"/>
              <w:left w:w="62" w:type="dxa"/>
              <w:bottom w:w="0" w:type="dxa"/>
              <w:right w:w="62" w:type="dxa"/>
            </w:tcMar>
          </w:tcPr>
          <w:p w:rsidR="00000000" w:rsidRPr="007D514C" w:rsidP="007D514C">
            <w:pPr>
              <w:pStyle w:val="BodyText"/>
            </w:pPr>
            <w:r w:rsidRPr="007D514C">
              <w:t>Holistic assessment with other units relevant to the industry sector, workplace and job role is recommended.</w:t>
            </w:r>
          </w:p>
          <w:p w:rsidR="00000000" w:rsidRPr="007D514C" w:rsidP="007D514C">
            <w:pPr>
              <w:pStyle w:val="BodyText"/>
            </w:pPr>
            <w:r w:rsidRPr="007D514C">
              <w:t>In all case</w:t>
            </w:r>
            <w:r w:rsidRPr="007D514C">
              <w:t>s where practical assessment is used it should be combined with targeted questioning to assess Required Knowledge.</w:t>
            </w:r>
          </w:p>
          <w:p w:rsidR="00000000" w:rsidRPr="007D514C" w:rsidP="007D514C">
            <w:pPr>
              <w:pStyle w:val="BodyText"/>
            </w:pPr>
            <w:r w:rsidRPr="007D514C">
              <w:t>Assessment processes and techniques must be appropriate to the language and literacy requirements of the work being performed and the capacit</w:t>
            </w:r>
            <w:r w:rsidRPr="007D514C">
              <w:t>y of the candidate.</w:t>
            </w:r>
          </w:p>
        </w:tc>
      </w:tr>
    </w:tbl>
    <w:p w:rsidR="00000000" w:rsidRPr="007D514C" w:rsidP="007D514C">
      <w:pPr>
        <w:pStyle w:val="BodyText"/>
      </w:pPr>
    </w:p>
    <w:p w:rsidR="00000000" w:rsidRPr="007D514C" w:rsidP="007D514C">
      <w:pPr>
        <w:pStyle w:val="AllowPageBreak"/>
      </w:pPr>
    </w:p>
    <w:p w:rsidR="00000000" w:rsidRPr="007D514C" w:rsidP="007D514C">
      <w:pPr>
        <w:pStyle w:val="Heading1"/>
      </w:pPr>
      <w:bookmarkStart w:id="11" w:name="O_535736"/>
      <w:bookmarkEnd w:id="11"/>
      <w:r w:rsidRPr="007D514C">
        <w:t>Range Statement</w:t>
      </w:r>
    </w:p>
    <w:tbl>
      <w:tblPr>
        <w:tblW w:w="0" w:type="auto"/>
        <w:tblCellMar>
          <w:left w:w="62" w:type="dxa"/>
          <w:right w:w="62" w:type="dxa"/>
        </w:tblCellMar>
        <w:tblLook w:val="0000"/>
      </w:tblPr>
      <w:tblGrid>
        <w:gridCol w:w="2586"/>
        <w:gridCol w:w="6610"/>
      </w:tblGrid>
      <w:tr w:rsidTr="007D25F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The range statement relates to the unit of competency as a whole. It allows for different work environments and situations that may affect performance. Bold italicised wording, if used in the performan</w:t>
            </w:r>
            <w:r w:rsidRPr="007D514C">
              <w:t>ce criteria, is detailed below.</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Equipment may include:</w:t>
            </w:r>
          </w:p>
        </w:tc>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Auxiliary equipment and associated spaces</w:t>
            </w:r>
          </w:p>
          <w:p w:rsidR="00000000" w:rsidRPr="007D514C" w:rsidP="007D514C">
            <w:pPr>
              <w:pStyle w:val="ListBullet"/>
            </w:pPr>
            <w:r w:rsidRPr="007D514C">
              <w:t>Cooling systems</w:t>
            </w:r>
          </w:p>
          <w:p w:rsidR="00000000" w:rsidRPr="007D514C" w:rsidP="007D514C">
            <w:pPr>
              <w:pStyle w:val="ListBullet"/>
            </w:pPr>
            <w:r w:rsidRPr="007D514C">
              <w:t>Firefighting equipment</w:t>
            </w:r>
          </w:p>
          <w:p w:rsidR="00000000" w:rsidRPr="007D514C" w:rsidP="007D514C">
            <w:pPr>
              <w:pStyle w:val="ListBullet"/>
            </w:pPr>
            <w:r w:rsidRPr="007D514C">
              <w:t>Fuel systems</w:t>
            </w:r>
          </w:p>
          <w:p w:rsidR="00000000" w:rsidRPr="007D514C" w:rsidP="007D514C">
            <w:pPr>
              <w:pStyle w:val="ListBullet"/>
            </w:pPr>
            <w:r w:rsidRPr="007D514C">
              <w:t>Gearbox</w:t>
            </w:r>
          </w:p>
          <w:p w:rsidR="00000000" w:rsidRPr="007D514C" w:rsidP="007D514C">
            <w:pPr>
              <w:pStyle w:val="ListBullet"/>
            </w:pPr>
            <w:r w:rsidRPr="007D514C">
              <w:t>Lubricating systems</w:t>
            </w:r>
          </w:p>
          <w:p w:rsidR="00000000" w:rsidRPr="007D514C" w:rsidP="007D514C">
            <w:pPr>
              <w:pStyle w:val="ListBullet"/>
            </w:pPr>
            <w:r w:rsidRPr="007D514C">
              <w:t>Marine two- and four-stroke:</w:t>
            </w:r>
          </w:p>
          <w:p w:rsidR="00000000" w:rsidRPr="007D514C" w:rsidP="007D514C">
            <w:pPr>
              <w:pStyle w:val="ListBullet2"/>
            </w:pPr>
            <w:r w:rsidRPr="007D514C">
              <w:t>diesel engines</w:t>
            </w:r>
          </w:p>
          <w:p w:rsidR="00000000" w:rsidRPr="007D514C" w:rsidP="007D514C">
            <w:pPr>
              <w:pStyle w:val="ListBullet2"/>
            </w:pPr>
            <w:r w:rsidRPr="007D514C">
              <w:t>petrol engines</w:t>
            </w:r>
          </w:p>
          <w:p w:rsidR="00000000" w:rsidRPr="007D514C" w:rsidP="007D514C">
            <w:pPr>
              <w:pStyle w:val="ListBullet"/>
            </w:pPr>
            <w:r w:rsidRPr="007D514C">
              <w:t>Propeller and immediate shafting alignment</w:t>
            </w:r>
          </w:p>
          <w:p w:rsidR="00000000" w:rsidRPr="007D514C" w:rsidP="007D514C">
            <w:pPr>
              <w:pStyle w:val="ListBullet"/>
            </w:pPr>
            <w:r w:rsidRPr="007D514C">
              <w:t>Pumping systems</w:t>
            </w:r>
          </w:p>
          <w:p w:rsidR="00000000" w:rsidRPr="007D514C" w:rsidP="007D514C">
            <w:pPr>
              <w:pStyle w:val="ListBullet"/>
            </w:pPr>
            <w:r w:rsidRPr="007D514C">
              <w:t>Refrigeration systems</w:t>
            </w:r>
          </w:p>
          <w:p w:rsidR="00000000" w:rsidRPr="007D514C" w:rsidP="007D514C">
            <w:pPr>
              <w:pStyle w:val="ListBullet"/>
            </w:pPr>
            <w:r w:rsidRPr="007D514C">
              <w:t>Sterndrive and water jet drive units</w:t>
            </w:r>
          </w:p>
          <w:p w:rsidR="00000000" w:rsidP="007D514C">
            <w:pPr>
              <w:pStyle w:val="ListBullet"/>
              <w:rPr>
                <w:lang w:val="en-NZ"/>
              </w:rPr>
            </w:pPr>
            <w:r w:rsidRPr="007D514C">
              <w:t>Steering systems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Tools and equipment may include:</w:t>
            </w:r>
          </w:p>
        </w:tc>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Hand and power tools</w:t>
            </w:r>
          </w:p>
          <w:p w:rsidR="00000000" w:rsidRPr="007D514C" w:rsidP="007D514C">
            <w:pPr>
              <w:pStyle w:val="ListBullet"/>
            </w:pPr>
            <w:r w:rsidRPr="007D514C">
              <w:t>Specialised tools</w:t>
            </w:r>
          </w:p>
          <w:p w:rsidR="00000000" w:rsidP="007D514C">
            <w:pPr>
              <w:pStyle w:val="ListBullet"/>
              <w:rPr>
                <w:lang w:val="en-NZ"/>
              </w:rPr>
            </w:pPr>
            <w:r w:rsidRPr="007D514C">
              <w:t>Test equipment</w:t>
            </w:r>
          </w:p>
        </w:tc>
      </w:tr>
      <w:tr w:rsidTr="007D25F9">
        <w:tblPrEx>
          <w:tblW w:w="0" w:type="auto"/>
          <w:tblCellMar>
            <w:left w:w="62" w:type="dxa"/>
            <w:right w:w="62" w:type="dxa"/>
          </w:tblCellMar>
          <w:tblLook w:val="0000"/>
        </w:tblPrEx>
        <w:trPr>
          <w:trHeight w:val="3476"/>
        </w:trPr>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Servicing tasks may include:</w:t>
            </w:r>
          </w:p>
        </w:tc>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Cleaning:</w:t>
            </w:r>
          </w:p>
          <w:p w:rsidR="00000000" w:rsidRPr="007D514C" w:rsidP="007D514C">
            <w:pPr>
              <w:pStyle w:val="ListBullet2"/>
            </w:pPr>
            <w:r w:rsidRPr="007D514C">
              <w:t>coolers</w:t>
            </w:r>
          </w:p>
          <w:p w:rsidR="00000000" w:rsidRPr="007D514C" w:rsidP="007D514C">
            <w:pPr>
              <w:pStyle w:val="ListBullet2"/>
            </w:pPr>
            <w:r w:rsidRPr="007D514C">
              <w:t>filters</w:t>
            </w:r>
          </w:p>
          <w:p w:rsidR="00000000" w:rsidRPr="007D514C" w:rsidP="007D514C">
            <w:pPr>
              <w:pStyle w:val="ListBullet"/>
            </w:pPr>
            <w:r w:rsidRPr="007D514C">
              <w:t>Greasing</w:t>
            </w:r>
          </w:p>
          <w:p w:rsidR="00000000" w:rsidRPr="007D514C" w:rsidP="007D514C">
            <w:pPr>
              <w:pStyle w:val="ListBullet"/>
            </w:pPr>
            <w:r w:rsidRPr="007D514C">
              <w:t>Oiling</w:t>
            </w:r>
          </w:p>
          <w:p w:rsidR="00000000" w:rsidRPr="007D514C" w:rsidP="007D514C">
            <w:pPr>
              <w:pStyle w:val="ListBullet"/>
            </w:pPr>
            <w:r w:rsidRPr="007D514C">
              <w:t>Replacing:</w:t>
            </w:r>
          </w:p>
          <w:p w:rsidR="00000000" w:rsidRPr="007D514C" w:rsidP="007D514C">
            <w:pPr>
              <w:pStyle w:val="ListBullet2"/>
            </w:pPr>
            <w:r w:rsidRPr="007D514C">
              <w:t>anodes</w:t>
            </w:r>
          </w:p>
          <w:p w:rsidR="00000000" w:rsidRPr="007D514C" w:rsidP="007D514C">
            <w:pPr>
              <w:pStyle w:val="ListBullet2"/>
            </w:pPr>
            <w:r w:rsidRPr="007D514C">
              <w:t>shaft seals and gland packing</w:t>
            </w:r>
          </w:p>
          <w:p w:rsidR="00000000" w:rsidRPr="007D514C" w:rsidP="007D514C">
            <w:pPr>
              <w:pStyle w:val="ListBullet2"/>
            </w:pPr>
            <w:r w:rsidRPr="007D514C">
              <w:t>belt drives</w:t>
            </w:r>
          </w:p>
          <w:p w:rsidR="00000000" w:rsidRPr="007D514C" w:rsidP="007D514C">
            <w:pPr>
              <w:pStyle w:val="ListBullet2"/>
            </w:pPr>
            <w:r w:rsidRPr="007D514C">
              <w:t>pumps</w:t>
            </w:r>
          </w:p>
          <w:p w:rsidR="00000000" w:rsidP="007D514C">
            <w:pPr>
              <w:pStyle w:val="ListBullet"/>
              <w:rPr>
                <w:lang w:val="en-NZ"/>
              </w:rPr>
            </w:pPr>
            <w:r w:rsidRPr="007D514C">
              <w:t>Topping up oils</w:t>
            </w:r>
          </w:p>
        </w:tc>
      </w:tr>
      <w:tr w:rsidTr="007D25F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514C">
            <w:pPr>
              <w:pStyle w:val="BodyText"/>
              <w:rPr>
                <w:lang w:val="en-NZ"/>
              </w:rPr>
            </w:pPr>
            <w:r w:rsidRPr="007D514C">
              <w:t>Materials may include:</w:t>
            </w:r>
          </w:p>
        </w:tc>
        <w:tc>
          <w:tcPr>
            <w:tcW w:w="0" w:type="auto"/>
            <w:tcBorders>
              <w:top w:val="nil"/>
              <w:left w:val="nil"/>
              <w:bottom w:val="nil"/>
              <w:right w:val="nil"/>
            </w:tcBorders>
            <w:tcMar>
              <w:top w:w="0" w:type="dxa"/>
              <w:left w:w="62" w:type="dxa"/>
              <w:bottom w:w="0" w:type="dxa"/>
              <w:right w:w="62" w:type="dxa"/>
            </w:tcMar>
          </w:tcPr>
          <w:p w:rsidR="00000000" w:rsidRPr="007D514C" w:rsidP="007D514C">
            <w:pPr>
              <w:pStyle w:val="ListBullet"/>
            </w:pPr>
            <w:r w:rsidRPr="007D514C">
              <w:t xml:space="preserve">Cleaning products </w:t>
            </w:r>
          </w:p>
          <w:p w:rsidR="00000000" w:rsidRPr="007D514C" w:rsidP="007D514C">
            <w:pPr>
              <w:pStyle w:val="ListBullet"/>
            </w:pPr>
            <w:r w:rsidRPr="007D514C">
              <w:t>Rags</w:t>
            </w:r>
          </w:p>
          <w:p w:rsidR="00000000" w:rsidRPr="007D514C" w:rsidP="007D514C">
            <w:pPr>
              <w:pStyle w:val="ListBullet"/>
            </w:pPr>
            <w:r w:rsidRPr="007D514C">
              <w:t>Refrigerant gas</w:t>
            </w:r>
          </w:p>
          <w:p w:rsidR="00000000" w:rsidRPr="007D514C" w:rsidP="007D514C">
            <w:pPr>
              <w:pStyle w:val="ListBullet"/>
            </w:pPr>
            <w:r w:rsidRPr="007D514C">
              <w:t xml:space="preserve">Spent oil </w:t>
            </w:r>
          </w:p>
          <w:p w:rsidR="00000000" w:rsidRPr="007D514C" w:rsidP="007D514C">
            <w:pPr>
              <w:pStyle w:val="ListBullet"/>
            </w:pPr>
            <w:r w:rsidRPr="007D514C">
              <w:t>Used components</w:t>
            </w:r>
          </w:p>
        </w:tc>
      </w:tr>
    </w:tbl>
    <w:p w:rsidR="00000000" w:rsidRPr="007D514C" w:rsidP="007D514C">
      <w:pPr>
        <w:pStyle w:val="BodyText"/>
      </w:pPr>
    </w:p>
    <w:p w:rsidR="00000000" w:rsidRPr="007D514C" w:rsidP="007D514C">
      <w:pPr>
        <w:pStyle w:val="AllowPageBreak"/>
      </w:pPr>
    </w:p>
    <w:p w:rsidR="00000000" w:rsidRPr="007D514C" w:rsidP="007D514C">
      <w:pPr>
        <w:pStyle w:val="Heading1"/>
      </w:pPr>
      <w:bookmarkStart w:id="12" w:name="O_535737"/>
      <w:bookmarkEnd w:id="12"/>
      <w:r w:rsidRPr="007D514C">
        <w:t>Unit Sector(s)</w:t>
      </w:r>
    </w:p>
    <w:p w:rsidR="00000000" w:rsidRPr="007D514C" w:rsidP="007D514C">
      <w:pPr>
        <w:pStyle w:val="BodyText"/>
      </w:pPr>
      <w:r w:rsidRPr="007D514C">
        <w:t>Not applicable.</w:t>
      </w:r>
    </w:p>
    <w:p w:rsidR="00000000" w:rsidRPr="007D514C" w:rsidP="007D514C">
      <w:pPr>
        <w:pStyle w:val="AllowPageBreak"/>
      </w:pPr>
    </w:p>
    <w:p w:rsidR="00000000" w:rsidRPr="007D514C" w:rsidP="007D514C">
      <w:pPr>
        <w:pStyle w:val="Heading1"/>
      </w:pPr>
      <w:bookmarkStart w:id="13" w:name="O_535738"/>
      <w:bookmarkEnd w:id="13"/>
      <w:r w:rsidRPr="007D514C">
        <w:t>Competency Field</w:t>
      </w:r>
    </w:p>
    <w:p w:rsidR="00000000" w:rsidRPr="007D514C" w:rsidP="007D514C">
      <w:pPr>
        <w:pStyle w:val="BodyText"/>
      </w:pPr>
      <w:r w:rsidRPr="007D514C">
        <w:t>Equipment Checking and Maintenance</w:t>
      </w:r>
    </w:p>
    <w:p w:rsidR="00000000" w:rsidRPr="007D514C" w:rsidP="007D514C"/>
    <w:sectPr w:rsidSect="007D51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4C" w:rsidRPr="007D25F9" w:rsidP="007D25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F9" w:rsidP="007D51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7D25F9" w:rsidP="007D514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7D25F9" w:rsidP="007D51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4C" w:rsidRPr="007D25F9" w:rsidP="007D25F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51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25F9" w:rsidRPr="002D2AF8" w:rsidP="007D514C">
    <w:pPr>
      <w:pStyle w:val="Header"/>
      <w:framePr w:wrap="around"/>
    </w:pPr>
    <w:r>
      <w:fldChar w:fldCharType="begin"/>
    </w:r>
    <w:r>
      <w:instrText xml:space="preserve"> TITLE   \* MERGEFORMAT </w:instrText>
    </w:r>
    <w:r>
      <w:fldChar w:fldCharType="separate"/>
    </w:r>
    <w:r>
      <w:t>MARB2002A Service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June 2013</w:t>
    </w:r>
    <w:r>
      <w:fldChar w:fldCharType="end"/>
    </w:r>
  </w:p>
  <w:p w:rsidR="007D25F9" w:rsidP="007D51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2C20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036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B8B3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51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514C"/>
    <w:pPr>
      <w:spacing w:before="360" w:after="60"/>
      <w:outlineLvl w:val="0"/>
    </w:pPr>
    <w:rPr>
      <w:sz w:val="32"/>
    </w:rPr>
  </w:style>
  <w:style w:type="paragraph" w:styleId="Heading2">
    <w:name w:val="heading 2"/>
    <w:basedOn w:val="HeadingBase"/>
    <w:next w:val="BodyText"/>
    <w:link w:val="Heading2Char"/>
    <w:qFormat/>
    <w:rsid w:val="007D514C"/>
    <w:pPr>
      <w:keepLines/>
      <w:spacing w:before="240" w:after="120"/>
      <w:outlineLvl w:val="1"/>
    </w:pPr>
    <w:rPr>
      <w:sz w:val="28"/>
      <w:szCs w:val="40"/>
    </w:rPr>
  </w:style>
  <w:style w:type="paragraph" w:styleId="Heading3">
    <w:name w:val="heading 3"/>
    <w:basedOn w:val="HeadingBase"/>
    <w:next w:val="BodyText"/>
    <w:link w:val="Heading3Char"/>
    <w:qFormat/>
    <w:rsid w:val="007D514C"/>
    <w:pPr>
      <w:spacing w:before="180" w:after="120"/>
      <w:outlineLvl w:val="2"/>
    </w:pPr>
    <w:rPr>
      <w:spacing w:val="-10"/>
      <w:kern w:val="32"/>
    </w:rPr>
  </w:style>
  <w:style w:type="paragraph" w:styleId="Heading4">
    <w:name w:val="heading 4"/>
    <w:basedOn w:val="HeadingBase"/>
    <w:next w:val="BodyText"/>
    <w:link w:val="Heading4Char"/>
    <w:qFormat/>
    <w:rsid w:val="007D514C"/>
    <w:pPr>
      <w:spacing w:before="160" w:after="120"/>
      <w:outlineLvl w:val="3"/>
    </w:pPr>
    <w:rPr>
      <w:sz w:val="22"/>
    </w:rPr>
  </w:style>
  <w:style w:type="paragraph" w:styleId="Heading5">
    <w:name w:val="heading 5"/>
    <w:basedOn w:val="HeadingBase"/>
    <w:next w:val="Normal"/>
    <w:link w:val="Heading5Char"/>
    <w:qFormat/>
    <w:rsid w:val="007D514C"/>
    <w:pPr>
      <w:spacing w:before="80"/>
      <w:outlineLvl w:val="4"/>
    </w:pPr>
    <w:rPr>
      <w:color w:val="918585"/>
      <w:sz w:val="20"/>
    </w:rPr>
  </w:style>
  <w:style w:type="paragraph" w:styleId="Heading6">
    <w:name w:val="heading 6"/>
    <w:basedOn w:val="HeadingBase"/>
    <w:next w:val="Normal"/>
    <w:link w:val="Heading6Char"/>
    <w:qFormat/>
    <w:rsid w:val="007D514C"/>
    <w:pPr>
      <w:spacing w:before="60"/>
      <w:outlineLvl w:val="5"/>
    </w:pPr>
    <w:rPr>
      <w:color w:val="918585"/>
      <w:sz w:val="20"/>
    </w:rPr>
  </w:style>
  <w:style w:type="paragraph" w:styleId="Heading7">
    <w:name w:val="heading 7"/>
    <w:basedOn w:val="Normal"/>
    <w:next w:val="Normal"/>
    <w:link w:val="Heading7Char"/>
    <w:qFormat/>
    <w:rsid w:val="007D514C"/>
    <w:pPr>
      <w:ind w:left="720"/>
      <w:outlineLvl w:val="6"/>
    </w:pPr>
    <w:rPr>
      <w:i/>
    </w:rPr>
  </w:style>
  <w:style w:type="paragraph" w:styleId="Heading8">
    <w:name w:val="heading 8"/>
    <w:basedOn w:val="Normal"/>
    <w:next w:val="Normal"/>
    <w:link w:val="Heading8Char"/>
    <w:qFormat/>
    <w:rsid w:val="007D514C"/>
    <w:pPr>
      <w:ind w:left="720"/>
      <w:outlineLvl w:val="7"/>
    </w:pPr>
    <w:rPr>
      <w:i/>
    </w:rPr>
  </w:style>
  <w:style w:type="paragraph" w:styleId="Heading9">
    <w:name w:val="heading 9"/>
    <w:basedOn w:val="Normal"/>
    <w:next w:val="Normal"/>
    <w:link w:val="Heading9Char"/>
    <w:qFormat/>
    <w:rsid w:val="007D514C"/>
    <w:pPr>
      <w:ind w:left="720"/>
      <w:outlineLvl w:val="8"/>
    </w:pPr>
    <w:rPr>
      <w:i/>
    </w:rPr>
  </w:style>
  <w:style w:type="character" w:default="1" w:styleId="DefaultParagraphFont">
    <w:name w:val="Default Paragraph Font"/>
    <w:uiPriority w:val="1"/>
    <w:unhideWhenUsed/>
    <w:rsid w:val="007D51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514C"/>
  </w:style>
  <w:style w:type="character" w:customStyle="1" w:styleId="Heading1Char">
    <w:name w:val="Heading 1 Char"/>
    <w:basedOn w:val="DefaultParagraphFont"/>
    <w:link w:val="Heading1"/>
    <w:rsid w:val="007D514C"/>
    <w:rPr>
      <w:rFonts w:ascii="Times New Roman" w:eastAsia="Times New Roman" w:hAnsi="Times New Roman" w:cs="Times New Roman"/>
      <w:b/>
      <w:sz w:val="32"/>
      <w:szCs w:val="20"/>
      <w:lang w:eastAsia="en-US"/>
    </w:rPr>
  </w:style>
  <w:style w:type="paragraph" w:styleId="BodyText">
    <w:name w:val="Body Text"/>
    <w:basedOn w:val="Normal"/>
    <w:link w:val="BodyTextChar"/>
    <w:rsid w:val="007D51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D514C"/>
    <w:rPr>
      <w:rFonts w:ascii="Times New Roman" w:eastAsia="Times New Roman" w:hAnsi="Times New Roman" w:cs="Times New Roman"/>
      <w:sz w:val="24"/>
      <w:lang w:eastAsia="en-US"/>
    </w:rPr>
  </w:style>
  <w:style w:type="paragraph" w:styleId="ListBullet">
    <w:name w:val="List Bullet"/>
    <w:basedOn w:val="List"/>
    <w:rsid w:val="007D514C"/>
    <w:pPr>
      <w:numPr>
        <w:numId w:val="13"/>
      </w:numPr>
      <w:tabs>
        <w:tab w:val="clear" w:pos="340"/>
      </w:tabs>
      <w:spacing w:before="40" w:after="40"/>
    </w:pPr>
  </w:style>
  <w:style w:type="character" w:customStyle="1" w:styleId="SpecialBold">
    <w:name w:val="Special Bold"/>
    <w:basedOn w:val="DefaultParagraphFont"/>
    <w:rsid w:val="007D514C"/>
    <w:rPr>
      <w:b/>
      <w:spacing w:val="0"/>
    </w:rPr>
  </w:style>
  <w:style w:type="paragraph" w:styleId="ListBullet2">
    <w:name w:val="List Bullet 2"/>
    <w:basedOn w:val="List2"/>
    <w:rsid w:val="007D514C"/>
    <w:pPr>
      <w:numPr>
        <w:numId w:val="14"/>
      </w:numPr>
      <w:tabs>
        <w:tab w:val="clear" w:pos="680"/>
      </w:tabs>
    </w:pPr>
  </w:style>
  <w:style w:type="paragraph" w:customStyle="1" w:styleId="SuperHeading">
    <w:name w:val="SuperHeading"/>
    <w:basedOn w:val="Normal"/>
    <w:rsid w:val="007D514C"/>
    <w:pPr>
      <w:spacing w:before="240" w:after="120"/>
      <w:outlineLvl w:val="0"/>
    </w:pPr>
    <w:rPr>
      <w:rFonts w:ascii="Times New Roman" w:hAnsi="Times New Roman"/>
      <w:b/>
      <w:sz w:val="32"/>
    </w:rPr>
  </w:style>
  <w:style w:type="paragraph" w:customStyle="1" w:styleId="AllowPageBreak">
    <w:name w:val="AllowPageBreak"/>
    <w:rsid w:val="007D51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D514C"/>
    <w:rPr>
      <w:b/>
      <w:i/>
      <w:u w:val="none"/>
    </w:rPr>
  </w:style>
  <w:style w:type="character" w:customStyle="1" w:styleId="Heading2Char">
    <w:name w:val="Heading 2 Char"/>
    <w:basedOn w:val="DefaultParagraphFont"/>
    <w:link w:val="Heading2"/>
    <w:rsid w:val="007D51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51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51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51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51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51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51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514C"/>
    <w:rPr>
      <w:rFonts w:ascii="Courier New" w:eastAsia="Times New Roman" w:hAnsi="Courier New" w:cs="Times New Roman"/>
      <w:i/>
      <w:szCs w:val="20"/>
      <w:lang w:eastAsia="en-US"/>
    </w:rPr>
  </w:style>
  <w:style w:type="paragraph" w:customStyle="1" w:styleId="HeadingBase">
    <w:name w:val="Heading Base"/>
    <w:rsid w:val="007D51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514C"/>
    <w:pPr>
      <w:tabs>
        <w:tab w:val="right" w:leader="dot" w:pos="9072"/>
      </w:tabs>
      <w:ind w:left="567"/>
    </w:pPr>
    <w:rPr>
      <w:szCs w:val="22"/>
    </w:rPr>
  </w:style>
  <w:style w:type="paragraph" w:customStyle="1" w:styleId="TOCBase">
    <w:name w:val="TOC Base"/>
    <w:rsid w:val="007D51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514C"/>
    <w:pPr>
      <w:tabs>
        <w:tab w:val="right" w:leader="dot" w:pos="9072"/>
      </w:tabs>
      <w:spacing w:before="40" w:after="40"/>
      <w:ind w:left="284"/>
    </w:pPr>
    <w:rPr>
      <w:rFonts w:ascii="Times New Roman" w:hAnsi="Times New Roman"/>
    </w:rPr>
  </w:style>
  <w:style w:type="paragraph" w:styleId="TOC1">
    <w:name w:val="toc 1"/>
    <w:basedOn w:val="TOCBase"/>
    <w:next w:val="Normal"/>
    <w:rsid w:val="007D51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51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514C"/>
    <w:rPr>
      <w:rFonts w:ascii="Times New Roman" w:eastAsia="Times New Roman" w:hAnsi="Times New Roman" w:cs="Times New Roman"/>
      <w:sz w:val="16"/>
      <w:lang w:eastAsia="en-US"/>
    </w:rPr>
  </w:style>
  <w:style w:type="paragraph" w:styleId="Title">
    <w:name w:val="Title"/>
    <w:basedOn w:val="HeadingBase"/>
    <w:link w:val="TitleChar"/>
    <w:qFormat/>
    <w:rsid w:val="007D514C"/>
    <w:pPr>
      <w:spacing w:before="5040"/>
      <w:jc w:val="center"/>
    </w:pPr>
    <w:rPr>
      <w:sz w:val="48"/>
      <w:szCs w:val="72"/>
      <w:lang w:val="en-US"/>
    </w:rPr>
  </w:style>
  <w:style w:type="character" w:customStyle="1" w:styleId="TitleChar">
    <w:name w:val="Title Char"/>
    <w:basedOn w:val="DefaultParagraphFont"/>
    <w:link w:val="Title"/>
    <w:rsid w:val="007D51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514C"/>
    <w:pPr>
      <w:tabs>
        <w:tab w:val="left" w:pos="3600"/>
        <w:tab w:val="left" w:pos="3958"/>
      </w:tabs>
    </w:pPr>
  </w:style>
  <w:style w:type="paragraph" w:styleId="List">
    <w:name w:val="List"/>
    <w:basedOn w:val="BodyText"/>
    <w:next w:val="BodyText"/>
    <w:rsid w:val="007D514C"/>
    <w:pPr>
      <w:tabs>
        <w:tab w:val="left" w:pos="340"/>
      </w:tabs>
      <w:spacing w:before="60" w:after="60"/>
      <w:ind w:left="340" w:hanging="340"/>
    </w:pPr>
  </w:style>
  <w:style w:type="paragraph" w:customStyle="1" w:styleId="Note">
    <w:name w:val="Note"/>
    <w:basedOn w:val="BodyText"/>
    <w:rsid w:val="007D51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514C"/>
    <w:pPr>
      <w:framePr w:wrap="auto" w:hAnchor="text" w:y="6049"/>
    </w:pPr>
    <w:rPr>
      <w:color w:val="000000"/>
      <w:sz w:val="40"/>
    </w:rPr>
  </w:style>
  <w:style w:type="paragraph" w:customStyle="1" w:styleId="TOCTitle">
    <w:name w:val="TOCTitle"/>
    <w:basedOn w:val="Heading1"/>
    <w:rsid w:val="007D514C"/>
    <w:pPr>
      <w:spacing w:after="240"/>
      <w:jc w:val="center"/>
      <w:outlineLvl w:val="9"/>
    </w:pPr>
    <w:rPr>
      <w:caps/>
    </w:rPr>
  </w:style>
  <w:style w:type="paragraph" w:customStyle="1" w:styleId="Version">
    <w:name w:val="Version"/>
    <w:rsid w:val="007D51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514C"/>
    <w:pPr>
      <w:keepNext w:val="0"/>
      <w:tabs>
        <w:tab w:val="right" w:pos="4176"/>
      </w:tabs>
      <w:ind w:left="198" w:hanging="198"/>
    </w:pPr>
    <w:rPr>
      <w:rFonts w:ascii="Garamond" w:hAnsi="Garamond"/>
    </w:rPr>
  </w:style>
  <w:style w:type="paragraph" w:styleId="IndexHeading">
    <w:name w:val="index heading"/>
    <w:basedOn w:val="Normal"/>
    <w:next w:val="Index1"/>
    <w:semiHidden/>
    <w:rsid w:val="007D514C"/>
    <w:pPr>
      <w:spacing w:before="120" w:after="120"/>
    </w:pPr>
    <w:rPr>
      <w:rFonts w:ascii="Arial" w:hAnsi="Arial"/>
      <w:b/>
      <w:color w:val="918585"/>
      <w:sz w:val="24"/>
    </w:rPr>
  </w:style>
  <w:style w:type="paragraph" w:styleId="Header">
    <w:name w:val="header"/>
    <w:basedOn w:val="Normal"/>
    <w:link w:val="HeaderChar"/>
    <w:rsid w:val="007D51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514C"/>
    <w:rPr>
      <w:rFonts w:ascii="Times New Roman" w:eastAsia="Times New Roman" w:hAnsi="Times New Roman" w:cs="Times New Roman"/>
      <w:sz w:val="16"/>
      <w:szCs w:val="20"/>
      <w:lang w:val="en-GB" w:eastAsia="en-US"/>
    </w:rPr>
  </w:style>
  <w:style w:type="paragraph" w:customStyle="1" w:styleId="Chapter">
    <w:name w:val="Chapter"/>
    <w:basedOn w:val="Normal"/>
    <w:rsid w:val="007D514C"/>
    <w:pPr>
      <w:spacing w:before="240"/>
    </w:pPr>
    <w:rPr>
      <w:rFonts w:ascii="Times New Roman" w:hAnsi="Times New Roman"/>
      <w:smallCaps/>
      <w:spacing w:val="80"/>
      <w:sz w:val="28"/>
    </w:rPr>
  </w:style>
  <w:style w:type="paragraph" w:customStyle="1" w:styleId="InChapter">
    <w:name w:val="InChapter"/>
    <w:basedOn w:val="Heading3"/>
    <w:rsid w:val="007D514C"/>
    <w:pPr>
      <w:spacing w:after="240"/>
      <w:outlineLvl w:val="9"/>
    </w:pPr>
    <w:rPr>
      <w:noProof/>
    </w:rPr>
  </w:style>
  <w:style w:type="paragraph" w:styleId="Index2">
    <w:name w:val="index 2"/>
    <w:basedOn w:val="Normal"/>
    <w:next w:val="Normal"/>
    <w:semiHidden/>
    <w:rsid w:val="007D514C"/>
    <w:pPr>
      <w:tabs>
        <w:tab w:val="right" w:pos="4176"/>
      </w:tabs>
      <w:ind w:left="568" w:hanging="284"/>
    </w:pPr>
    <w:rPr>
      <w:rFonts w:ascii="Garamond" w:hAnsi="Garamond"/>
    </w:rPr>
  </w:style>
  <w:style w:type="paragraph" w:customStyle="1" w:styleId="Byline">
    <w:name w:val="Byline"/>
    <w:rsid w:val="007D51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514C"/>
    <w:pPr>
      <w:tabs>
        <w:tab w:val="clear" w:pos="3600"/>
        <w:tab w:val="clear" w:pos="3958"/>
      </w:tabs>
      <w:jc w:val="right"/>
    </w:pPr>
  </w:style>
  <w:style w:type="character" w:styleId="Emphasis">
    <w:name w:val="Emphasis"/>
    <w:basedOn w:val="DefaultParagraphFont"/>
    <w:qFormat/>
    <w:rsid w:val="007D514C"/>
    <w:rPr>
      <w:i/>
    </w:rPr>
  </w:style>
  <w:style w:type="paragraph" w:styleId="Caption">
    <w:name w:val="caption"/>
    <w:basedOn w:val="BodyText"/>
    <w:next w:val="Normal"/>
    <w:qFormat/>
    <w:rsid w:val="007D514C"/>
    <w:pPr>
      <w:framePr w:w="2268" w:hSpace="181" w:vSpace="181" w:wrap="around" w:vAnchor="text" w:hAnchor="page" w:x="1135" w:y="285" w:anchorLock="1"/>
    </w:pPr>
    <w:rPr>
      <w:i/>
    </w:rPr>
  </w:style>
  <w:style w:type="paragraph" w:customStyle="1" w:styleId="MiniTOCTitle">
    <w:name w:val="MiniTOCTitle"/>
    <w:basedOn w:val="Heading4"/>
    <w:rsid w:val="007D514C"/>
    <w:pPr>
      <w:spacing w:before="240"/>
      <w:outlineLvl w:val="9"/>
    </w:pPr>
    <w:rPr>
      <w:noProof/>
      <w:sz w:val="24"/>
    </w:rPr>
  </w:style>
  <w:style w:type="paragraph" w:customStyle="1" w:styleId="MiniTOCItem">
    <w:name w:val="MiniTOCItem"/>
    <w:basedOn w:val="ListBullet"/>
    <w:rsid w:val="007D514C"/>
    <w:pPr>
      <w:numPr>
        <w:numId w:val="0"/>
      </w:numPr>
      <w:tabs>
        <w:tab w:val="right" w:leader="dot" w:pos="6521"/>
      </w:tabs>
      <w:spacing w:before="0" w:after="0"/>
    </w:pPr>
  </w:style>
  <w:style w:type="paragraph" w:customStyle="1" w:styleId="TOFTitle">
    <w:name w:val="TOFTitle"/>
    <w:basedOn w:val="TOCTitle"/>
    <w:rsid w:val="007D514C"/>
  </w:style>
  <w:style w:type="paragraph" w:styleId="TableofFigures">
    <w:name w:val="table of figures"/>
    <w:basedOn w:val="Normal"/>
    <w:next w:val="Normal"/>
    <w:semiHidden/>
    <w:rsid w:val="007D514C"/>
    <w:pPr>
      <w:tabs>
        <w:tab w:val="right" w:leader="dot" w:pos="9072"/>
      </w:tabs>
      <w:ind w:left="970" w:hanging="403"/>
    </w:pPr>
    <w:rPr>
      <w:rFonts w:ascii="Times New Roman" w:hAnsi="Times New Roman"/>
      <w:b/>
    </w:rPr>
  </w:style>
  <w:style w:type="paragraph" w:styleId="ListNumber">
    <w:name w:val="List Number"/>
    <w:basedOn w:val="List"/>
    <w:rsid w:val="007D514C"/>
    <w:pPr>
      <w:numPr>
        <w:numId w:val="11"/>
      </w:numPr>
    </w:pPr>
  </w:style>
  <w:style w:type="character" w:customStyle="1" w:styleId="WingdingSymbols">
    <w:name w:val="Wingding Symbols"/>
    <w:rsid w:val="007D514C"/>
    <w:rPr>
      <w:rFonts w:ascii="Wingdings" w:hAnsi="Wingdings"/>
    </w:rPr>
  </w:style>
  <w:style w:type="paragraph" w:customStyle="1" w:styleId="TableHeading">
    <w:name w:val="Table Heading"/>
    <w:basedOn w:val="HeadingBase"/>
    <w:rsid w:val="007D514C"/>
    <w:pPr>
      <w:keepLines/>
      <w:pBdr>
        <w:bottom w:val="single" w:sz="6" w:space="1" w:color="918585"/>
      </w:pBdr>
      <w:spacing w:before="240"/>
    </w:pPr>
  </w:style>
  <w:style w:type="character" w:customStyle="1" w:styleId="HotSpot">
    <w:name w:val="HotSpot"/>
    <w:rsid w:val="007D514C"/>
    <w:rPr>
      <w:color w:val="0033CC"/>
      <w:u w:val="none"/>
    </w:rPr>
  </w:style>
  <w:style w:type="paragraph" w:customStyle="1" w:styleId="BodyTextRight">
    <w:name w:val="Body Text Right"/>
    <w:basedOn w:val="BodyText"/>
    <w:rsid w:val="007D514C"/>
    <w:pPr>
      <w:spacing w:before="0" w:after="0"/>
      <w:jc w:val="right"/>
    </w:pPr>
  </w:style>
  <w:style w:type="paragraph" w:styleId="Index3">
    <w:name w:val="index 3"/>
    <w:basedOn w:val="ListNumber2"/>
    <w:next w:val="Normal"/>
    <w:semiHidden/>
    <w:rsid w:val="007D514C"/>
    <w:pPr>
      <w:numPr>
        <w:numId w:val="0"/>
      </w:numPr>
      <w:tabs>
        <w:tab w:val="right" w:leader="dot" w:pos="4176"/>
      </w:tabs>
    </w:pPr>
  </w:style>
  <w:style w:type="paragraph" w:styleId="ListNumber2">
    <w:name w:val="List Number 2"/>
    <w:basedOn w:val="List2"/>
    <w:rsid w:val="007D514C"/>
    <w:pPr>
      <w:numPr>
        <w:numId w:val="10"/>
      </w:numPr>
      <w:tabs>
        <w:tab w:val="clear" w:pos="1060"/>
      </w:tabs>
    </w:pPr>
  </w:style>
  <w:style w:type="paragraph" w:customStyle="1" w:styleId="MarginNote">
    <w:name w:val="Margin Note"/>
    <w:basedOn w:val="BodyText"/>
    <w:rsid w:val="007D51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51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51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514C"/>
    <w:rPr>
      <w:sz w:val="32"/>
    </w:rPr>
  </w:style>
  <w:style w:type="paragraph" w:customStyle="1" w:styleId="HeadingProcedure">
    <w:name w:val="Heading Procedure"/>
    <w:basedOn w:val="HeadingBase"/>
    <w:next w:val="Normal"/>
    <w:rsid w:val="007D514C"/>
    <w:pPr>
      <w:tabs>
        <w:tab w:val="left" w:pos="0"/>
      </w:tabs>
      <w:spacing w:before="120" w:after="60"/>
    </w:pPr>
    <w:rPr>
      <w:i/>
      <w:color w:val="918585"/>
      <w:sz w:val="22"/>
    </w:rPr>
  </w:style>
  <w:style w:type="paragraph" w:customStyle="1" w:styleId="TableBodyText">
    <w:name w:val="Table Body Text"/>
    <w:basedOn w:val="BodyText"/>
    <w:rsid w:val="007D514C"/>
    <w:pPr>
      <w:spacing w:before="60" w:after="60"/>
    </w:pPr>
  </w:style>
  <w:style w:type="paragraph" w:styleId="ListContinue">
    <w:name w:val="List Continue"/>
    <w:basedOn w:val="List"/>
    <w:rsid w:val="007D514C"/>
    <w:pPr>
      <w:ind w:firstLine="0"/>
    </w:pPr>
  </w:style>
  <w:style w:type="paragraph" w:customStyle="1" w:styleId="ListNote">
    <w:name w:val="List Note"/>
    <w:basedOn w:val="List"/>
    <w:rsid w:val="007D514C"/>
    <w:pPr>
      <w:pBdr>
        <w:top w:val="single" w:sz="6" w:space="2" w:color="918585"/>
        <w:bottom w:val="single" w:sz="6" w:space="2" w:color="918585"/>
      </w:pBdr>
      <w:tabs>
        <w:tab w:val="left" w:pos="1021"/>
      </w:tabs>
      <w:ind w:firstLine="0"/>
    </w:pPr>
  </w:style>
  <w:style w:type="paragraph" w:customStyle="1" w:styleId="Warning">
    <w:name w:val="Warning"/>
    <w:basedOn w:val="BodyText"/>
    <w:rsid w:val="007D514C"/>
    <w:pPr>
      <w:shd w:val="clear" w:color="auto" w:fill="D9D9D9"/>
      <w:tabs>
        <w:tab w:val="left" w:pos="992"/>
      </w:tabs>
      <w:ind w:left="119" w:right="119"/>
    </w:pPr>
    <w:rPr>
      <w:sz w:val="20"/>
    </w:rPr>
  </w:style>
  <w:style w:type="paragraph" w:customStyle="1" w:styleId="MarginIcons">
    <w:name w:val="Margin Icons"/>
    <w:basedOn w:val="BodyText"/>
    <w:rsid w:val="007D51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514C"/>
    <w:rPr>
      <w:rFonts w:ascii="Courier New" w:hAnsi="Courier New"/>
    </w:rPr>
  </w:style>
  <w:style w:type="paragraph" w:customStyle="1" w:styleId="NoteBullet">
    <w:name w:val="Note Bullet"/>
    <w:basedOn w:val="Note"/>
    <w:rsid w:val="007D514C"/>
    <w:pPr>
      <w:tabs>
        <w:tab w:val="clear" w:pos="680"/>
      </w:tabs>
      <w:spacing w:before="60" w:after="60"/>
    </w:pPr>
  </w:style>
  <w:style w:type="paragraph" w:customStyle="1" w:styleId="SubHeading2">
    <w:name w:val="SubHeading2"/>
    <w:basedOn w:val="HeadingBase"/>
    <w:rsid w:val="007D514C"/>
    <w:pPr>
      <w:spacing w:before="240" w:after="60"/>
    </w:pPr>
    <w:rPr>
      <w:sz w:val="20"/>
    </w:rPr>
  </w:style>
  <w:style w:type="paragraph" w:customStyle="1" w:styleId="SubHeading1">
    <w:name w:val="SubHeading1"/>
    <w:basedOn w:val="HeadingBase"/>
    <w:rsid w:val="007D514C"/>
    <w:pPr>
      <w:spacing w:before="240" w:after="60"/>
    </w:pPr>
    <w:rPr>
      <w:color w:val="918585"/>
      <w:sz w:val="22"/>
    </w:rPr>
  </w:style>
  <w:style w:type="paragraph" w:customStyle="1" w:styleId="SideHeading">
    <w:name w:val="Side Heading"/>
    <w:basedOn w:val="HeadingBase"/>
    <w:rsid w:val="007D51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514C"/>
    <w:pPr>
      <w:numPr>
        <w:numId w:val="12"/>
      </w:numPr>
    </w:pPr>
  </w:style>
  <w:style w:type="paragraph" w:styleId="PlainText">
    <w:name w:val="Plain Text"/>
    <w:basedOn w:val="Normal"/>
    <w:link w:val="PlainTextChar"/>
    <w:rsid w:val="007D514C"/>
    <w:rPr>
      <w:sz w:val="20"/>
    </w:rPr>
  </w:style>
  <w:style w:type="character" w:customStyle="1" w:styleId="PlainTextChar">
    <w:name w:val="Plain Text Char"/>
    <w:basedOn w:val="DefaultParagraphFont"/>
    <w:link w:val="PlainText"/>
    <w:rsid w:val="007D514C"/>
    <w:rPr>
      <w:rFonts w:ascii="Courier New" w:eastAsia="Times New Roman" w:hAnsi="Courier New" w:cs="Times New Roman"/>
      <w:sz w:val="20"/>
      <w:szCs w:val="20"/>
      <w:lang w:eastAsia="en-US"/>
    </w:rPr>
  </w:style>
  <w:style w:type="character" w:customStyle="1" w:styleId="MenuOption">
    <w:name w:val="Menu Option"/>
    <w:basedOn w:val="DefaultParagraphFont"/>
    <w:rsid w:val="007D514C"/>
    <w:rPr>
      <w:b/>
      <w:smallCaps/>
    </w:rPr>
  </w:style>
  <w:style w:type="paragraph" w:customStyle="1" w:styleId="TableListNumber">
    <w:name w:val="Table List Number"/>
    <w:basedOn w:val="ListNumber"/>
    <w:rsid w:val="007D514C"/>
    <w:pPr>
      <w:numPr>
        <w:numId w:val="0"/>
      </w:numPr>
    </w:pPr>
  </w:style>
  <w:style w:type="paragraph" w:styleId="TOC4">
    <w:name w:val="toc 4"/>
    <w:basedOn w:val="TOCBase"/>
    <w:next w:val="Normal"/>
    <w:semiHidden/>
    <w:rsid w:val="007D514C"/>
    <w:pPr>
      <w:tabs>
        <w:tab w:val="right" w:leader="dot" w:pos="9071"/>
      </w:tabs>
      <w:ind w:left="1701"/>
    </w:pPr>
  </w:style>
  <w:style w:type="paragraph" w:customStyle="1" w:styleId="ListAlpha">
    <w:name w:val="List Alpha"/>
    <w:basedOn w:val="List"/>
    <w:rsid w:val="007D514C"/>
    <w:pPr>
      <w:numPr>
        <w:numId w:val="9"/>
      </w:numPr>
    </w:pPr>
  </w:style>
  <w:style w:type="paragraph" w:customStyle="1" w:styleId="ListAlpha2">
    <w:name w:val="List Alpha 2"/>
    <w:basedOn w:val="List2"/>
    <w:rsid w:val="007D514C"/>
    <w:pPr>
      <w:numPr>
        <w:numId w:val="8"/>
      </w:numPr>
    </w:pPr>
  </w:style>
  <w:style w:type="paragraph" w:styleId="List2">
    <w:name w:val="List 2"/>
    <w:basedOn w:val="BodyText"/>
    <w:rsid w:val="007D514C"/>
    <w:pPr>
      <w:tabs>
        <w:tab w:val="left" w:pos="680"/>
      </w:tabs>
      <w:spacing w:before="60" w:after="60"/>
      <w:ind w:left="680" w:hanging="340"/>
    </w:pPr>
  </w:style>
  <w:style w:type="paragraph" w:styleId="List3">
    <w:name w:val="List 3"/>
    <w:basedOn w:val="BodyText"/>
    <w:rsid w:val="007D514C"/>
    <w:pPr>
      <w:tabs>
        <w:tab w:val="left" w:pos="1021"/>
      </w:tabs>
      <w:spacing w:before="60" w:after="60"/>
      <w:ind w:left="1020" w:hanging="340"/>
    </w:pPr>
  </w:style>
  <w:style w:type="paragraph" w:styleId="List4">
    <w:name w:val="List 4"/>
    <w:basedOn w:val="BodyText"/>
    <w:rsid w:val="007D514C"/>
    <w:pPr>
      <w:tabs>
        <w:tab w:val="left" w:pos="1361"/>
      </w:tabs>
      <w:spacing w:before="60" w:after="60"/>
      <w:ind w:left="1361" w:hanging="340"/>
    </w:pPr>
  </w:style>
  <w:style w:type="paragraph" w:styleId="List5">
    <w:name w:val="List 5"/>
    <w:basedOn w:val="BodyText"/>
    <w:rsid w:val="007D514C"/>
    <w:pPr>
      <w:tabs>
        <w:tab w:val="left" w:pos="1701"/>
      </w:tabs>
      <w:spacing w:before="60" w:after="60"/>
      <w:ind w:left="1701" w:hanging="340"/>
    </w:pPr>
  </w:style>
  <w:style w:type="paragraph" w:styleId="ListBullet3">
    <w:name w:val="List Bullet 3"/>
    <w:basedOn w:val="List3"/>
    <w:rsid w:val="007D514C"/>
    <w:pPr>
      <w:numPr>
        <w:numId w:val="15"/>
      </w:numPr>
      <w:tabs>
        <w:tab w:val="clear" w:pos="1021"/>
      </w:tabs>
      <w:ind w:left="1037" w:hanging="357"/>
    </w:pPr>
  </w:style>
  <w:style w:type="paragraph" w:styleId="ListBullet4">
    <w:name w:val="List Bullet 4"/>
    <w:basedOn w:val="List4"/>
    <w:rsid w:val="007D514C"/>
    <w:pPr>
      <w:numPr>
        <w:numId w:val="3"/>
      </w:numPr>
    </w:pPr>
  </w:style>
  <w:style w:type="paragraph" w:styleId="ListBullet5">
    <w:name w:val="List Bullet 5"/>
    <w:basedOn w:val="List5"/>
    <w:rsid w:val="007D514C"/>
    <w:pPr>
      <w:numPr>
        <w:numId w:val="4"/>
      </w:numPr>
    </w:pPr>
  </w:style>
  <w:style w:type="paragraph" w:styleId="ListContinue2">
    <w:name w:val="List Continue 2"/>
    <w:basedOn w:val="List2"/>
    <w:rsid w:val="007D514C"/>
    <w:pPr>
      <w:ind w:firstLine="0"/>
    </w:pPr>
  </w:style>
  <w:style w:type="paragraph" w:styleId="ListContinue3">
    <w:name w:val="List Continue 3"/>
    <w:basedOn w:val="List3"/>
    <w:rsid w:val="007D514C"/>
    <w:pPr>
      <w:ind w:left="1021" w:firstLine="0"/>
    </w:pPr>
  </w:style>
  <w:style w:type="paragraph" w:styleId="ListContinue4">
    <w:name w:val="List Continue 4"/>
    <w:basedOn w:val="List4"/>
    <w:rsid w:val="007D514C"/>
    <w:pPr>
      <w:ind w:firstLine="0"/>
    </w:pPr>
  </w:style>
  <w:style w:type="paragraph" w:styleId="ListContinue5">
    <w:name w:val="List Continue 5"/>
    <w:basedOn w:val="List5"/>
    <w:rsid w:val="007D514C"/>
    <w:pPr>
      <w:ind w:firstLine="0"/>
    </w:pPr>
  </w:style>
  <w:style w:type="paragraph" w:styleId="ListNumber3">
    <w:name w:val="List Number 3"/>
    <w:basedOn w:val="List3"/>
    <w:rsid w:val="007D514C"/>
    <w:pPr>
      <w:numPr>
        <w:numId w:val="5"/>
      </w:numPr>
    </w:pPr>
  </w:style>
  <w:style w:type="paragraph" w:styleId="ListNumber4">
    <w:name w:val="List Number 4"/>
    <w:basedOn w:val="List4"/>
    <w:rsid w:val="007D514C"/>
    <w:pPr>
      <w:numPr>
        <w:numId w:val="6"/>
      </w:numPr>
    </w:pPr>
  </w:style>
  <w:style w:type="paragraph" w:styleId="ListNumber5">
    <w:name w:val="List Number 5"/>
    <w:basedOn w:val="List5"/>
    <w:rsid w:val="007D514C"/>
    <w:pPr>
      <w:numPr>
        <w:numId w:val="7"/>
      </w:numPr>
    </w:pPr>
  </w:style>
  <w:style w:type="paragraph" w:styleId="BlockText">
    <w:name w:val="Block Text"/>
    <w:basedOn w:val="Normal"/>
    <w:rsid w:val="007D514C"/>
    <w:pPr>
      <w:spacing w:after="120"/>
      <w:ind w:left="1440" w:right="1440"/>
    </w:pPr>
  </w:style>
  <w:style w:type="character" w:customStyle="1" w:styleId="Subscript">
    <w:name w:val="Subscript"/>
    <w:basedOn w:val="DefaultParagraphFont"/>
    <w:rsid w:val="007D514C"/>
    <w:rPr>
      <w:sz w:val="16"/>
      <w:vertAlign w:val="subscript"/>
    </w:rPr>
  </w:style>
  <w:style w:type="character" w:customStyle="1" w:styleId="Superscript">
    <w:name w:val="Superscript"/>
    <w:basedOn w:val="DefaultParagraphFont"/>
    <w:rsid w:val="007D514C"/>
    <w:rPr>
      <w:sz w:val="16"/>
      <w:vertAlign w:val="superscript"/>
    </w:rPr>
  </w:style>
  <w:style w:type="character" w:customStyle="1" w:styleId="Symbols">
    <w:name w:val="Symbols"/>
    <w:basedOn w:val="DefaultParagraphFont"/>
    <w:rsid w:val="007D514C"/>
    <w:rPr>
      <w:rFonts w:ascii="Symbol" w:hAnsi="Symbol"/>
    </w:rPr>
  </w:style>
  <w:style w:type="character" w:customStyle="1" w:styleId="MenuOptions">
    <w:name w:val="Menu Options"/>
    <w:basedOn w:val="DefaultParagraphFont"/>
    <w:rsid w:val="007D514C"/>
    <w:rPr>
      <w:rFonts w:ascii="Arial Narrow" w:hAnsi="Arial Narrow"/>
      <w:smallCaps/>
    </w:rPr>
  </w:style>
  <w:style w:type="character" w:customStyle="1" w:styleId="Buttons">
    <w:name w:val="Buttons"/>
    <w:basedOn w:val="DefaultParagraphFont"/>
    <w:rsid w:val="007D514C"/>
    <w:rPr>
      <w:b/>
    </w:rPr>
  </w:style>
  <w:style w:type="character" w:customStyle="1" w:styleId="Underlined">
    <w:name w:val="Underlined"/>
    <w:basedOn w:val="DefaultParagraphFont"/>
    <w:rsid w:val="007D514C"/>
    <w:rPr>
      <w:u w:val="single"/>
    </w:rPr>
  </w:style>
  <w:style w:type="paragraph" w:customStyle="1" w:styleId="TableBodyTextRight">
    <w:name w:val="Table Body Text Right"/>
    <w:basedOn w:val="TableBodyText"/>
    <w:rsid w:val="007D514C"/>
    <w:pPr>
      <w:widowControl w:val="0"/>
      <w:autoSpaceDE w:val="0"/>
      <w:autoSpaceDN w:val="0"/>
      <w:adjustRightInd w:val="0"/>
      <w:jc w:val="right"/>
    </w:pPr>
    <w:rPr>
      <w:rFonts w:cs="Arial"/>
      <w:szCs w:val="18"/>
    </w:rPr>
  </w:style>
  <w:style w:type="paragraph" w:customStyle="1" w:styleId="CopyrightText">
    <w:name w:val="Copyright Text"/>
    <w:basedOn w:val="BodyText"/>
    <w:rsid w:val="007D514C"/>
    <w:rPr>
      <w:sz w:val="18"/>
    </w:rPr>
  </w:style>
  <w:style w:type="paragraph" w:customStyle="1" w:styleId="BodySmallRight">
    <w:name w:val="Body Small Right"/>
    <w:basedOn w:val="BodyTextRight"/>
    <w:rsid w:val="007D514C"/>
    <w:rPr>
      <w:sz w:val="18"/>
      <w:szCs w:val="18"/>
    </w:rPr>
  </w:style>
  <w:style w:type="paragraph" w:customStyle="1" w:styleId="MarginEdition">
    <w:name w:val="Margin Edition"/>
    <w:basedOn w:val="MarginNote"/>
    <w:rsid w:val="007D514C"/>
    <w:pPr>
      <w:spacing w:before="0" w:after="0"/>
    </w:pPr>
    <w:rPr>
      <w:rFonts w:ascii="Times New Roman" w:hAnsi="Times New Roman"/>
      <w:color w:val="999999"/>
    </w:rPr>
  </w:style>
  <w:style w:type="paragraph" w:customStyle="1" w:styleId="Spacer">
    <w:name w:val="Spacer"/>
    <w:basedOn w:val="Normal"/>
    <w:rsid w:val="007D514C"/>
    <w:rPr>
      <w:sz w:val="2"/>
      <w:szCs w:val="2"/>
    </w:rPr>
  </w:style>
  <w:style w:type="character" w:customStyle="1" w:styleId="Small">
    <w:name w:val="Small"/>
    <w:basedOn w:val="DefaultParagraphFont"/>
    <w:rsid w:val="007D514C"/>
    <w:rPr>
      <w:sz w:val="16"/>
    </w:rPr>
  </w:style>
  <w:style w:type="paragraph" w:customStyle="1" w:styleId="WideTable">
    <w:name w:val="Wide Table"/>
    <w:basedOn w:val="Normal"/>
    <w:rsid w:val="007D514C"/>
    <w:pPr>
      <w:ind w:left="-1418"/>
    </w:pPr>
    <w:rPr>
      <w:sz w:val="2"/>
      <w:szCs w:val="2"/>
    </w:rPr>
  </w:style>
  <w:style w:type="character" w:styleId="PageNumber">
    <w:name w:val="page number"/>
    <w:basedOn w:val="DefaultParagraphFont"/>
    <w:rsid w:val="007D514C"/>
  </w:style>
  <w:style w:type="paragraph" w:styleId="Quote">
    <w:name w:val="Quote"/>
    <w:basedOn w:val="Heading1"/>
    <w:link w:val="QuoteChar"/>
    <w:qFormat/>
    <w:rsid w:val="007D514C"/>
    <w:rPr>
      <w:b w:val="0"/>
      <w:sz w:val="72"/>
      <w:szCs w:val="72"/>
      <w:lang w:val="en-NZ"/>
    </w:rPr>
  </w:style>
  <w:style w:type="character" w:customStyle="1" w:styleId="QuoteChar">
    <w:name w:val="Quote Char"/>
    <w:basedOn w:val="DefaultParagraphFont"/>
    <w:link w:val="Quote"/>
    <w:rsid w:val="007D51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514C"/>
    <w:pPr>
      <w:pageBreakBefore/>
    </w:pPr>
  </w:style>
  <w:style w:type="paragraph" w:customStyle="1" w:styleId="Border">
    <w:name w:val="Border"/>
    <w:basedOn w:val="Normal"/>
    <w:qFormat/>
    <w:rsid w:val="007D51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514C"/>
    <w:rPr>
      <w:b/>
      <w:bCs/>
      <w:i/>
      <w:iCs/>
      <w:color w:val="auto"/>
    </w:rPr>
  </w:style>
  <w:style w:type="paragraph" w:styleId="IntenseQuote">
    <w:name w:val="Intense Quote"/>
    <w:basedOn w:val="Normal"/>
    <w:next w:val="Normal"/>
    <w:link w:val="IntenseQuoteChar"/>
    <w:uiPriority w:val="30"/>
    <w:qFormat/>
    <w:rsid w:val="007D51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51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514C"/>
    <w:rPr>
      <w:smallCaps/>
      <w:color w:val="auto"/>
      <w:u w:val="single"/>
    </w:rPr>
  </w:style>
  <w:style w:type="character" w:styleId="IntenseReference">
    <w:name w:val="Intense Reference"/>
    <w:basedOn w:val="DefaultParagraphFont"/>
    <w:uiPriority w:val="32"/>
    <w:qFormat/>
    <w:rsid w:val="007D514C"/>
    <w:rPr>
      <w:b/>
      <w:bCs/>
      <w:smallCaps/>
      <w:color w:val="auto"/>
      <w:spacing w:val="5"/>
      <w:u w:val="single"/>
    </w:rPr>
  </w:style>
  <w:style w:type="paragraph" w:customStyle="1" w:styleId="2ColumnHeading">
    <w:name w:val="2Column Heading"/>
    <w:basedOn w:val="BodyText"/>
    <w:qFormat/>
    <w:rsid w:val="007D514C"/>
    <w:pPr>
      <w:spacing w:after="60"/>
      <w:ind w:left="-2268"/>
    </w:pPr>
    <w:rPr>
      <w:b/>
    </w:rPr>
  </w:style>
  <w:style w:type="paragraph" w:customStyle="1" w:styleId="Heading1TOC">
    <w:name w:val="Heading1 TOC"/>
    <w:basedOn w:val="Normal"/>
    <w:qFormat/>
    <w:rsid w:val="007D514C"/>
    <w:pPr>
      <w:spacing w:before="240" w:after="120"/>
    </w:pPr>
    <w:rPr>
      <w:rFonts w:ascii="Times New Roman" w:hAnsi="Times New Roman"/>
      <w:b/>
      <w:sz w:val="32"/>
    </w:rPr>
  </w:style>
  <w:style w:type="paragraph" w:customStyle="1" w:styleId="Heading2TOC">
    <w:name w:val="Heading2 TOC"/>
    <w:basedOn w:val="Normal"/>
    <w:qFormat/>
    <w:rsid w:val="007D514C"/>
    <w:pPr>
      <w:spacing w:before="240" w:after="60"/>
    </w:pPr>
    <w:rPr>
      <w:rFonts w:ascii="Times New Roman" w:hAnsi="Times New Roman"/>
      <w:b/>
      <w:sz w:val="28"/>
    </w:rPr>
  </w:style>
  <w:style w:type="character" w:customStyle="1" w:styleId="Underline">
    <w:name w:val="Underline"/>
    <w:basedOn w:val="DefaultParagraphFont"/>
    <w:qFormat/>
    <w:rsid w:val="007D514C"/>
    <w:rPr>
      <w:u w:val="single"/>
    </w:rPr>
  </w:style>
  <w:style w:type="paragraph" w:styleId="BalloonText">
    <w:name w:val="Balloon Text"/>
    <w:basedOn w:val="Normal"/>
    <w:link w:val="BalloonTextChar"/>
    <w:rsid w:val="007D514C"/>
    <w:rPr>
      <w:rFonts w:ascii="Tahoma" w:hAnsi="Tahoma" w:cs="Tahoma"/>
      <w:sz w:val="16"/>
      <w:szCs w:val="16"/>
    </w:rPr>
  </w:style>
  <w:style w:type="character" w:customStyle="1" w:styleId="BalloonTextChar">
    <w:name w:val="Balloon Text Char"/>
    <w:basedOn w:val="DefaultParagraphFont"/>
    <w:link w:val="BalloonText"/>
    <w:rsid w:val="007D51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51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D51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514C"/>
    <w:rPr>
      <w:b/>
      <w:color w:val="660033"/>
      <w:spacing w:val="0"/>
    </w:rPr>
  </w:style>
  <w:style w:type="paragraph" w:customStyle="1" w:styleId="Nameditemlist">
    <w:name w:val="Named item list"/>
    <w:basedOn w:val="BodyText"/>
    <w:qFormat/>
    <w:rsid w:val="007D51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1057</Words>
  <Characters>6912</Characters>
  <Application>Microsoft Office Word</Application>
  <DocSecurity>0</DocSecurity>
  <Lines>291</Lines>
  <Paragraphs>180</Paragraphs>
  <ScaleCrop>false</ScaleCrop>
  <Company>Author-it Software Corporation Ltd.</Company>
  <LinksUpToDate>false</LinksUpToDate>
  <CharactersWithSpaces>7881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MARB2002A Service marine internal combustion engines and propulsion and auxiliary systems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2013-06-06T04:51:00Z</dcterms:created>
  <dcterms:modified xsi:type="dcterms:W3CDTF">2013-06-06T04:51:00Z</dcterms:modified>
</cp:coreProperties>
</file>