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D7F" w:rsidP="00C97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MARA4002A Manage vessel stability</w:t>
      </w:r>
      <w:r>
        <w:fldChar w:fldCharType="end"/>
      </w:r>
    </w:p>
    <w:p w:rsidR="00C97D7F" w:rsidP="00C97D7F">
      <w:pPr>
        <w:pStyle w:val="Version"/>
        <w:sectPr w:rsidSect="00B73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73ECD" w:rsidP="00B73ECD">
      <w:pPr>
        <w:pStyle w:val="SuperHeading"/>
      </w:pPr>
      <w:r w:rsidRPr="00B73ECD">
        <w:t>MARA4002A Manage vessel stability</w:t>
      </w:r>
    </w:p>
    <w:p w:rsidR="00000000" w:rsidRPr="00B73ECD" w:rsidP="00B73ECD">
      <w:pPr>
        <w:pStyle w:val="Heading1"/>
      </w:pPr>
      <w:bookmarkStart w:id="1" w:name="O_535666"/>
      <w:bookmarkEnd w:id="1"/>
      <w:r w:rsidRPr="00B73ECD">
        <w:t>Modification History</w:t>
      </w:r>
    </w:p>
    <w:p w:rsidR="00000000" w:rsidRPr="00B73ECD" w:rsidP="00B73ECD">
      <w:pPr>
        <w:pStyle w:val="BodyText"/>
      </w:pPr>
      <w:r w:rsidRPr="00B73ECD">
        <w:t>Release 1</w:t>
      </w:r>
      <w:r w:rsidRPr="00B73ECD">
        <w:br/>
        <w:t>This is the first release of this unit.</w:t>
      </w:r>
    </w:p>
    <w:p w:rsidR="00000000" w:rsidRPr="00B73ECD" w:rsidP="00B73ECD">
      <w:pPr>
        <w:pStyle w:val="BodyText"/>
      </w:pPr>
      <w:r w:rsidRPr="00B73ECD">
        <w:t>This unit replaces and is equivalent to TDMMA1207B Manage stress and dynamic factors affecting a small vessel’s stability.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2" w:name="O_535667"/>
      <w:bookmarkEnd w:id="2"/>
      <w:r w:rsidRPr="00B73ECD">
        <w:t>Unit Descriptor</w:t>
      </w:r>
    </w:p>
    <w:p w:rsidR="00000000" w:rsidRPr="00B73ECD" w:rsidP="00B73ECD">
      <w:pPr>
        <w:pStyle w:val="BodyText"/>
      </w:pPr>
      <w:r w:rsidRPr="00B73ECD">
        <w:t>This unit involves the skills</w:t>
      </w:r>
      <w:r w:rsidRPr="00B73ECD">
        <w:t xml:space="preserve"> and knowledge required to manage the dynamic factors affecting the stability of a vessel up to 80 metres.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3" w:name="O_535668"/>
      <w:bookmarkEnd w:id="3"/>
      <w:r w:rsidRPr="00B73ECD">
        <w:t>Application of the Unit</w:t>
      </w:r>
    </w:p>
    <w:p w:rsidR="00000000" w:rsidRPr="00B73ECD" w:rsidP="00B73ECD">
      <w:pPr>
        <w:pStyle w:val="BodyText"/>
      </w:pPr>
      <w:r w:rsidRPr="00B73ECD">
        <w:t>This unit applies to those working in the capacity of Master on a range of vessels up to 80 metres.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4" w:name="O_535669"/>
      <w:bookmarkEnd w:id="4"/>
      <w:r w:rsidRPr="00B73ECD">
        <w:t>Licensing/Regulatory Information</w:t>
      </w:r>
    </w:p>
    <w:p w:rsidR="00000000" w:rsidRPr="00B73ECD" w:rsidP="00B73ECD">
      <w:pPr>
        <w:pStyle w:val="BodyText"/>
      </w:pPr>
      <w:r w:rsidRPr="00B73ECD">
        <w:t>Not applicable.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5" w:name="O_535670"/>
      <w:bookmarkEnd w:id="5"/>
      <w:r w:rsidRPr="00B73ECD">
        <w:t>Pre-Requisites</w:t>
      </w:r>
    </w:p>
    <w:p w:rsidR="00000000" w:rsidRPr="00B73ECD" w:rsidP="00B73ECD">
      <w:pPr>
        <w:pStyle w:val="BodyText"/>
      </w:pPr>
      <w:r w:rsidRPr="00B73ECD">
        <w:t>Not applicable.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6" w:name="O_535671"/>
      <w:bookmarkEnd w:id="6"/>
      <w:r w:rsidRPr="00B73ECD">
        <w:t>Employability Skills Information</w:t>
      </w:r>
    </w:p>
    <w:p w:rsidR="00000000" w:rsidRPr="00B73ECD" w:rsidP="00B73ECD">
      <w:pPr>
        <w:pStyle w:val="BodyText"/>
      </w:pPr>
      <w:r w:rsidRPr="00B73ECD">
        <w:t>This unit contains employability skills.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7" w:name="O_535672"/>
      <w:bookmarkEnd w:id="7"/>
      <w:r w:rsidRPr="00B73ECD">
        <w:t>Elements and Performance Criteria Pre-Cont</w:t>
      </w:r>
      <w:r w:rsidRPr="00B73ECD">
        <w:t>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73ECD" w:rsidP="00B73ECD">
      <w:pPr>
        <w:pStyle w:val="BodyText"/>
      </w:pP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8" w:name="O_535673"/>
      <w:bookmarkEnd w:id="8"/>
      <w:r w:rsidRPr="00B73EC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Calculate stability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Vessel stability data book is made available and checked for endorsement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 xml:space="preserve">Data is interpreted to determine safety parameters for vessel 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Stability is accurately calculated using data extracted from vessel stability data book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BoldandItalics"/>
              </w:rPr>
              <w:t>Stability calculations</w:t>
            </w:r>
            <w:r w:rsidRPr="00B73ECD">
              <w:t xml:space="preserve"> are checked to ensure they correlate with data set out in vessel stability book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Miscalculations or unsafe conditions are recognised</w:t>
            </w:r>
            <w:r w:rsidRPr="00B73ECD">
              <w:t xml:space="preserve"> and recalculated or checked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Calculated stability data is recorded using appropriate units and correct number of significant figures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Control vessel stress and stability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 xml:space="preserve">Information from vessel stability information is used to determine </w:t>
            </w:r>
            <w:r w:rsidRPr="00B73ECD">
              <w:rPr>
                <w:rStyle w:val="BoldandItalics"/>
              </w:rPr>
              <w:t xml:space="preserve">loading limits </w:t>
            </w:r>
            <w:r w:rsidRPr="00B73ECD">
              <w:t>and displacement from draft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Vessel weight distribution is managed to maintain stability condition within safe limits at all times and regulatory requirements are complied with under all conditions of loading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 xml:space="preserve">Relevant stability </w:t>
            </w:r>
            <w:r w:rsidRPr="00B73ECD">
              <w:t>information is correctly communicated to others as required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Stability conditions of vessel are managed in adverse weather conditions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BoldandItalics"/>
              </w:rPr>
              <w:t xml:space="preserve">Emergencies </w:t>
            </w:r>
            <w:r w:rsidRPr="00B73ECD">
              <w:t>that may jeopardise vessel stability are recognised and appropriate action is taken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Maintain records of stability management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Data and information related to stability management is accurately recorded</w:t>
            </w:r>
          </w:p>
        </w:tc>
      </w:tr>
      <w:tr w:rsidTr="00C97D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Data and information related to stability management is filed and stored according to organisational procedures</w:t>
            </w:r>
          </w:p>
        </w:tc>
      </w:tr>
    </w:tbl>
    <w:p w:rsidR="00000000" w:rsidRPr="00B73ECD" w:rsidP="00B73ECD">
      <w:pPr>
        <w:pStyle w:val="BodyText"/>
      </w:pP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9" w:name="O_535674"/>
      <w:bookmarkEnd w:id="9"/>
      <w:r w:rsidRPr="00B73ECD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This section describes the skills and knowledge required for this unit.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Required Skills: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Carry out basic calculations associated with maintaining vessel stability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Manage loading and weight distribution of vessel to ensure assigned load line conditions are not exceeded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Manage stability of vessel in a range of conditions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ListBullet"/>
            </w:pPr>
            <w:r w:rsidRPr="00B73ECD">
              <w:t>Recognise problems affecting vessel stability</w:t>
            </w:r>
          </w:p>
        </w:tc>
      </w:tr>
    </w:tbl>
    <w:p w:rsidR="00000000" w:rsidRPr="00B73ECD" w:rsidP="00B73ECD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Required Knowledge: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Bilging and permeability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Centroids and centre of gravity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Change of draught and trim (MCT)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Conditions of stable, neutral and unstable equilibrium and effects of disturbing vessel from upright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Construction features and stress characteristics for vessels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Density and specific gravity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Dockwater and freshwater allowance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Effects of free surface of liquids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Factors that affect the rolling period of vessel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Forces and moments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Information contained in stability data books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Loading and discharging weights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Principal stresses that act on the structure of a vessel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Principles of vessel stability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Procedures for carrying out basic calculations associated with vessel stability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Relationship between light displacement, loaded displacement and deadweight ton</w:t>
            </w:r>
            <w:r w:rsidRPr="00B73ECD">
              <w:t>nage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Stability curves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Steps involved in bring an unstable vessel to a stable condition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Tonnes per centimetre immersion (TPC)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Transverse and longitudinal dynamics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ListBullet"/>
            </w:pPr>
            <w:r w:rsidRPr="00B73ECD">
              <w:t xml:space="preserve">Work health and safety (WHS)/occupational health and safety (OHS) requirements and </w:t>
            </w:r>
            <w:r w:rsidRPr="00B73ECD">
              <w:t>work practices</w:t>
            </w:r>
          </w:p>
        </w:tc>
      </w:tr>
    </w:tbl>
    <w:p w:rsidR="00C97D7F" w:rsidP="00B73ECD">
      <w:pPr>
        <w:pStyle w:val="BodyText"/>
      </w:pPr>
    </w:p>
    <w:p w:rsidR="00C97D7F" w:rsidP="00B73ECD">
      <w:pPr>
        <w:pStyle w:val="BodyText"/>
      </w:pPr>
    </w:p>
    <w:p w:rsidR="00000000" w:rsidRPr="00B73ECD" w:rsidP="00B73ECD">
      <w:pPr>
        <w:pStyle w:val="Heading1"/>
      </w:pPr>
      <w:bookmarkStart w:id="10" w:name="O_535675"/>
      <w:bookmarkEnd w:id="10"/>
      <w:r w:rsidRPr="00B73EC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B73E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The evidence guide provides advice on assessment and must be read in conjunction with the performance criteria, the required skills and knowledge, the range statement and the Assessment Guid</w:t>
            </w:r>
            <w:r w:rsidRPr="00B73ECD">
              <w:t>elines for the Training Package.</w:t>
            </w:r>
          </w:p>
        </w:tc>
      </w:tr>
      <w:tr w:rsidTr="00B73E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B73ECD" w:rsidP="00B73ECD">
            <w:pPr>
              <w:pStyle w:val="ListBullet"/>
            </w:pPr>
            <w:r w:rsidRPr="00B73ECD">
              <w:t>attention to appropriate level of detail in record</w:t>
            </w:r>
            <w:r w:rsidRPr="00B73ECD">
              <w:t xml:space="preserve">keeping </w:t>
            </w:r>
          </w:p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producing reliable documentation.</w:t>
            </w:r>
          </w:p>
        </w:tc>
      </w:tr>
      <w:tr w:rsidTr="00B73E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Performance is demonstrated consistently over time and in a suitable range of contexts.</w:t>
            </w:r>
          </w:p>
          <w:p w:rsidR="00000000" w:rsidRPr="00B73ECD" w:rsidP="00B73ECD">
            <w:pPr>
              <w:pStyle w:val="BodyText"/>
            </w:pPr>
            <w:r w:rsidRPr="00B73ECD">
              <w:t>Resources for assessment include access to:</w:t>
            </w:r>
          </w:p>
          <w:p w:rsidR="00000000" w:rsidRPr="00B73ECD" w:rsidP="00B73ECD">
            <w:pPr>
              <w:pStyle w:val="ListBullet"/>
            </w:pPr>
            <w:r w:rsidRPr="00B73ECD">
              <w:t>industry-approved marine opera</w:t>
            </w:r>
            <w:r w:rsidRPr="00B73ECD">
              <w:t>tions site or simulation where managing stability of a vessel up to 80 metres may be demonstrated</w:t>
            </w:r>
          </w:p>
          <w:p w:rsidR="00000000" w:rsidRPr="00B73ECD" w:rsidP="00B73ECD">
            <w:pPr>
              <w:pStyle w:val="ListBullet"/>
            </w:pPr>
            <w:r w:rsidRPr="00B73ECD">
              <w:t>tools, equipment and personal protective equipment currently used in industry</w:t>
            </w:r>
          </w:p>
          <w:p w:rsidR="00000000" w:rsidRPr="00B73ECD" w:rsidP="00B73ECD">
            <w:pPr>
              <w:pStyle w:val="ListBullet"/>
            </w:pPr>
            <w:r w:rsidRPr="00B73ECD">
              <w:t>relevant regulatory and equipment documentation that impacts on work activities</w:t>
            </w:r>
          </w:p>
          <w:p w:rsidR="00000000" w:rsidRPr="00B73ECD" w:rsidP="00B73ECD">
            <w:pPr>
              <w:pStyle w:val="ListBullet"/>
            </w:pPr>
            <w:r w:rsidRPr="00B73ECD">
              <w:t>range of relevant exercises, case studies and/or other simulated practical and knowledge assessments</w:t>
            </w:r>
          </w:p>
          <w:p w:rsidR="00000000" w:rsidRPr="00B73ECD" w:rsidP="00B73ECD">
            <w:pPr>
              <w:pStyle w:val="ListBullet"/>
            </w:pPr>
            <w:r w:rsidRPr="00B73ECD">
              <w:t>appropriate range of relevant operational situations in the workplace.</w:t>
            </w:r>
          </w:p>
          <w:p w:rsidR="00000000" w:rsidRPr="00B73ECD" w:rsidP="00B73ECD">
            <w:pPr>
              <w:pStyle w:val="BodyText"/>
            </w:pPr>
            <w:r w:rsidRPr="00B73ECD">
              <w:t>In both real and simulated environments, access is required to:</w:t>
            </w:r>
          </w:p>
          <w:p w:rsidR="00000000" w:rsidRPr="00B73ECD" w:rsidP="00B73ECD">
            <w:pPr>
              <w:pStyle w:val="ListBullet"/>
            </w:pPr>
            <w:r w:rsidRPr="00B73ECD">
              <w:t>relevant and approp</w:t>
            </w:r>
            <w:r w:rsidRPr="00B73ECD">
              <w:t>riate materials and equipment</w:t>
            </w:r>
          </w:p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applicable documentation including workplace procedures, regulations, codes of practice and operation manuals.</w:t>
            </w:r>
          </w:p>
        </w:tc>
      </w:tr>
      <w:tr w:rsidTr="00B73E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Practical assessment must occur in an:</w:t>
            </w:r>
          </w:p>
          <w:p w:rsidR="00000000" w:rsidRPr="00B73ECD" w:rsidP="00B73ECD">
            <w:pPr>
              <w:pStyle w:val="ListBullet"/>
            </w:pPr>
            <w:r w:rsidRPr="00B73ECD">
              <w:t>appropriately simulated workplace environment and/or</w:t>
            </w:r>
          </w:p>
          <w:p w:rsidR="00000000" w:rsidRPr="00B73ECD" w:rsidP="00B73ECD">
            <w:pPr>
              <w:pStyle w:val="ListBullet"/>
            </w:pPr>
            <w:r w:rsidRPr="00B73ECD">
              <w:t>appropriate range of situations in the workplace.</w:t>
            </w:r>
          </w:p>
          <w:p w:rsidR="00000000" w:rsidRPr="00B73ECD" w:rsidP="00B73ECD">
            <w:pPr>
              <w:pStyle w:val="BodyText"/>
            </w:pPr>
            <w:r w:rsidRPr="00B73ECD">
              <w:t>A range of assessment methods should be used to assess practical skills and knowledge. The following examples are appropriate to this unit:</w:t>
            </w:r>
          </w:p>
          <w:p w:rsidR="00000000" w:rsidRPr="00B73ECD" w:rsidP="00B73ECD">
            <w:pPr>
              <w:pStyle w:val="ListBullet"/>
            </w:pPr>
            <w:r w:rsidRPr="00B73ECD">
              <w:t xml:space="preserve">direct observation of the candidate managing stability of vessel </w:t>
            </w:r>
            <w:r w:rsidRPr="00B73ECD">
              <w:t>up to 80 metres</w:t>
            </w:r>
          </w:p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direct observation of the candidate applying relevant WHS/OHS requirements and work practices.</w:t>
            </w:r>
          </w:p>
        </w:tc>
      </w:tr>
      <w:tr w:rsidTr="00B73EC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BodyText"/>
            </w:pPr>
            <w:r w:rsidRPr="00B73ECD">
              <w:t>Holistic assessment with other units relevant to the industry sector, workplace and job role is recommended.</w:t>
            </w:r>
          </w:p>
          <w:p w:rsidR="00000000" w:rsidRPr="00B73ECD" w:rsidP="00B73ECD">
            <w:pPr>
              <w:pStyle w:val="BodyText"/>
            </w:pPr>
            <w:r w:rsidRPr="00B73ECD">
              <w:t>In all cases where practical assessment is used it should be combined with targeted questioning to assess Required Knowledge.</w:t>
            </w:r>
          </w:p>
          <w:p w:rsidR="00000000" w:rsidRPr="00B73ECD" w:rsidP="00B73ECD">
            <w:pPr>
              <w:pStyle w:val="BodyText"/>
            </w:pPr>
            <w:r w:rsidRPr="00B73ECD">
              <w:t>Assessment processes and techniques must be appropriate to the language and literacy requirements of the work being performed and</w:t>
            </w:r>
            <w:r w:rsidRPr="00B73ECD">
              <w:t xml:space="preserve"> the capacity of the candidate.</w:t>
            </w:r>
          </w:p>
        </w:tc>
      </w:tr>
    </w:tbl>
    <w:p w:rsidR="00000000" w:rsidRPr="00B73ECD" w:rsidP="00B73ECD">
      <w:pPr>
        <w:pStyle w:val="BodyText"/>
      </w:pP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11" w:name="O_535676"/>
      <w:bookmarkEnd w:id="11"/>
      <w:r w:rsidRPr="00B73ECD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The range statement relates to the unit of competency as a whole. It allows for different work environments and situations that may affect performance. Bold italicised wording, if used in t</w:t>
            </w:r>
            <w:r w:rsidRPr="00B73ECD">
              <w:t>he performance criteria, is detailed below.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Stability calculations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ListBullet"/>
            </w:pPr>
            <w:r w:rsidRPr="00B73ECD">
              <w:t xml:space="preserve">Correlation against stability book data </w:t>
            </w:r>
          </w:p>
          <w:p w:rsidR="00000000" w:rsidRPr="00B73ECD" w:rsidP="00B73ECD">
            <w:pPr>
              <w:pStyle w:val="ListBullet"/>
            </w:pPr>
            <w:r w:rsidRPr="00B73ECD">
              <w:t>Draft</w:t>
            </w:r>
          </w:p>
          <w:p w:rsidR="00000000" w:rsidRPr="00B73ECD" w:rsidP="00B73ECD">
            <w:pPr>
              <w:pStyle w:val="ListBullet"/>
            </w:pPr>
            <w:r w:rsidRPr="00B73ECD">
              <w:t>Final KG</w:t>
            </w:r>
          </w:p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Trim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Loading limits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ListBullet"/>
            </w:pPr>
            <w:r w:rsidRPr="00B73ECD">
              <w:t>Not exceeding allowable passenger carrying capacity and distribution</w:t>
            </w:r>
          </w:p>
          <w:p w:rsidR="00000000" w:rsidRPr="00B73ECD" w:rsidP="00B73ECD">
            <w:pPr>
              <w:pStyle w:val="ListBullet"/>
            </w:pPr>
            <w:r w:rsidRPr="00B73ECD">
              <w:t>Not exceeding vessel designed cargo carrying capacity</w:t>
            </w:r>
          </w:p>
          <w:p w:rsidR="00000000" w:rsidP="00B73ECD">
            <w:pPr>
              <w:pStyle w:val="ListBullet"/>
              <w:rPr>
                <w:lang w:val="en-NZ"/>
              </w:rPr>
            </w:pPr>
            <w:r w:rsidRPr="00B73ECD">
              <w:t>Understanding the effect of fuel, fresh water and ballast on cargo capacity</w:t>
            </w:r>
          </w:p>
        </w:tc>
      </w:tr>
      <w:tr w:rsidTr="00C97D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ECD">
            <w:pPr>
              <w:pStyle w:val="BodyText"/>
              <w:rPr>
                <w:lang w:val="en-NZ"/>
              </w:rPr>
            </w:pPr>
            <w:r w:rsidRPr="00B73ECD">
              <w:t>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ECD" w:rsidP="00B73ECD">
            <w:pPr>
              <w:pStyle w:val="ListBullet"/>
            </w:pPr>
            <w:r w:rsidRPr="00B73ECD">
              <w:t>Cargo shift</w:t>
            </w:r>
          </w:p>
          <w:p w:rsidR="00000000" w:rsidRPr="00B73ECD" w:rsidP="00B73ECD">
            <w:pPr>
              <w:pStyle w:val="ListBullet"/>
            </w:pPr>
            <w:r w:rsidRPr="00B73ECD">
              <w:t>Damaged hull</w:t>
            </w:r>
          </w:p>
          <w:p w:rsidR="00000000" w:rsidRPr="00B73ECD" w:rsidP="00B73ECD">
            <w:pPr>
              <w:pStyle w:val="ListBullet"/>
            </w:pPr>
            <w:r w:rsidRPr="00B73ECD">
              <w:t>Flooding of cargo spaces</w:t>
            </w:r>
          </w:p>
        </w:tc>
      </w:tr>
    </w:tbl>
    <w:p w:rsidR="00000000" w:rsidRPr="00B73ECD" w:rsidP="00B73ECD">
      <w:pPr>
        <w:pStyle w:val="BodyText"/>
      </w:pP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12" w:name="O_535677"/>
      <w:bookmarkEnd w:id="12"/>
      <w:r w:rsidRPr="00B73ECD">
        <w:t>Unit Sector(s)</w:t>
      </w:r>
    </w:p>
    <w:p w:rsidR="00000000" w:rsidRPr="00B73ECD" w:rsidP="00B73ECD">
      <w:pPr>
        <w:pStyle w:val="BodyText"/>
      </w:pPr>
      <w:r w:rsidRPr="00B73ECD">
        <w:t>Not applicable.</w:t>
      </w:r>
    </w:p>
    <w:p w:rsidR="00000000" w:rsidRPr="00B73ECD" w:rsidP="00B73ECD">
      <w:pPr>
        <w:pStyle w:val="AllowPageBreak"/>
      </w:pPr>
    </w:p>
    <w:p w:rsidR="00000000" w:rsidRPr="00B73ECD" w:rsidP="00B73ECD">
      <w:pPr>
        <w:pStyle w:val="Heading1"/>
      </w:pPr>
      <w:bookmarkStart w:id="13" w:name="O_535678"/>
      <w:bookmarkEnd w:id="13"/>
      <w:r w:rsidRPr="00B73ECD">
        <w:t>Competency Field</w:t>
      </w:r>
    </w:p>
    <w:p w:rsidR="00000000" w:rsidRPr="00B73ECD" w:rsidP="00B73ECD">
      <w:pPr>
        <w:pStyle w:val="BodyText"/>
      </w:pPr>
      <w:r w:rsidRPr="00B73ECD">
        <w:t xml:space="preserve">Handling Cargo and Vessel Stability </w:t>
      </w:r>
    </w:p>
    <w:p w:rsidR="00000000" w:rsidRPr="00B73ECD" w:rsidP="00B73ECD"/>
    <w:sectPr w:rsidSect="00B73E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 w:rsidRPr="00C97D7F" w:rsidP="00C97D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7F" w:rsidP="00B73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97D7F" w:rsidP="00B73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97D7F" w:rsidP="00B73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 w:rsidRPr="00C97D7F" w:rsidP="00C97D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D7F" w:rsidRPr="002D2AF8" w:rsidP="00B73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MARA4002A Manage vessel stability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C97D7F" w:rsidP="00B73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50A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FC6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ECD"/>
  </w:style>
  <w:style w:type="character" w:customStyle="1" w:styleId="Heading1Char">
    <w:name w:val="Heading 1 Char"/>
    <w:basedOn w:val="DefaultParagraphFont"/>
    <w:link w:val="Heading1"/>
    <w:rsid w:val="00B73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E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E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ECD"/>
    <w:rPr>
      <w:b/>
      <w:spacing w:val="0"/>
    </w:rPr>
  </w:style>
  <w:style w:type="paragraph" w:customStyle="1" w:styleId="SuperHeading">
    <w:name w:val="SuperHeading"/>
    <w:basedOn w:val="Normal"/>
    <w:rsid w:val="00B73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73EC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73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EC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E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ECD"/>
    <w:rPr>
      <w:i/>
    </w:rPr>
  </w:style>
  <w:style w:type="paragraph" w:styleId="Caption">
    <w:name w:val="caption"/>
    <w:basedOn w:val="BodyText"/>
    <w:next w:val="Normal"/>
    <w:qFormat/>
    <w:rsid w:val="00B73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ECD"/>
  </w:style>
  <w:style w:type="paragraph" w:styleId="TableofFigures">
    <w:name w:val="table of figures"/>
    <w:basedOn w:val="Normal"/>
    <w:next w:val="Normal"/>
    <w:semiHidden/>
    <w:rsid w:val="00B73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ECD"/>
    <w:pPr>
      <w:numPr>
        <w:numId w:val="10"/>
      </w:numPr>
    </w:pPr>
  </w:style>
  <w:style w:type="character" w:customStyle="1" w:styleId="WingdingSymbols">
    <w:name w:val="Wingding Symbols"/>
    <w:rsid w:val="00B73ECD"/>
    <w:rPr>
      <w:rFonts w:ascii="Wingdings" w:hAnsi="Wingdings"/>
    </w:rPr>
  </w:style>
  <w:style w:type="paragraph" w:customStyle="1" w:styleId="TableHeading">
    <w:name w:val="Table Heading"/>
    <w:basedOn w:val="HeadingBase"/>
    <w:rsid w:val="00B73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ECD"/>
    <w:rPr>
      <w:color w:val="0033CC"/>
      <w:u w:val="none"/>
    </w:rPr>
  </w:style>
  <w:style w:type="paragraph" w:customStyle="1" w:styleId="BodyTextRight">
    <w:name w:val="Body Text Right"/>
    <w:basedOn w:val="BodyText"/>
    <w:rsid w:val="00B73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E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ECD"/>
    <w:rPr>
      <w:sz w:val="32"/>
    </w:rPr>
  </w:style>
  <w:style w:type="paragraph" w:customStyle="1" w:styleId="HeadingProcedure">
    <w:name w:val="Heading Procedure"/>
    <w:basedOn w:val="HeadingBase"/>
    <w:next w:val="Normal"/>
    <w:rsid w:val="00B73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ECD"/>
    <w:pPr>
      <w:spacing w:before="60" w:after="60"/>
    </w:pPr>
  </w:style>
  <w:style w:type="paragraph" w:styleId="ListContinue">
    <w:name w:val="List Continue"/>
    <w:basedOn w:val="List"/>
    <w:rsid w:val="00B73ECD"/>
    <w:pPr>
      <w:ind w:firstLine="0"/>
    </w:pPr>
  </w:style>
  <w:style w:type="paragraph" w:customStyle="1" w:styleId="ListNote">
    <w:name w:val="List Note"/>
    <w:basedOn w:val="List"/>
    <w:rsid w:val="00B73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ECD"/>
    <w:rPr>
      <w:rFonts w:ascii="Courier New" w:hAnsi="Courier New"/>
    </w:rPr>
  </w:style>
  <w:style w:type="paragraph" w:customStyle="1" w:styleId="NoteBullet">
    <w:name w:val="Note Bullet"/>
    <w:basedOn w:val="Note"/>
    <w:rsid w:val="00B73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ECD"/>
    <w:rPr>
      <w:b/>
      <w:smallCaps/>
    </w:rPr>
  </w:style>
  <w:style w:type="paragraph" w:customStyle="1" w:styleId="TableListNumber">
    <w:name w:val="Table List Number"/>
    <w:basedOn w:val="ListNumber"/>
    <w:rsid w:val="00B73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ECD"/>
    <w:pPr>
      <w:numPr>
        <w:numId w:val="8"/>
      </w:numPr>
    </w:pPr>
  </w:style>
  <w:style w:type="paragraph" w:customStyle="1" w:styleId="ListAlpha2">
    <w:name w:val="List Alpha 2"/>
    <w:basedOn w:val="List2"/>
    <w:rsid w:val="00B73ECD"/>
    <w:pPr>
      <w:numPr>
        <w:numId w:val="7"/>
      </w:numPr>
    </w:pPr>
  </w:style>
  <w:style w:type="paragraph" w:styleId="List2">
    <w:name w:val="List 2"/>
    <w:basedOn w:val="BodyText"/>
    <w:rsid w:val="00B73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ECD"/>
    <w:pPr>
      <w:numPr>
        <w:numId w:val="2"/>
      </w:numPr>
    </w:pPr>
  </w:style>
  <w:style w:type="paragraph" w:styleId="ListBullet5">
    <w:name w:val="List Bullet 5"/>
    <w:basedOn w:val="List5"/>
    <w:rsid w:val="00B73ECD"/>
    <w:pPr>
      <w:numPr>
        <w:numId w:val="3"/>
      </w:numPr>
    </w:pPr>
  </w:style>
  <w:style w:type="paragraph" w:styleId="ListContinue2">
    <w:name w:val="List Continue 2"/>
    <w:basedOn w:val="List2"/>
    <w:rsid w:val="00B73ECD"/>
    <w:pPr>
      <w:ind w:firstLine="0"/>
    </w:pPr>
  </w:style>
  <w:style w:type="paragraph" w:styleId="ListContinue3">
    <w:name w:val="List Continue 3"/>
    <w:basedOn w:val="List3"/>
    <w:rsid w:val="00B73ECD"/>
    <w:pPr>
      <w:ind w:left="1021" w:firstLine="0"/>
    </w:pPr>
  </w:style>
  <w:style w:type="paragraph" w:styleId="ListContinue4">
    <w:name w:val="List Continue 4"/>
    <w:basedOn w:val="List4"/>
    <w:rsid w:val="00B73ECD"/>
    <w:pPr>
      <w:ind w:firstLine="0"/>
    </w:pPr>
  </w:style>
  <w:style w:type="paragraph" w:styleId="ListContinue5">
    <w:name w:val="List Continue 5"/>
    <w:basedOn w:val="List5"/>
    <w:rsid w:val="00B73ECD"/>
    <w:pPr>
      <w:ind w:firstLine="0"/>
    </w:pPr>
  </w:style>
  <w:style w:type="paragraph" w:styleId="ListNumber3">
    <w:name w:val="List Number 3"/>
    <w:basedOn w:val="List3"/>
    <w:rsid w:val="00B73ECD"/>
    <w:pPr>
      <w:numPr>
        <w:numId w:val="4"/>
      </w:numPr>
    </w:pPr>
  </w:style>
  <w:style w:type="paragraph" w:styleId="ListNumber4">
    <w:name w:val="List Number 4"/>
    <w:basedOn w:val="List4"/>
    <w:rsid w:val="00B73ECD"/>
    <w:pPr>
      <w:numPr>
        <w:numId w:val="5"/>
      </w:numPr>
    </w:pPr>
  </w:style>
  <w:style w:type="paragraph" w:styleId="ListNumber5">
    <w:name w:val="List Number 5"/>
    <w:basedOn w:val="List5"/>
    <w:rsid w:val="00B73ECD"/>
    <w:pPr>
      <w:numPr>
        <w:numId w:val="6"/>
      </w:numPr>
    </w:pPr>
  </w:style>
  <w:style w:type="paragraph" w:styleId="BlockText">
    <w:name w:val="Block Text"/>
    <w:basedOn w:val="Normal"/>
    <w:rsid w:val="00B73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ECD"/>
    <w:rPr>
      <w:sz w:val="16"/>
      <w:vertAlign w:val="superscript"/>
    </w:rPr>
  </w:style>
  <w:style w:type="character" w:customStyle="1" w:styleId="Symbols">
    <w:name w:val="Symbols"/>
    <w:basedOn w:val="DefaultParagraphFont"/>
    <w:rsid w:val="00B73ECD"/>
    <w:rPr>
      <w:rFonts w:ascii="Symbol" w:hAnsi="Symbol"/>
    </w:rPr>
  </w:style>
  <w:style w:type="character" w:customStyle="1" w:styleId="MenuOptions">
    <w:name w:val="Menu Options"/>
    <w:basedOn w:val="DefaultParagraphFont"/>
    <w:rsid w:val="00B73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ECD"/>
    <w:rPr>
      <w:b/>
    </w:rPr>
  </w:style>
  <w:style w:type="character" w:customStyle="1" w:styleId="Underlined">
    <w:name w:val="Underlined"/>
    <w:basedOn w:val="DefaultParagraphFont"/>
    <w:rsid w:val="00B73ECD"/>
    <w:rPr>
      <w:u w:val="single"/>
    </w:rPr>
  </w:style>
  <w:style w:type="paragraph" w:customStyle="1" w:styleId="TableBodyTextRight">
    <w:name w:val="Table Body Text Right"/>
    <w:basedOn w:val="TableBodyText"/>
    <w:rsid w:val="00B73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ECD"/>
    <w:rPr>
      <w:sz w:val="18"/>
    </w:rPr>
  </w:style>
  <w:style w:type="paragraph" w:customStyle="1" w:styleId="BodySmallRight">
    <w:name w:val="Body Small Right"/>
    <w:basedOn w:val="BodyTextRight"/>
    <w:rsid w:val="00B73ECD"/>
    <w:rPr>
      <w:sz w:val="18"/>
      <w:szCs w:val="18"/>
    </w:rPr>
  </w:style>
  <w:style w:type="paragraph" w:customStyle="1" w:styleId="MarginEdition">
    <w:name w:val="Margin Edition"/>
    <w:basedOn w:val="MarginNote"/>
    <w:rsid w:val="00B73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ECD"/>
    <w:rPr>
      <w:sz w:val="2"/>
      <w:szCs w:val="2"/>
    </w:rPr>
  </w:style>
  <w:style w:type="character" w:customStyle="1" w:styleId="Small">
    <w:name w:val="Small"/>
    <w:basedOn w:val="DefaultParagraphFont"/>
    <w:rsid w:val="00B73ECD"/>
    <w:rPr>
      <w:sz w:val="16"/>
    </w:rPr>
  </w:style>
  <w:style w:type="paragraph" w:customStyle="1" w:styleId="WideTable">
    <w:name w:val="Wide Table"/>
    <w:basedOn w:val="Normal"/>
    <w:rsid w:val="00B73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ECD"/>
  </w:style>
  <w:style w:type="paragraph" w:styleId="Quote">
    <w:name w:val="Quote"/>
    <w:basedOn w:val="Heading1"/>
    <w:link w:val="QuoteChar"/>
    <w:qFormat/>
    <w:rsid w:val="00B73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ECD"/>
    <w:pPr>
      <w:pageBreakBefore/>
    </w:pPr>
  </w:style>
  <w:style w:type="paragraph" w:customStyle="1" w:styleId="Border">
    <w:name w:val="Border"/>
    <w:basedOn w:val="Normal"/>
    <w:qFormat/>
    <w:rsid w:val="00B73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ECD"/>
    <w:rPr>
      <w:u w:val="single"/>
    </w:rPr>
  </w:style>
  <w:style w:type="paragraph" w:styleId="BalloonText">
    <w:name w:val="Balloon Text"/>
    <w:basedOn w:val="Normal"/>
    <w:link w:val="BalloonTextChar"/>
    <w:rsid w:val="00B73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E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E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980</Words>
  <Characters>6037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MARA4002A Manage vessel stability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2013-06-06T05:11:00Z</dcterms:created>
  <dcterms:modified xsi:type="dcterms:W3CDTF">2013-06-06T05:11:00Z</dcterms:modified>
</cp:coreProperties>
</file>