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14A" w:rsidP="004C014A">
      <w:pPr>
        <w:pStyle w:val="Title"/>
      </w:pPr>
      <w:r>
        <w:fldChar w:fldCharType="begin"/>
      </w:r>
      <w:r>
        <w:instrText xml:space="preserve"> TITLE   \* MERGEFORMAT </w:instrText>
      </w:r>
      <w:r>
        <w:fldChar w:fldCharType="separate"/>
      </w:r>
      <w:r>
        <w:t>MARO011 Transmit and receive information by the Global Maritime Distress and Safety System (GMDSS)</w:t>
      </w:r>
      <w:r>
        <w:fldChar w:fldCharType="end"/>
      </w:r>
    </w:p>
    <w:p w:rsidR="004C014A" w:rsidP="004C014A">
      <w:pPr>
        <w:pStyle w:val="Version"/>
        <w:sectPr w:rsidSect="00615F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5FC1" w:rsidP="00615FC1">
      <w:pPr>
        <w:pStyle w:val="SuperHeading"/>
      </w:pPr>
      <w:r w:rsidRPr="00615FC1">
        <w:t>MARO011 Transmit and receive information by the Global Maritime Distress and Safety System (GMDSS)</w:t>
      </w:r>
    </w:p>
    <w:p w:rsidR="00000000" w:rsidRPr="00615FC1" w:rsidP="00615FC1">
      <w:pPr>
        <w:pStyle w:val="Heading1"/>
      </w:pPr>
      <w:bookmarkStart w:id="1" w:name="O_1089244"/>
      <w:bookmarkEnd w:id="1"/>
      <w:r w:rsidRPr="00615FC1">
        <w:t>Modification History</w:t>
      </w:r>
    </w:p>
    <w:tbl>
      <w:tblPr>
        <w:tblW w:w="9497" w:type="dxa"/>
        <w:tblLayout w:type="fixed"/>
        <w:tblCellMar>
          <w:left w:w="62" w:type="dxa"/>
          <w:right w:w="62" w:type="dxa"/>
        </w:tblCellMar>
        <w:tblLook w:val="0000"/>
      </w:tblPr>
      <w:tblGrid>
        <w:gridCol w:w="9497"/>
      </w:tblGrid>
      <w:tr w:rsidTr="00615F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5FC1" w:rsidP="00615FC1">
            <w:pPr>
              <w:pStyle w:val="BodyText"/>
            </w:pPr>
            <w:r w:rsidRPr="00615FC1">
              <w:t>Release 1. This is the first release of this unit of competency in the MAR Maritime Training Package.</w:t>
            </w:r>
          </w:p>
        </w:tc>
      </w:tr>
    </w:tbl>
    <w:p w:rsidR="00000000" w:rsidRPr="00615FC1" w:rsidP="00615FC1">
      <w:pPr>
        <w:pStyle w:val="NoPaddingFontSize1"/>
      </w:pPr>
    </w:p>
    <w:p w:rsidR="00000000" w:rsidRPr="00615FC1" w:rsidP="00615FC1">
      <w:pPr>
        <w:pStyle w:val="AllowPageBreak"/>
      </w:pPr>
    </w:p>
    <w:p w:rsidR="00000000" w:rsidRPr="00615FC1" w:rsidP="00615FC1">
      <w:pPr>
        <w:pStyle w:val="Heading1"/>
      </w:pPr>
      <w:bookmarkStart w:id="2" w:name="O_1089245"/>
      <w:bookmarkEnd w:id="2"/>
      <w:r w:rsidRPr="00615FC1">
        <w:t>Application</w:t>
      </w:r>
    </w:p>
    <w:tbl>
      <w:tblPr>
        <w:tblW w:w="9497" w:type="dxa"/>
        <w:tblLayout w:type="fixed"/>
        <w:tblCellMar>
          <w:left w:w="62" w:type="dxa"/>
          <w:right w:w="62" w:type="dxa"/>
        </w:tblCellMar>
        <w:tblLook w:val="0000"/>
      </w:tblPr>
      <w:tblGrid>
        <w:gridCol w:w="9497"/>
      </w:tblGrid>
      <w:tr w:rsidTr="00615F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5FC1" w:rsidP="00615FC1">
            <w:pPr>
              <w:pStyle w:val="BodyText"/>
            </w:pPr>
            <w:r w:rsidRPr="00615FC1">
              <w:t>This unit involves the skills and knowledge required to transmit and receive information by Global Maritime Distress and Safety System (GMDSS) subsystems and equipment.</w:t>
            </w:r>
          </w:p>
          <w:p w:rsidR="00000000" w:rsidRPr="00615FC1" w:rsidP="00615FC1">
            <w:pPr>
              <w:pStyle w:val="BodyText"/>
            </w:pPr>
            <w:r w:rsidRPr="00615FC1">
              <w:t>This unit applies to people performing radio duties on a ship requ</w:t>
            </w:r>
            <w:r w:rsidRPr="00615FC1">
              <w:t>ired to participate in the GMDSS.</w:t>
            </w:r>
          </w:p>
          <w:p w:rsidR="00000000" w:rsidRPr="00615FC1" w:rsidP="00615FC1">
            <w:pPr>
              <w:pStyle w:val="BodyText"/>
            </w:pPr>
            <w:r w:rsidRPr="00615FC1">
              <w:t>This unit applies to people working in the maritime industry in the capacity of:</w:t>
            </w:r>
          </w:p>
          <w:p w:rsidR="00000000" w:rsidRPr="00615FC1" w:rsidP="00615FC1">
            <w:pPr>
              <w:pStyle w:val="ListBullet"/>
            </w:pPr>
            <w:r w:rsidRPr="00615FC1">
              <w:t>Master of a commercial vessel less than 500 gross tonnage (GT)</w:t>
            </w:r>
          </w:p>
          <w:p w:rsidR="00000000" w:rsidRPr="00615FC1" w:rsidP="00615FC1">
            <w:pPr>
              <w:pStyle w:val="ListBullet"/>
            </w:pPr>
            <w:r w:rsidRPr="00615FC1">
              <w:t>Master of a commercial vessel Unlimited</w:t>
            </w:r>
          </w:p>
          <w:p w:rsidR="00000000" w:rsidRPr="00615FC1" w:rsidP="00615FC1">
            <w:pPr>
              <w:pStyle w:val="ListBullet"/>
            </w:pPr>
            <w:r w:rsidRPr="00615FC1">
              <w:t>Watchkeeper Deck.</w:t>
            </w:r>
          </w:p>
          <w:p w:rsidR="00000000" w:rsidRPr="00615FC1" w:rsidP="00615FC1">
            <w:pPr>
              <w:pStyle w:val="BodyText"/>
            </w:pPr>
            <w:r w:rsidRPr="00615FC1">
              <w:rPr>
                <w:rStyle w:val="SpecialBold"/>
              </w:rPr>
              <w:t>Licensing/Regulator</w:t>
            </w:r>
            <w:r w:rsidRPr="00615FC1">
              <w:rPr>
                <w:rStyle w:val="SpecialBold"/>
              </w:rPr>
              <w:t>y Information</w:t>
            </w:r>
          </w:p>
          <w:p w:rsidR="00000000" w:rsidRPr="00615FC1" w:rsidP="00615FC1">
            <w:pPr>
              <w:pStyle w:val="BodyText"/>
            </w:pPr>
            <w:r w:rsidRPr="00615FC1">
              <w:t>This unit is equivalent and delivers the objectives of the following STCW provisions:</w:t>
            </w:r>
          </w:p>
          <w:p w:rsidR="00000000" w:rsidRPr="00615FC1" w:rsidP="00615FC1">
            <w:pPr>
              <w:pStyle w:val="ListBullet"/>
            </w:pPr>
            <w:r w:rsidRPr="00615FC1">
              <w:t xml:space="preserve">STCW Reg IV/2 and Code Section A-IV/2, Table A-IV/2. </w:t>
            </w:r>
          </w:p>
          <w:p w:rsidR="00000000" w:rsidRPr="00615FC1" w:rsidP="00615FC1">
            <w:pPr>
              <w:pStyle w:val="BodyText"/>
            </w:pPr>
            <w:r w:rsidRPr="00615FC1">
              <w:t>Legislative and regulatory requirements are applicable to this unit.</w:t>
            </w:r>
          </w:p>
          <w:p w:rsidR="00000000" w:rsidRPr="00615FC1" w:rsidP="00615FC1">
            <w:pPr>
              <w:pStyle w:val="ListBullet"/>
            </w:pPr>
            <w:r w:rsidRPr="00615FC1">
              <w:t>This unit is one of the requirements to obtain Australian Maritime Safety Authority (AMSA) certification as a Master of a commercial vessel less than 500 gross tonnage (GT), Master Unlimited or Watchkeeper Deck and to meet regulatory requirements this unit</w:t>
            </w:r>
            <w:r w:rsidRPr="00615FC1">
              <w:t xml:space="preserve"> must be delivered consistent with Marine Orders and with the relevant sections of the International Convention on Standards of Training, Certification and Watchkeeping for Seafarers (STCW).</w:t>
            </w:r>
          </w:p>
          <w:p w:rsidR="00000000" w:rsidRPr="00615FC1" w:rsidP="00615FC1">
            <w:pPr>
              <w:pStyle w:val="ListBullet"/>
            </w:pPr>
            <w:r w:rsidRPr="00615FC1">
              <w:t>Those regulatory requirements include STCW International Maritime</w:t>
            </w:r>
            <w:r w:rsidRPr="00615FC1">
              <w:t xml:space="preserve"> Organization (IMO) model course competencies and areas of knowledge, understanding and proficiency, together with the estimated total hours required for lectures and practical exercises. Teaching staff should note that timings are suggestions only and sho</w:t>
            </w:r>
            <w:r w:rsidRPr="00615FC1">
              <w:t>uld be adapted to suit individual groups of trainees depending on their experience, ability, equipment and staff available for training.</w:t>
            </w:r>
          </w:p>
        </w:tc>
      </w:tr>
    </w:tbl>
    <w:p w:rsidR="00000000" w:rsidRPr="00615FC1" w:rsidP="00615FC1">
      <w:pPr>
        <w:pStyle w:val="NoPaddingFontSize1"/>
      </w:pPr>
    </w:p>
    <w:p w:rsidR="00000000" w:rsidRPr="00615FC1" w:rsidP="00615FC1">
      <w:pPr>
        <w:pStyle w:val="AllowPageBreak"/>
      </w:pPr>
    </w:p>
    <w:p w:rsidR="00000000" w:rsidRPr="00615FC1" w:rsidP="00615FC1">
      <w:pPr>
        <w:pStyle w:val="Heading1"/>
      </w:pPr>
      <w:bookmarkStart w:id="3" w:name="O_1089246"/>
      <w:bookmarkEnd w:id="3"/>
      <w:r w:rsidRPr="00615FC1">
        <w:t>Pre-requisite Unit</w:t>
      </w:r>
    </w:p>
    <w:tbl>
      <w:tblPr>
        <w:tblW w:w="9497" w:type="dxa"/>
        <w:tblLayout w:type="fixed"/>
        <w:tblCellMar>
          <w:left w:w="62" w:type="dxa"/>
          <w:right w:w="62" w:type="dxa"/>
        </w:tblCellMar>
        <w:tblLook w:val="0000"/>
      </w:tblPr>
      <w:tblGrid>
        <w:gridCol w:w="9497"/>
      </w:tblGrid>
      <w:tr w:rsidTr="00615F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5FC1" w:rsidP="00615FC1">
            <w:pPr>
              <w:pStyle w:val="BodyText"/>
            </w:pPr>
            <w:r w:rsidRPr="00615FC1">
              <w:t>Not applicable.</w:t>
            </w:r>
          </w:p>
        </w:tc>
      </w:tr>
    </w:tbl>
    <w:p w:rsidR="00000000" w:rsidRPr="00615FC1" w:rsidP="00615FC1">
      <w:pPr>
        <w:pStyle w:val="NoPaddingFontSize1"/>
      </w:pPr>
    </w:p>
    <w:p w:rsidR="00000000" w:rsidRPr="00615FC1" w:rsidP="00615FC1">
      <w:pPr>
        <w:pStyle w:val="AllowPageBreak"/>
      </w:pPr>
    </w:p>
    <w:p w:rsidR="00000000" w:rsidRPr="00615FC1" w:rsidP="00615FC1">
      <w:pPr>
        <w:pStyle w:val="Heading1"/>
      </w:pPr>
      <w:bookmarkStart w:id="4" w:name="O_1089247"/>
      <w:bookmarkEnd w:id="4"/>
      <w:r w:rsidRPr="00615FC1">
        <w:t>Competency Field</w:t>
      </w:r>
    </w:p>
    <w:tbl>
      <w:tblPr>
        <w:tblW w:w="9497" w:type="dxa"/>
        <w:tblLayout w:type="fixed"/>
        <w:tblCellMar>
          <w:left w:w="62" w:type="dxa"/>
          <w:right w:w="62" w:type="dxa"/>
        </w:tblCellMar>
        <w:tblLook w:val="0000"/>
      </w:tblPr>
      <w:tblGrid>
        <w:gridCol w:w="9497"/>
      </w:tblGrid>
      <w:tr w:rsidTr="00615F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5FC1" w:rsidP="00615FC1">
            <w:pPr>
              <w:pStyle w:val="BodyText"/>
            </w:pPr>
            <w:r w:rsidRPr="00615FC1">
              <w:t>O – Watchkeeping</w:t>
            </w:r>
          </w:p>
        </w:tc>
      </w:tr>
    </w:tbl>
    <w:p w:rsidR="00000000" w:rsidRPr="00615FC1" w:rsidP="00615FC1">
      <w:pPr>
        <w:pStyle w:val="NoPaddingFontSize1"/>
      </w:pPr>
    </w:p>
    <w:p w:rsidR="00000000" w:rsidRPr="00615FC1" w:rsidP="00615FC1">
      <w:pPr>
        <w:pStyle w:val="AllowPageBreak"/>
      </w:pPr>
    </w:p>
    <w:p w:rsidR="00000000" w:rsidRPr="00615FC1" w:rsidP="00615FC1">
      <w:pPr>
        <w:pStyle w:val="Heading1"/>
      </w:pPr>
      <w:bookmarkStart w:id="5" w:name="O_1089248"/>
      <w:bookmarkEnd w:id="5"/>
      <w:r w:rsidRPr="00615FC1">
        <w:t>Unit Sector</w:t>
      </w:r>
    </w:p>
    <w:tbl>
      <w:tblPr>
        <w:tblW w:w="9497" w:type="dxa"/>
        <w:tblLayout w:type="fixed"/>
        <w:tblCellMar>
          <w:left w:w="62" w:type="dxa"/>
          <w:right w:w="62" w:type="dxa"/>
        </w:tblCellMar>
        <w:tblLook w:val="0000"/>
      </w:tblPr>
      <w:tblGrid>
        <w:gridCol w:w="9497"/>
      </w:tblGrid>
      <w:tr w:rsidTr="00615F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5FC1" w:rsidP="00615FC1">
            <w:pPr>
              <w:pStyle w:val="BodyText"/>
            </w:pPr>
            <w:r w:rsidRPr="00615FC1">
              <w:t>Not applicable.</w:t>
            </w:r>
          </w:p>
        </w:tc>
      </w:tr>
    </w:tbl>
    <w:p w:rsidR="00000000" w:rsidRPr="00615FC1" w:rsidP="00615FC1">
      <w:pPr>
        <w:pStyle w:val="NoPaddingFontSize1"/>
      </w:pPr>
    </w:p>
    <w:p w:rsidR="00000000" w:rsidRPr="00615FC1" w:rsidP="00615FC1">
      <w:pPr>
        <w:pStyle w:val="AllowPageBreak"/>
      </w:pPr>
    </w:p>
    <w:p w:rsidR="00000000" w:rsidRPr="00615FC1" w:rsidP="00615FC1">
      <w:pPr>
        <w:pStyle w:val="Heading1"/>
      </w:pPr>
      <w:bookmarkStart w:id="6" w:name="O_1089249"/>
      <w:bookmarkEnd w:id="6"/>
      <w:r w:rsidRPr="00615FC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15FC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15FC1" w:rsidP="00615FC1">
            <w:pPr>
              <w:pStyle w:val="BodyText"/>
            </w:pPr>
            <w:r w:rsidRPr="00615FC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rPr>
                <w:rStyle w:val="SpecialBold"/>
              </w:rPr>
              <w:t>PERFORMANCE CRITERIA</w:t>
            </w:r>
          </w:p>
        </w:tc>
      </w:tr>
      <w:tr w:rsidTr="00615FC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t>Performance criteria describe the performance needed to demonstrate achievement of the element.</w:t>
            </w:r>
          </w:p>
        </w:tc>
      </w:tr>
      <w:tr w:rsidTr="00615F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15FC1" w:rsidP="00615FC1">
            <w:pPr>
              <w:pStyle w:val="BodyText"/>
            </w:pPr>
            <w:r w:rsidRPr="00615FC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15FC1" w:rsidP="00615FC1">
            <w:pPr>
              <w:pStyle w:val="BodyText"/>
            </w:pPr>
            <w:r w:rsidRPr="00615FC1">
              <w:rPr>
                <w:rStyle w:val="SpecialBold"/>
              </w:rPr>
              <w:t>Operate GMDSS subsystems and equipment to send and receive messages</w:t>
            </w:r>
          </w:p>
        </w:tc>
        <w:tc>
          <w:tcPr>
            <w:tcW w:w="697"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t>GMDSS communication equipment is operated to send and receive various types of sign</w:t>
            </w:r>
            <w:r w:rsidRPr="00615FC1">
              <w:t>als according to manufacturer instructions, established GMDSS procedures and regulatory requirements</w:t>
            </w:r>
          </w:p>
        </w:tc>
      </w:tr>
      <w:tr w:rsidTr="00615F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5F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t>GMDSS procedures appropriate for the sea area concerned are correctly applied according to regulatory requirements</w:t>
            </w:r>
          </w:p>
        </w:tc>
      </w:tr>
      <w:tr w:rsidTr="00615F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5F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t>Regulations and procedures applicable to vessel stations equipped with GMDSS communication equipment and digital selective calling facilities are applied during radio communication</w:t>
            </w:r>
          </w:p>
        </w:tc>
      </w:tr>
      <w:tr w:rsidTr="00615F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5F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t>Work health and safety (WHS)/occupational health and safety (OHS) pr</w:t>
            </w:r>
            <w:r w:rsidRPr="00615FC1">
              <w:t xml:space="preserve">ocedures and hazard control strategies and the application of the International Safety Management (ISM) Code are applied </w:t>
            </w:r>
          </w:p>
        </w:tc>
      </w:tr>
      <w:tr w:rsidTr="00615F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15FC1" w:rsidP="00615FC1">
            <w:pPr>
              <w:pStyle w:val="BodyText"/>
            </w:pPr>
            <w:r w:rsidRPr="00615FC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15FC1" w:rsidP="00615FC1">
            <w:pPr>
              <w:pStyle w:val="BodyText"/>
            </w:pPr>
            <w:r w:rsidRPr="00615FC1">
              <w:rPr>
                <w:rStyle w:val="SpecialBold"/>
              </w:rPr>
              <w:t>Maintain radio equipment</w:t>
            </w:r>
          </w:p>
        </w:tc>
        <w:tc>
          <w:tcPr>
            <w:tcW w:w="697"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t>Routine maintenance checks are conducted on GMDSS equipment according to manufacturer specifications a</w:t>
            </w:r>
            <w:r w:rsidRPr="00615FC1">
              <w:t>nd organisational procedures</w:t>
            </w:r>
          </w:p>
        </w:tc>
      </w:tr>
      <w:tr w:rsidTr="00615F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5F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t>Out-of-specification performance and faults are investigated using fault-finding techniques</w:t>
            </w:r>
          </w:p>
        </w:tc>
      </w:tr>
      <w:tr w:rsidTr="00615F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5F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t>Identified faults and defective equipment and component parts are rectified or replaced according to manufacturer specifi</w:t>
            </w:r>
            <w:r w:rsidRPr="00615FC1">
              <w:t>cations and organisational procedures</w:t>
            </w:r>
          </w:p>
        </w:tc>
      </w:tr>
      <w:tr w:rsidTr="00615F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15FC1" w:rsidP="00615FC1">
            <w:pPr>
              <w:pStyle w:val="BodyText"/>
            </w:pPr>
            <w:r w:rsidRPr="00615FC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15FC1" w:rsidP="00615FC1">
            <w:pPr>
              <w:pStyle w:val="BodyText"/>
            </w:pPr>
            <w:r w:rsidRPr="00615FC1">
              <w:rPr>
                <w:rStyle w:val="SpecialBold"/>
              </w:rPr>
              <w:t xml:space="preserve">Provide radio services </w:t>
            </w:r>
          </w:p>
        </w:tc>
        <w:tc>
          <w:tcPr>
            <w:tcW w:w="697"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t>Emergencies are correctly identified according to organisational procedures</w:t>
            </w:r>
          </w:p>
        </w:tc>
      </w:tr>
      <w:tr w:rsidTr="00615F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5F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t xml:space="preserve">Organisational procedures are conformed </w:t>
            </w:r>
            <w:r w:rsidRPr="00615FC1">
              <w:t xml:space="preserve">with when taking initial actions in the event of an emergency or </w:t>
            </w:r>
            <w:r w:rsidRPr="00615FC1">
              <w:t>abnormal situation</w:t>
            </w:r>
          </w:p>
        </w:tc>
      </w:tr>
      <w:tr w:rsidTr="00615F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5F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t>Communications are established with others using GMDSS communication equipment to facilitate the emergency response process</w:t>
            </w:r>
          </w:p>
        </w:tc>
      </w:tr>
      <w:tr w:rsidTr="00615F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5F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t>Contact is maintained at all times</w:t>
            </w:r>
            <w:r w:rsidRPr="00615FC1">
              <w:t xml:space="preserve"> with others to keep them briefed on the emergency response process</w:t>
            </w:r>
          </w:p>
        </w:tc>
      </w:tr>
      <w:tr w:rsidTr="00615F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5F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t xml:space="preserve">Radio procedures as defined in the International Telecommunications Union (ITU), International Convention for the Safety of Life at Sea (SOLAS) </w:t>
            </w:r>
            <w:r w:rsidRPr="00615FC1">
              <w:t>and the International Aeronautical and Maritime Search and Rescue (IAMSAR) Manual are applied during the emergency</w:t>
            </w:r>
          </w:p>
        </w:tc>
      </w:tr>
      <w:tr w:rsidTr="00615F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15FC1" w:rsidP="00615FC1">
            <w:pPr>
              <w:pStyle w:val="BodyText"/>
            </w:pPr>
            <w:r w:rsidRPr="00615FC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15FC1" w:rsidP="00615FC1">
            <w:pPr>
              <w:pStyle w:val="BodyText"/>
            </w:pPr>
            <w:r w:rsidRPr="00615FC1">
              <w:rPr>
                <w:rStyle w:val="SpecialBold"/>
              </w:rPr>
              <w:t>Maintain records</w:t>
            </w:r>
          </w:p>
        </w:tc>
        <w:tc>
          <w:tcPr>
            <w:tcW w:w="697"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t>Records are completed and maintained, as required, according to regulatory and organisational requirements</w:t>
            </w:r>
          </w:p>
        </w:tc>
      </w:tr>
      <w:tr w:rsidTr="00615F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15F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15FC1">
            <w:pPr>
              <w:pStyle w:val="BodyText"/>
              <w:rPr>
                <w:lang w:val="en-NZ"/>
              </w:rPr>
            </w:pPr>
            <w:r w:rsidRPr="00615FC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615FC1" w:rsidP="00615FC1">
            <w:pPr>
              <w:pStyle w:val="BodyText"/>
            </w:pPr>
            <w:r w:rsidRPr="00615FC1">
              <w:t>Rel</w:t>
            </w:r>
            <w:r w:rsidRPr="00615FC1">
              <w:t>evant records are sent to appropriate bodies and copies are filed according to regulatory and organisational requirements</w:t>
            </w:r>
          </w:p>
        </w:tc>
      </w:tr>
    </w:tbl>
    <w:p w:rsidR="00000000" w:rsidRPr="00615FC1" w:rsidP="00615FC1">
      <w:pPr>
        <w:pStyle w:val="NoPaddingFontSize1"/>
      </w:pPr>
    </w:p>
    <w:p w:rsidR="00000000" w:rsidRPr="00615FC1" w:rsidP="00615FC1">
      <w:pPr>
        <w:pStyle w:val="AllowPageBreak"/>
      </w:pPr>
    </w:p>
    <w:p w:rsidR="00000000" w:rsidRPr="00615FC1" w:rsidP="00615FC1">
      <w:pPr>
        <w:pStyle w:val="Heading1"/>
      </w:pPr>
      <w:bookmarkStart w:id="7" w:name="O_1089250"/>
      <w:bookmarkEnd w:id="7"/>
      <w:r w:rsidRPr="00615FC1">
        <w:t>Foundation Skills</w:t>
      </w:r>
    </w:p>
    <w:tbl>
      <w:tblPr>
        <w:tblW w:w="9497" w:type="dxa"/>
        <w:tblLayout w:type="fixed"/>
        <w:tblCellMar>
          <w:left w:w="62" w:type="dxa"/>
          <w:right w:w="62" w:type="dxa"/>
        </w:tblCellMar>
        <w:tblLook w:val="0000"/>
      </w:tblPr>
      <w:tblGrid>
        <w:gridCol w:w="9497"/>
      </w:tblGrid>
      <w:tr w:rsidTr="00615F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5FC1" w:rsidP="00615FC1">
            <w:pPr>
              <w:pStyle w:val="BodyText"/>
            </w:pPr>
            <w:r w:rsidRPr="00615FC1">
              <w:t>Foundation skills essential to performance are explicit in the performance criteria of this uni</w:t>
            </w:r>
            <w:r w:rsidRPr="00615FC1">
              <w:t>t of competency.</w:t>
            </w:r>
          </w:p>
        </w:tc>
      </w:tr>
    </w:tbl>
    <w:p w:rsidR="00000000" w:rsidRPr="00615FC1" w:rsidP="00615FC1">
      <w:pPr>
        <w:pStyle w:val="NoPaddingFontSize1"/>
      </w:pPr>
    </w:p>
    <w:p w:rsidR="00000000" w:rsidRPr="00615FC1" w:rsidP="00615FC1">
      <w:pPr>
        <w:pStyle w:val="AllowPageBreak"/>
      </w:pPr>
    </w:p>
    <w:p w:rsidR="00000000" w:rsidRPr="00615FC1" w:rsidP="00615FC1">
      <w:pPr>
        <w:pStyle w:val="Heading1"/>
      </w:pPr>
      <w:bookmarkStart w:id="8" w:name="O_1089251"/>
      <w:bookmarkEnd w:id="8"/>
      <w:r w:rsidRPr="00615FC1">
        <w:t>Range of Conditions</w:t>
      </w:r>
    </w:p>
    <w:tbl>
      <w:tblPr>
        <w:tblW w:w="9497" w:type="dxa"/>
        <w:tblLayout w:type="fixed"/>
        <w:tblCellMar>
          <w:left w:w="62" w:type="dxa"/>
          <w:right w:w="62" w:type="dxa"/>
        </w:tblCellMar>
        <w:tblLook w:val="0000"/>
      </w:tblPr>
      <w:tblGrid>
        <w:gridCol w:w="9497"/>
      </w:tblGrid>
      <w:tr w:rsidTr="00615F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5FC1" w:rsidP="00615FC1">
            <w:pPr>
              <w:pStyle w:val="BodyText"/>
            </w:pPr>
            <w:r w:rsidRPr="00615FC1">
              <w:t>Range is restricted to essential operating conditions and any other variables essential to the work environment.</w:t>
            </w:r>
          </w:p>
        </w:tc>
      </w:tr>
    </w:tbl>
    <w:p w:rsidR="00000000" w:rsidRPr="00615FC1" w:rsidP="00615FC1">
      <w:pPr>
        <w:pStyle w:val="NoPaddingFontSize1"/>
      </w:pPr>
    </w:p>
    <w:p w:rsidR="00000000" w:rsidRPr="00615FC1" w:rsidP="00615FC1">
      <w:pPr>
        <w:pStyle w:val="AllowPageBreak"/>
      </w:pPr>
    </w:p>
    <w:p w:rsidR="00000000" w:rsidRPr="00615FC1" w:rsidP="00615FC1">
      <w:pPr>
        <w:pStyle w:val="Heading1"/>
      </w:pPr>
      <w:bookmarkStart w:id="9" w:name="O_1089252"/>
      <w:bookmarkEnd w:id="9"/>
      <w:r w:rsidRPr="00615FC1">
        <w:t>Unit Mapping Information</w:t>
      </w:r>
    </w:p>
    <w:tbl>
      <w:tblPr>
        <w:tblW w:w="9497" w:type="dxa"/>
        <w:tblLayout w:type="fixed"/>
        <w:tblCellMar>
          <w:left w:w="62" w:type="dxa"/>
          <w:right w:w="62" w:type="dxa"/>
        </w:tblCellMar>
        <w:tblLook w:val="0000"/>
      </w:tblPr>
      <w:tblGrid>
        <w:gridCol w:w="9497"/>
      </w:tblGrid>
      <w:tr w:rsidTr="00615F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5FC1" w:rsidP="00615FC1">
            <w:pPr>
              <w:pStyle w:val="BodyText"/>
            </w:pPr>
            <w:r w:rsidRPr="00615FC1">
              <w:t>This unit replaces and is equivalent to MARO003 Transmit and receive information by the global maritime distress and safety system.</w:t>
            </w:r>
          </w:p>
        </w:tc>
      </w:tr>
    </w:tbl>
    <w:p w:rsidR="00000000" w:rsidRPr="00615FC1" w:rsidP="00615FC1">
      <w:pPr>
        <w:pStyle w:val="NoPaddingFontSize1"/>
      </w:pPr>
    </w:p>
    <w:p w:rsidR="00000000" w:rsidRPr="00615FC1" w:rsidP="00615FC1">
      <w:pPr>
        <w:pStyle w:val="AllowPageBreak"/>
      </w:pPr>
    </w:p>
    <w:p w:rsidR="00000000" w:rsidRPr="00615FC1" w:rsidP="00615FC1">
      <w:pPr>
        <w:pStyle w:val="Heading1"/>
      </w:pPr>
      <w:bookmarkStart w:id="10" w:name="O_1089259"/>
      <w:bookmarkEnd w:id="10"/>
      <w:r w:rsidRPr="00615FC1">
        <w:t>Links</w:t>
      </w:r>
    </w:p>
    <w:p w:rsidR="00000000" w:rsidRPr="00615FC1" w:rsidP="004C014A">
      <w:pPr>
        <w:pStyle w:val="BodyText"/>
      </w:pPr>
      <w:r w:rsidRPr="00615FC1">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E82749">
        <w:rPr>
          <w:rStyle w:val="Hyperlink"/>
        </w:rPr>
        <w:t>https://vetnet.gov.au/Pages/TrainingDocs.aspx?q=772efb7b-4cce-47fe-9bbd-ee3b1d1eb4c2</w:t>
      </w:r>
      <w:r>
        <w:fldChar w:fldCharType="end"/>
      </w:r>
    </w:p>
    <w:p w:rsidR="00000000" w:rsidRPr="00615FC1" w:rsidP="00615FC1"/>
    <w:sectPr w:rsidSect="00615F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C1" w:rsidRPr="004C014A" w:rsidP="004C01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14A" w:rsidP="00615F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014A" w:rsidP="00615FC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C014A" w:rsidP="00615F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1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5FC1" w:rsidRPr="004C014A" w:rsidP="004C01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14A" w:rsidRPr="002D2AF8" w:rsidP="00615FC1">
    <w:pPr>
      <w:pStyle w:val="Header"/>
      <w:framePr w:wrap="around"/>
    </w:pPr>
    <w:r>
      <w:fldChar w:fldCharType="begin"/>
    </w:r>
    <w:r>
      <w:instrText xml:space="preserve"> TITLE   \* MERGEFORMAT </w:instrText>
    </w:r>
    <w:r>
      <w:fldChar w:fldCharType="separate"/>
    </w:r>
    <w:r>
      <w:t>MARO011 Transmit and receive information by the Global Maritime Distress and Safety System (GMDSS)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4C014A" w:rsidP="00615F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006D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7EAA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F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5FC1"/>
    <w:pPr>
      <w:spacing w:before="360" w:after="60"/>
      <w:outlineLvl w:val="0"/>
    </w:pPr>
    <w:rPr>
      <w:sz w:val="32"/>
    </w:rPr>
  </w:style>
  <w:style w:type="paragraph" w:styleId="Heading2">
    <w:name w:val="heading 2"/>
    <w:basedOn w:val="HeadingBase"/>
    <w:next w:val="BodyText"/>
    <w:link w:val="Heading2Char"/>
    <w:qFormat/>
    <w:rsid w:val="00615FC1"/>
    <w:pPr>
      <w:keepLines/>
      <w:spacing w:before="240" w:after="120"/>
      <w:outlineLvl w:val="1"/>
    </w:pPr>
    <w:rPr>
      <w:sz w:val="28"/>
      <w:szCs w:val="40"/>
    </w:rPr>
  </w:style>
  <w:style w:type="paragraph" w:styleId="Heading3">
    <w:name w:val="heading 3"/>
    <w:basedOn w:val="HeadingBase"/>
    <w:next w:val="BodyText"/>
    <w:link w:val="Heading3Char"/>
    <w:qFormat/>
    <w:rsid w:val="00615FC1"/>
    <w:pPr>
      <w:spacing w:before="180" w:after="120"/>
      <w:outlineLvl w:val="2"/>
    </w:pPr>
    <w:rPr>
      <w:spacing w:val="-10"/>
      <w:kern w:val="32"/>
    </w:rPr>
  </w:style>
  <w:style w:type="paragraph" w:styleId="Heading4">
    <w:name w:val="heading 4"/>
    <w:basedOn w:val="HeadingBase"/>
    <w:next w:val="BodyText"/>
    <w:link w:val="Heading4Char"/>
    <w:qFormat/>
    <w:rsid w:val="00615FC1"/>
    <w:pPr>
      <w:spacing w:before="160" w:after="120"/>
      <w:outlineLvl w:val="3"/>
    </w:pPr>
    <w:rPr>
      <w:sz w:val="22"/>
    </w:rPr>
  </w:style>
  <w:style w:type="paragraph" w:styleId="Heading5">
    <w:name w:val="heading 5"/>
    <w:basedOn w:val="HeadingBase"/>
    <w:next w:val="Normal"/>
    <w:link w:val="Heading5Char"/>
    <w:qFormat/>
    <w:rsid w:val="00615FC1"/>
    <w:pPr>
      <w:spacing w:before="80"/>
      <w:outlineLvl w:val="4"/>
    </w:pPr>
    <w:rPr>
      <w:color w:val="918585"/>
      <w:sz w:val="20"/>
    </w:rPr>
  </w:style>
  <w:style w:type="paragraph" w:styleId="Heading6">
    <w:name w:val="heading 6"/>
    <w:basedOn w:val="HeadingBase"/>
    <w:next w:val="Normal"/>
    <w:link w:val="Heading6Char"/>
    <w:qFormat/>
    <w:rsid w:val="00615FC1"/>
    <w:pPr>
      <w:spacing w:before="60"/>
      <w:outlineLvl w:val="5"/>
    </w:pPr>
    <w:rPr>
      <w:color w:val="918585"/>
      <w:sz w:val="20"/>
    </w:rPr>
  </w:style>
  <w:style w:type="paragraph" w:styleId="Heading7">
    <w:name w:val="heading 7"/>
    <w:basedOn w:val="Normal"/>
    <w:next w:val="Normal"/>
    <w:link w:val="Heading7Char"/>
    <w:qFormat/>
    <w:rsid w:val="00615FC1"/>
    <w:pPr>
      <w:ind w:left="720"/>
      <w:outlineLvl w:val="6"/>
    </w:pPr>
    <w:rPr>
      <w:i/>
    </w:rPr>
  </w:style>
  <w:style w:type="paragraph" w:styleId="Heading8">
    <w:name w:val="heading 8"/>
    <w:basedOn w:val="Normal"/>
    <w:next w:val="Normal"/>
    <w:link w:val="Heading8Char"/>
    <w:qFormat/>
    <w:rsid w:val="00615FC1"/>
    <w:pPr>
      <w:ind w:left="720"/>
      <w:outlineLvl w:val="7"/>
    </w:pPr>
    <w:rPr>
      <w:i/>
    </w:rPr>
  </w:style>
  <w:style w:type="paragraph" w:styleId="Heading9">
    <w:name w:val="heading 9"/>
    <w:basedOn w:val="Normal"/>
    <w:next w:val="Normal"/>
    <w:link w:val="Heading9Char"/>
    <w:qFormat/>
    <w:rsid w:val="00615FC1"/>
    <w:pPr>
      <w:ind w:left="720"/>
      <w:outlineLvl w:val="8"/>
    </w:pPr>
    <w:rPr>
      <w:i/>
    </w:rPr>
  </w:style>
  <w:style w:type="character" w:default="1" w:styleId="DefaultParagraphFont">
    <w:name w:val="Default Paragraph Font"/>
    <w:uiPriority w:val="1"/>
    <w:unhideWhenUsed/>
    <w:rsid w:val="00615F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5FC1"/>
  </w:style>
  <w:style w:type="character" w:customStyle="1" w:styleId="Heading1Char">
    <w:name w:val="Heading 1 Char"/>
    <w:basedOn w:val="DefaultParagraphFont"/>
    <w:link w:val="Heading1"/>
    <w:rsid w:val="00615FC1"/>
    <w:rPr>
      <w:rFonts w:ascii="Times New Roman" w:eastAsia="Times New Roman" w:hAnsi="Times New Roman" w:cs="Times New Roman"/>
      <w:b/>
      <w:sz w:val="32"/>
      <w:szCs w:val="20"/>
      <w:lang w:eastAsia="en-US"/>
    </w:rPr>
  </w:style>
  <w:style w:type="paragraph" w:styleId="BodyText">
    <w:name w:val="Body Text"/>
    <w:basedOn w:val="Normal"/>
    <w:link w:val="BodyTextChar"/>
    <w:rsid w:val="00615F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5FC1"/>
    <w:rPr>
      <w:rFonts w:ascii="Times New Roman" w:eastAsia="Times New Roman" w:hAnsi="Times New Roman" w:cs="Times New Roman"/>
      <w:sz w:val="24"/>
      <w:lang w:eastAsia="en-US"/>
    </w:rPr>
  </w:style>
  <w:style w:type="paragraph" w:styleId="ListBullet">
    <w:name w:val="List Bullet"/>
    <w:basedOn w:val="List"/>
    <w:rsid w:val="00615FC1"/>
    <w:pPr>
      <w:numPr>
        <w:numId w:val="11"/>
      </w:numPr>
      <w:tabs>
        <w:tab w:val="clear" w:pos="340"/>
      </w:tabs>
      <w:spacing w:before="40" w:after="40"/>
    </w:pPr>
  </w:style>
  <w:style w:type="character" w:customStyle="1" w:styleId="SpecialBold">
    <w:name w:val="Special Bold"/>
    <w:basedOn w:val="DefaultParagraphFont"/>
    <w:rsid w:val="00615FC1"/>
    <w:rPr>
      <w:b/>
      <w:spacing w:val="0"/>
    </w:rPr>
  </w:style>
  <w:style w:type="paragraph" w:customStyle="1" w:styleId="SuperHeading">
    <w:name w:val="SuperHeading"/>
    <w:basedOn w:val="Normal"/>
    <w:rsid w:val="00615FC1"/>
    <w:pPr>
      <w:spacing w:before="240" w:after="120"/>
      <w:outlineLvl w:val="0"/>
    </w:pPr>
    <w:rPr>
      <w:rFonts w:ascii="Times New Roman" w:hAnsi="Times New Roman"/>
      <w:b/>
      <w:sz w:val="32"/>
    </w:rPr>
  </w:style>
  <w:style w:type="paragraph" w:customStyle="1" w:styleId="AllowPageBreak">
    <w:name w:val="AllowPageBreak"/>
    <w:rsid w:val="00615F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15F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5F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5F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5F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5F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5F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5F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5FC1"/>
    <w:rPr>
      <w:rFonts w:ascii="Courier New" w:eastAsia="Times New Roman" w:hAnsi="Courier New" w:cs="Times New Roman"/>
      <w:i/>
      <w:szCs w:val="20"/>
      <w:lang w:eastAsia="en-US"/>
    </w:rPr>
  </w:style>
  <w:style w:type="paragraph" w:customStyle="1" w:styleId="HeadingBase">
    <w:name w:val="Heading Base"/>
    <w:rsid w:val="00615F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5FC1"/>
    <w:pPr>
      <w:tabs>
        <w:tab w:val="right" w:leader="dot" w:pos="9072"/>
      </w:tabs>
      <w:ind w:left="567"/>
    </w:pPr>
    <w:rPr>
      <w:szCs w:val="22"/>
    </w:rPr>
  </w:style>
  <w:style w:type="paragraph" w:customStyle="1" w:styleId="TOCBase">
    <w:name w:val="TOC Base"/>
    <w:rsid w:val="00615F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5FC1"/>
    <w:pPr>
      <w:tabs>
        <w:tab w:val="right" w:leader="dot" w:pos="9072"/>
      </w:tabs>
      <w:spacing w:before="40" w:after="40"/>
      <w:ind w:left="284"/>
    </w:pPr>
    <w:rPr>
      <w:rFonts w:ascii="Times New Roman" w:hAnsi="Times New Roman"/>
    </w:rPr>
  </w:style>
  <w:style w:type="paragraph" w:styleId="TOC1">
    <w:name w:val="toc 1"/>
    <w:basedOn w:val="TOCBase"/>
    <w:next w:val="Normal"/>
    <w:rsid w:val="00615F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5F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5FC1"/>
    <w:rPr>
      <w:rFonts w:ascii="Times New Roman" w:eastAsia="Times New Roman" w:hAnsi="Times New Roman" w:cs="Times New Roman"/>
      <w:sz w:val="16"/>
      <w:lang w:eastAsia="en-US"/>
    </w:rPr>
  </w:style>
  <w:style w:type="paragraph" w:styleId="Title">
    <w:name w:val="Title"/>
    <w:basedOn w:val="HeadingBase"/>
    <w:link w:val="TitleChar"/>
    <w:qFormat/>
    <w:rsid w:val="00615FC1"/>
    <w:pPr>
      <w:spacing w:before="5040"/>
      <w:jc w:val="center"/>
    </w:pPr>
    <w:rPr>
      <w:sz w:val="48"/>
      <w:szCs w:val="72"/>
      <w:lang w:val="en-US"/>
    </w:rPr>
  </w:style>
  <w:style w:type="character" w:customStyle="1" w:styleId="TitleChar">
    <w:name w:val="Title Char"/>
    <w:basedOn w:val="DefaultParagraphFont"/>
    <w:link w:val="Title"/>
    <w:rsid w:val="00615F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5FC1"/>
    <w:pPr>
      <w:tabs>
        <w:tab w:val="left" w:pos="3600"/>
        <w:tab w:val="left" w:pos="3958"/>
      </w:tabs>
    </w:pPr>
  </w:style>
  <w:style w:type="paragraph" w:styleId="List">
    <w:name w:val="List"/>
    <w:basedOn w:val="BodyText"/>
    <w:next w:val="BodyText"/>
    <w:rsid w:val="00615FC1"/>
    <w:pPr>
      <w:tabs>
        <w:tab w:val="left" w:pos="340"/>
      </w:tabs>
      <w:spacing w:before="60" w:after="60"/>
      <w:ind w:left="340" w:hanging="340"/>
    </w:pPr>
  </w:style>
  <w:style w:type="paragraph" w:customStyle="1" w:styleId="Note">
    <w:name w:val="Note"/>
    <w:basedOn w:val="BodyText"/>
    <w:rsid w:val="00615F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5FC1"/>
    <w:pPr>
      <w:framePr w:wrap="auto" w:hAnchor="text" w:y="6049"/>
    </w:pPr>
    <w:rPr>
      <w:color w:val="000000"/>
      <w:sz w:val="40"/>
    </w:rPr>
  </w:style>
  <w:style w:type="paragraph" w:customStyle="1" w:styleId="TOCTitle">
    <w:name w:val="TOCTitle"/>
    <w:basedOn w:val="Heading1"/>
    <w:rsid w:val="00615FC1"/>
    <w:pPr>
      <w:spacing w:after="240"/>
      <w:jc w:val="center"/>
      <w:outlineLvl w:val="9"/>
    </w:pPr>
    <w:rPr>
      <w:caps/>
    </w:rPr>
  </w:style>
  <w:style w:type="paragraph" w:customStyle="1" w:styleId="Version">
    <w:name w:val="Version"/>
    <w:rsid w:val="00615F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5FC1"/>
    <w:pPr>
      <w:numPr>
        <w:numId w:val="12"/>
      </w:numPr>
      <w:tabs>
        <w:tab w:val="clear" w:pos="680"/>
      </w:tabs>
    </w:pPr>
  </w:style>
  <w:style w:type="paragraph" w:styleId="Index1">
    <w:name w:val="index 1"/>
    <w:basedOn w:val="Normal"/>
    <w:next w:val="Normal"/>
    <w:semiHidden/>
    <w:rsid w:val="00615FC1"/>
    <w:pPr>
      <w:keepNext w:val="0"/>
      <w:tabs>
        <w:tab w:val="right" w:pos="4176"/>
      </w:tabs>
      <w:ind w:left="198" w:hanging="198"/>
    </w:pPr>
    <w:rPr>
      <w:rFonts w:ascii="Garamond" w:hAnsi="Garamond"/>
    </w:rPr>
  </w:style>
  <w:style w:type="paragraph" w:styleId="IndexHeading">
    <w:name w:val="index heading"/>
    <w:basedOn w:val="Normal"/>
    <w:next w:val="Index1"/>
    <w:semiHidden/>
    <w:rsid w:val="00615FC1"/>
    <w:pPr>
      <w:spacing w:before="120" w:after="120"/>
    </w:pPr>
    <w:rPr>
      <w:rFonts w:ascii="Arial" w:hAnsi="Arial"/>
      <w:b/>
      <w:color w:val="918585"/>
      <w:sz w:val="24"/>
    </w:rPr>
  </w:style>
  <w:style w:type="paragraph" w:styleId="Header">
    <w:name w:val="header"/>
    <w:basedOn w:val="Normal"/>
    <w:link w:val="HeaderChar"/>
    <w:rsid w:val="00615F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5FC1"/>
    <w:rPr>
      <w:rFonts w:ascii="Times New Roman" w:eastAsia="Times New Roman" w:hAnsi="Times New Roman" w:cs="Times New Roman"/>
      <w:sz w:val="16"/>
      <w:szCs w:val="20"/>
      <w:lang w:val="en-GB" w:eastAsia="en-US"/>
    </w:rPr>
  </w:style>
  <w:style w:type="paragraph" w:customStyle="1" w:styleId="Chapter">
    <w:name w:val="Chapter"/>
    <w:basedOn w:val="Normal"/>
    <w:rsid w:val="00615FC1"/>
    <w:pPr>
      <w:spacing w:before="240"/>
    </w:pPr>
    <w:rPr>
      <w:rFonts w:ascii="Times New Roman" w:hAnsi="Times New Roman"/>
      <w:smallCaps/>
      <w:spacing w:val="80"/>
      <w:sz w:val="28"/>
    </w:rPr>
  </w:style>
  <w:style w:type="paragraph" w:customStyle="1" w:styleId="InChapter">
    <w:name w:val="InChapter"/>
    <w:basedOn w:val="Heading3"/>
    <w:rsid w:val="00615FC1"/>
    <w:pPr>
      <w:spacing w:after="240"/>
      <w:outlineLvl w:val="9"/>
    </w:pPr>
    <w:rPr>
      <w:noProof/>
    </w:rPr>
  </w:style>
  <w:style w:type="paragraph" w:styleId="Index2">
    <w:name w:val="index 2"/>
    <w:basedOn w:val="Normal"/>
    <w:next w:val="Normal"/>
    <w:semiHidden/>
    <w:rsid w:val="00615FC1"/>
    <w:pPr>
      <w:tabs>
        <w:tab w:val="right" w:pos="4176"/>
      </w:tabs>
      <w:ind w:left="568" w:hanging="284"/>
    </w:pPr>
    <w:rPr>
      <w:rFonts w:ascii="Garamond" w:hAnsi="Garamond"/>
    </w:rPr>
  </w:style>
  <w:style w:type="paragraph" w:customStyle="1" w:styleId="Byline">
    <w:name w:val="Byline"/>
    <w:rsid w:val="00615F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5FC1"/>
    <w:pPr>
      <w:tabs>
        <w:tab w:val="clear" w:pos="3600"/>
        <w:tab w:val="clear" w:pos="3958"/>
      </w:tabs>
      <w:jc w:val="right"/>
    </w:pPr>
  </w:style>
  <w:style w:type="character" w:styleId="Emphasis">
    <w:name w:val="Emphasis"/>
    <w:basedOn w:val="DefaultParagraphFont"/>
    <w:qFormat/>
    <w:rsid w:val="00615FC1"/>
    <w:rPr>
      <w:i/>
    </w:rPr>
  </w:style>
  <w:style w:type="paragraph" w:styleId="Caption">
    <w:name w:val="caption"/>
    <w:basedOn w:val="BodyText"/>
    <w:next w:val="Normal"/>
    <w:qFormat/>
    <w:rsid w:val="00615FC1"/>
    <w:pPr>
      <w:framePr w:w="2268" w:hSpace="181" w:vSpace="181" w:wrap="around" w:vAnchor="text" w:hAnchor="page" w:x="1135" w:y="285" w:anchorLock="1"/>
    </w:pPr>
    <w:rPr>
      <w:i/>
    </w:rPr>
  </w:style>
  <w:style w:type="paragraph" w:customStyle="1" w:styleId="MiniTOCTitle">
    <w:name w:val="MiniTOCTitle"/>
    <w:basedOn w:val="Heading4"/>
    <w:rsid w:val="00615FC1"/>
    <w:pPr>
      <w:spacing w:before="240"/>
      <w:outlineLvl w:val="9"/>
    </w:pPr>
    <w:rPr>
      <w:noProof/>
      <w:sz w:val="24"/>
    </w:rPr>
  </w:style>
  <w:style w:type="paragraph" w:customStyle="1" w:styleId="MiniTOCItem">
    <w:name w:val="MiniTOCItem"/>
    <w:basedOn w:val="ListBullet"/>
    <w:rsid w:val="00615FC1"/>
    <w:pPr>
      <w:numPr>
        <w:numId w:val="0"/>
      </w:numPr>
      <w:tabs>
        <w:tab w:val="right" w:leader="dot" w:pos="6521"/>
      </w:tabs>
      <w:spacing w:before="0" w:after="0"/>
    </w:pPr>
  </w:style>
  <w:style w:type="paragraph" w:customStyle="1" w:styleId="TOFTitle">
    <w:name w:val="TOFTitle"/>
    <w:basedOn w:val="TOCTitle"/>
    <w:rsid w:val="00615FC1"/>
  </w:style>
  <w:style w:type="paragraph" w:styleId="TableofFigures">
    <w:name w:val="table of figures"/>
    <w:basedOn w:val="Normal"/>
    <w:next w:val="Normal"/>
    <w:semiHidden/>
    <w:rsid w:val="00615FC1"/>
    <w:pPr>
      <w:tabs>
        <w:tab w:val="right" w:leader="dot" w:pos="9072"/>
      </w:tabs>
      <w:ind w:left="970" w:hanging="403"/>
    </w:pPr>
    <w:rPr>
      <w:rFonts w:ascii="Times New Roman" w:hAnsi="Times New Roman"/>
      <w:b/>
    </w:rPr>
  </w:style>
  <w:style w:type="paragraph" w:styleId="ListNumber">
    <w:name w:val="List Number"/>
    <w:basedOn w:val="List"/>
    <w:rsid w:val="00615FC1"/>
    <w:pPr>
      <w:numPr>
        <w:numId w:val="14"/>
      </w:numPr>
      <w:tabs>
        <w:tab w:val="clear" w:pos="340"/>
      </w:tabs>
    </w:pPr>
  </w:style>
  <w:style w:type="character" w:customStyle="1" w:styleId="WingdingSymbols">
    <w:name w:val="Wingding Symbols"/>
    <w:rsid w:val="00615FC1"/>
    <w:rPr>
      <w:rFonts w:ascii="Wingdings" w:hAnsi="Wingdings"/>
    </w:rPr>
  </w:style>
  <w:style w:type="paragraph" w:customStyle="1" w:styleId="TableHeading">
    <w:name w:val="Table Heading"/>
    <w:basedOn w:val="HeadingBase"/>
    <w:rsid w:val="00615FC1"/>
    <w:pPr>
      <w:keepLines/>
      <w:pBdr>
        <w:bottom w:val="single" w:sz="6" w:space="1" w:color="918585"/>
      </w:pBdr>
      <w:spacing w:before="240"/>
    </w:pPr>
  </w:style>
  <w:style w:type="character" w:customStyle="1" w:styleId="HotSpot">
    <w:name w:val="HotSpot"/>
    <w:rsid w:val="00615FC1"/>
    <w:rPr>
      <w:color w:val="0033CC"/>
      <w:u w:val="none"/>
    </w:rPr>
  </w:style>
  <w:style w:type="paragraph" w:customStyle="1" w:styleId="BodyTextRight">
    <w:name w:val="Body Text Right"/>
    <w:basedOn w:val="BodyText"/>
    <w:rsid w:val="00615FC1"/>
    <w:pPr>
      <w:spacing w:before="0" w:after="0"/>
      <w:jc w:val="right"/>
    </w:pPr>
  </w:style>
  <w:style w:type="paragraph" w:styleId="Index3">
    <w:name w:val="index 3"/>
    <w:basedOn w:val="ListNumber2"/>
    <w:next w:val="Normal"/>
    <w:semiHidden/>
    <w:rsid w:val="00615FC1"/>
    <w:pPr>
      <w:numPr>
        <w:numId w:val="0"/>
      </w:numPr>
      <w:tabs>
        <w:tab w:val="right" w:leader="dot" w:pos="4176"/>
      </w:tabs>
    </w:pPr>
  </w:style>
  <w:style w:type="paragraph" w:styleId="ListNumber2">
    <w:name w:val="List Number 2"/>
    <w:basedOn w:val="List2"/>
    <w:rsid w:val="00615FC1"/>
    <w:pPr>
      <w:numPr>
        <w:numId w:val="9"/>
      </w:numPr>
      <w:tabs>
        <w:tab w:val="clear" w:pos="1060"/>
      </w:tabs>
    </w:pPr>
  </w:style>
  <w:style w:type="paragraph" w:customStyle="1" w:styleId="MarginNote">
    <w:name w:val="Margin Note"/>
    <w:basedOn w:val="BodyText"/>
    <w:rsid w:val="00615F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5F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5F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5FC1"/>
    <w:rPr>
      <w:sz w:val="32"/>
    </w:rPr>
  </w:style>
  <w:style w:type="paragraph" w:customStyle="1" w:styleId="HeadingProcedure">
    <w:name w:val="Heading Procedure"/>
    <w:basedOn w:val="HeadingBase"/>
    <w:next w:val="Normal"/>
    <w:rsid w:val="00615FC1"/>
    <w:pPr>
      <w:tabs>
        <w:tab w:val="left" w:pos="0"/>
      </w:tabs>
      <w:spacing w:before="120" w:after="60"/>
    </w:pPr>
    <w:rPr>
      <w:i/>
      <w:color w:val="918585"/>
      <w:sz w:val="22"/>
    </w:rPr>
  </w:style>
  <w:style w:type="paragraph" w:customStyle="1" w:styleId="TableBodyText">
    <w:name w:val="Table Body Text"/>
    <w:basedOn w:val="BodyText"/>
    <w:rsid w:val="00615FC1"/>
    <w:pPr>
      <w:spacing w:before="60" w:after="60"/>
    </w:pPr>
  </w:style>
  <w:style w:type="paragraph" w:styleId="ListContinue">
    <w:name w:val="List Continue"/>
    <w:basedOn w:val="List"/>
    <w:rsid w:val="00615FC1"/>
    <w:pPr>
      <w:ind w:firstLine="0"/>
    </w:pPr>
  </w:style>
  <w:style w:type="paragraph" w:customStyle="1" w:styleId="ListNote">
    <w:name w:val="List Note"/>
    <w:basedOn w:val="List"/>
    <w:rsid w:val="00615FC1"/>
    <w:pPr>
      <w:pBdr>
        <w:top w:val="single" w:sz="6" w:space="2" w:color="918585"/>
        <w:bottom w:val="single" w:sz="6" w:space="2" w:color="918585"/>
      </w:pBdr>
      <w:tabs>
        <w:tab w:val="left" w:pos="1021"/>
      </w:tabs>
      <w:ind w:firstLine="0"/>
    </w:pPr>
  </w:style>
  <w:style w:type="paragraph" w:customStyle="1" w:styleId="Warning">
    <w:name w:val="Warning"/>
    <w:basedOn w:val="BodyText"/>
    <w:rsid w:val="00615FC1"/>
    <w:pPr>
      <w:shd w:val="clear" w:color="auto" w:fill="D9D9D9"/>
      <w:tabs>
        <w:tab w:val="left" w:pos="992"/>
      </w:tabs>
      <w:ind w:left="119" w:right="119"/>
    </w:pPr>
    <w:rPr>
      <w:sz w:val="20"/>
    </w:rPr>
  </w:style>
  <w:style w:type="paragraph" w:customStyle="1" w:styleId="MarginIcons">
    <w:name w:val="Margin Icons"/>
    <w:basedOn w:val="BodyText"/>
    <w:rsid w:val="00615F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5FC1"/>
    <w:rPr>
      <w:rFonts w:ascii="Courier New" w:hAnsi="Courier New"/>
    </w:rPr>
  </w:style>
  <w:style w:type="paragraph" w:customStyle="1" w:styleId="NoteBullet">
    <w:name w:val="Note Bullet"/>
    <w:basedOn w:val="Note"/>
    <w:rsid w:val="00615FC1"/>
    <w:pPr>
      <w:tabs>
        <w:tab w:val="clear" w:pos="680"/>
      </w:tabs>
      <w:spacing w:before="60" w:after="60"/>
    </w:pPr>
  </w:style>
  <w:style w:type="paragraph" w:customStyle="1" w:styleId="SubHeading2">
    <w:name w:val="SubHeading2"/>
    <w:basedOn w:val="HeadingBase"/>
    <w:rsid w:val="00615FC1"/>
    <w:pPr>
      <w:spacing w:before="240" w:after="60"/>
    </w:pPr>
    <w:rPr>
      <w:sz w:val="20"/>
    </w:rPr>
  </w:style>
  <w:style w:type="paragraph" w:customStyle="1" w:styleId="SubHeading1">
    <w:name w:val="SubHeading1"/>
    <w:basedOn w:val="HeadingBase"/>
    <w:rsid w:val="00615FC1"/>
    <w:pPr>
      <w:spacing w:before="240" w:after="60"/>
    </w:pPr>
    <w:rPr>
      <w:color w:val="918585"/>
      <w:sz w:val="22"/>
    </w:rPr>
  </w:style>
  <w:style w:type="paragraph" w:customStyle="1" w:styleId="SideHeading">
    <w:name w:val="Side Heading"/>
    <w:basedOn w:val="HeadingBase"/>
    <w:rsid w:val="00615F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5FC1"/>
    <w:pPr>
      <w:numPr>
        <w:numId w:val="10"/>
      </w:numPr>
    </w:pPr>
  </w:style>
  <w:style w:type="paragraph" w:styleId="PlainText">
    <w:name w:val="Plain Text"/>
    <w:basedOn w:val="Normal"/>
    <w:link w:val="PlainTextChar"/>
    <w:rsid w:val="00615FC1"/>
    <w:rPr>
      <w:sz w:val="20"/>
    </w:rPr>
  </w:style>
  <w:style w:type="character" w:customStyle="1" w:styleId="PlainTextChar">
    <w:name w:val="Plain Text Char"/>
    <w:basedOn w:val="DefaultParagraphFont"/>
    <w:link w:val="PlainText"/>
    <w:rsid w:val="00615FC1"/>
    <w:rPr>
      <w:rFonts w:ascii="Courier New" w:eastAsia="Times New Roman" w:hAnsi="Courier New" w:cs="Times New Roman"/>
      <w:sz w:val="20"/>
      <w:szCs w:val="20"/>
      <w:lang w:eastAsia="en-US"/>
    </w:rPr>
  </w:style>
  <w:style w:type="character" w:customStyle="1" w:styleId="MenuOption">
    <w:name w:val="Menu Option"/>
    <w:basedOn w:val="DefaultParagraphFont"/>
    <w:rsid w:val="00615FC1"/>
    <w:rPr>
      <w:b/>
      <w:smallCaps/>
    </w:rPr>
  </w:style>
  <w:style w:type="paragraph" w:customStyle="1" w:styleId="TableListNumber">
    <w:name w:val="Table List Number"/>
    <w:basedOn w:val="ListNumber"/>
    <w:rsid w:val="00615FC1"/>
    <w:pPr>
      <w:numPr>
        <w:numId w:val="0"/>
      </w:numPr>
    </w:pPr>
  </w:style>
  <w:style w:type="paragraph" w:styleId="TOC4">
    <w:name w:val="toc 4"/>
    <w:basedOn w:val="TOCBase"/>
    <w:next w:val="Normal"/>
    <w:semiHidden/>
    <w:rsid w:val="00615FC1"/>
    <w:pPr>
      <w:tabs>
        <w:tab w:val="right" w:leader="dot" w:pos="9071"/>
      </w:tabs>
      <w:ind w:left="1701"/>
    </w:pPr>
  </w:style>
  <w:style w:type="paragraph" w:customStyle="1" w:styleId="ListAlpha">
    <w:name w:val="List Alpha"/>
    <w:basedOn w:val="List"/>
    <w:rsid w:val="00615FC1"/>
    <w:pPr>
      <w:numPr>
        <w:numId w:val="8"/>
      </w:numPr>
    </w:pPr>
  </w:style>
  <w:style w:type="paragraph" w:customStyle="1" w:styleId="ListAlpha2">
    <w:name w:val="List Alpha 2"/>
    <w:basedOn w:val="List2"/>
    <w:rsid w:val="00615FC1"/>
    <w:pPr>
      <w:numPr>
        <w:numId w:val="7"/>
      </w:numPr>
    </w:pPr>
  </w:style>
  <w:style w:type="paragraph" w:styleId="List2">
    <w:name w:val="List 2"/>
    <w:basedOn w:val="BodyText"/>
    <w:rsid w:val="00615FC1"/>
    <w:pPr>
      <w:tabs>
        <w:tab w:val="left" w:pos="680"/>
      </w:tabs>
      <w:spacing w:before="60" w:after="60"/>
      <w:ind w:left="680" w:hanging="340"/>
    </w:pPr>
  </w:style>
  <w:style w:type="paragraph" w:styleId="List3">
    <w:name w:val="List 3"/>
    <w:basedOn w:val="BodyText"/>
    <w:rsid w:val="00615FC1"/>
    <w:pPr>
      <w:tabs>
        <w:tab w:val="left" w:pos="1021"/>
      </w:tabs>
      <w:spacing w:before="60" w:after="60"/>
      <w:ind w:left="1020" w:hanging="340"/>
    </w:pPr>
  </w:style>
  <w:style w:type="paragraph" w:styleId="List4">
    <w:name w:val="List 4"/>
    <w:basedOn w:val="BodyText"/>
    <w:rsid w:val="00615FC1"/>
    <w:pPr>
      <w:tabs>
        <w:tab w:val="left" w:pos="1361"/>
      </w:tabs>
      <w:spacing w:before="60" w:after="60"/>
      <w:ind w:left="1361" w:hanging="340"/>
    </w:pPr>
  </w:style>
  <w:style w:type="paragraph" w:styleId="List5">
    <w:name w:val="List 5"/>
    <w:basedOn w:val="BodyText"/>
    <w:rsid w:val="00615FC1"/>
    <w:pPr>
      <w:tabs>
        <w:tab w:val="left" w:pos="1701"/>
      </w:tabs>
      <w:spacing w:before="60" w:after="60"/>
      <w:ind w:left="1701" w:hanging="340"/>
    </w:pPr>
  </w:style>
  <w:style w:type="paragraph" w:styleId="ListBullet3">
    <w:name w:val="List Bullet 3"/>
    <w:basedOn w:val="List3"/>
    <w:rsid w:val="00615FC1"/>
    <w:pPr>
      <w:numPr>
        <w:numId w:val="13"/>
      </w:numPr>
      <w:tabs>
        <w:tab w:val="clear" w:pos="1021"/>
      </w:tabs>
      <w:ind w:left="1037" w:hanging="357"/>
    </w:pPr>
  </w:style>
  <w:style w:type="paragraph" w:styleId="ListBullet4">
    <w:name w:val="List Bullet 4"/>
    <w:basedOn w:val="List4"/>
    <w:rsid w:val="00615FC1"/>
    <w:pPr>
      <w:numPr>
        <w:numId w:val="2"/>
      </w:numPr>
      <w:tabs>
        <w:tab w:val="clear" w:pos="1361"/>
      </w:tabs>
    </w:pPr>
  </w:style>
  <w:style w:type="paragraph" w:styleId="ListBullet5">
    <w:name w:val="List Bullet 5"/>
    <w:basedOn w:val="List5"/>
    <w:rsid w:val="00615FC1"/>
    <w:pPr>
      <w:numPr>
        <w:numId w:val="3"/>
      </w:numPr>
    </w:pPr>
  </w:style>
  <w:style w:type="paragraph" w:styleId="ListContinue2">
    <w:name w:val="List Continue 2"/>
    <w:basedOn w:val="List2"/>
    <w:rsid w:val="00615FC1"/>
    <w:pPr>
      <w:ind w:firstLine="0"/>
    </w:pPr>
  </w:style>
  <w:style w:type="paragraph" w:styleId="ListContinue3">
    <w:name w:val="List Continue 3"/>
    <w:basedOn w:val="List3"/>
    <w:rsid w:val="00615FC1"/>
    <w:pPr>
      <w:ind w:left="1021" w:firstLine="0"/>
    </w:pPr>
  </w:style>
  <w:style w:type="paragraph" w:styleId="ListContinue4">
    <w:name w:val="List Continue 4"/>
    <w:basedOn w:val="List4"/>
    <w:rsid w:val="00615FC1"/>
    <w:pPr>
      <w:ind w:firstLine="0"/>
    </w:pPr>
  </w:style>
  <w:style w:type="paragraph" w:styleId="ListContinue5">
    <w:name w:val="List Continue 5"/>
    <w:basedOn w:val="List5"/>
    <w:rsid w:val="00615FC1"/>
    <w:pPr>
      <w:ind w:firstLine="0"/>
    </w:pPr>
  </w:style>
  <w:style w:type="paragraph" w:styleId="ListNumber3">
    <w:name w:val="List Number 3"/>
    <w:basedOn w:val="List3"/>
    <w:rsid w:val="00615FC1"/>
    <w:pPr>
      <w:numPr>
        <w:numId w:val="4"/>
      </w:numPr>
    </w:pPr>
  </w:style>
  <w:style w:type="paragraph" w:styleId="ListNumber4">
    <w:name w:val="List Number 4"/>
    <w:basedOn w:val="List4"/>
    <w:rsid w:val="00615FC1"/>
    <w:pPr>
      <w:numPr>
        <w:numId w:val="5"/>
      </w:numPr>
    </w:pPr>
  </w:style>
  <w:style w:type="paragraph" w:styleId="ListNumber5">
    <w:name w:val="List Number 5"/>
    <w:basedOn w:val="List5"/>
    <w:rsid w:val="00615FC1"/>
    <w:pPr>
      <w:numPr>
        <w:numId w:val="6"/>
      </w:numPr>
    </w:pPr>
  </w:style>
  <w:style w:type="paragraph" w:styleId="BlockText">
    <w:name w:val="Block Text"/>
    <w:basedOn w:val="Normal"/>
    <w:rsid w:val="00615FC1"/>
    <w:pPr>
      <w:spacing w:after="120"/>
      <w:ind w:left="1440" w:right="1440"/>
    </w:pPr>
  </w:style>
  <w:style w:type="character" w:customStyle="1" w:styleId="Subscript">
    <w:name w:val="Subscript"/>
    <w:basedOn w:val="DefaultParagraphFont"/>
    <w:rsid w:val="00615FC1"/>
    <w:rPr>
      <w:sz w:val="16"/>
      <w:vertAlign w:val="subscript"/>
    </w:rPr>
  </w:style>
  <w:style w:type="character" w:customStyle="1" w:styleId="Superscript">
    <w:name w:val="Superscript"/>
    <w:basedOn w:val="DefaultParagraphFont"/>
    <w:rsid w:val="00615FC1"/>
    <w:rPr>
      <w:sz w:val="16"/>
      <w:vertAlign w:val="superscript"/>
    </w:rPr>
  </w:style>
  <w:style w:type="character" w:customStyle="1" w:styleId="Symbols">
    <w:name w:val="Symbols"/>
    <w:basedOn w:val="DefaultParagraphFont"/>
    <w:rsid w:val="00615FC1"/>
    <w:rPr>
      <w:rFonts w:ascii="Symbol" w:hAnsi="Symbol"/>
    </w:rPr>
  </w:style>
  <w:style w:type="character" w:customStyle="1" w:styleId="MenuOptions">
    <w:name w:val="Menu Options"/>
    <w:basedOn w:val="DefaultParagraphFont"/>
    <w:rsid w:val="00615FC1"/>
    <w:rPr>
      <w:rFonts w:ascii="Arial Narrow" w:hAnsi="Arial Narrow"/>
      <w:smallCaps/>
    </w:rPr>
  </w:style>
  <w:style w:type="character" w:customStyle="1" w:styleId="Buttons">
    <w:name w:val="Buttons"/>
    <w:basedOn w:val="DefaultParagraphFont"/>
    <w:rsid w:val="00615FC1"/>
    <w:rPr>
      <w:b/>
    </w:rPr>
  </w:style>
  <w:style w:type="character" w:customStyle="1" w:styleId="Underlined">
    <w:name w:val="Underlined"/>
    <w:basedOn w:val="DefaultParagraphFont"/>
    <w:rsid w:val="00615FC1"/>
    <w:rPr>
      <w:u w:val="single"/>
    </w:rPr>
  </w:style>
  <w:style w:type="paragraph" w:customStyle="1" w:styleId="TableBodyTextRight">
    <w:name w:val="Table Body Text Right"/>
    <w:basedOn w:val="TableBodyText"/>
    <w:rsid w:val="00615FC1"/>
    <w:pPr>
      <w:widowControl w:val="0"/>
      <w:autoSpaceDE w:val="0"/>
      <w:autoSpaceDN w:val="0"/>
      <w:adjustRightInd w:val="0"/>
      <w:jc w:val="right"/>
    </w:pPr>
    <w:rPr>
      <w:rFonts w:cs="Arial"/>
      <w:szCs w:val="18"/>
    </w:rPr>
  </w:style>
  <w:style w:type="paragraph" w:customStyle="1" w:styleId="CopyrightText">
    <w:name w:val="Copyright Text"/>
    <w:basedOn w:val="BodyText"/>
    <w:rsid w:val="00615FC1"/>
    <w:rPr>
      <w:sz w:val="18"/>
    </w:rPr>
  </w:style>
  <w:style w:type="paragraph" w:customStyle="1" w:styleId="BodySmallRight">
    <w:name w:val="Body Small Right"/>
    <w:basedOn w:val="BodyTextRight"/>
    <w:rsid w:val="00615FC1"/>
    <w:rPr>
      <w:sz w:val="18"/>
      <w:szCs w:val="18"/>
    </w:rPr>
  </w:style>
  <w:style w:type="paragraph" w:customStyle="1" w:styleId="MarginEdition">
    <w:name w:val="Margin Edition"/>
    <w:basedOn w:val="MarginNote"/>
    <w:rsid w:val="00615FC1"/>
    <w:pPr>
      <w:spacing w:before="0" w:after="0"/>
    </w:pPr>
    <w:rPr>
      <w:rFonts w:ascii="Times New Roman" w:hAnsi="Times New Roman"/>
      <w:color w:val="999999"/>
    </w:rPr>
  </w:style>
  <w:style w:type="paragraph" w:customStyle="1" w:styleId="Spacer">
    <w:name w:val="Spacer"/>
    <w:basedOn w:val="Normal"/>
    <w:rsid w:val="00615FC1"/>
    <w:rPr>
      <w:sz w:val="2"/>
      <w:szCs w:val="2"/>
    </w:rPr>
  </w:style>
  <w:style w:type="character" w:customStyle="1" w:styleId="Small">
    <w:name w:val="Small"/>
    <w:basedOn w:val="DefaultParagraphFont"/>
    <w:rsid w:val="00615FC1"/>
    <w:rPr>
      <w:sz w:val="16"/>
    </w:rPr>
  </w:style>
  <w:style w:type="paragraph" w:customStyle="1" w:styleId="WideTable">
    <w:name w:val="Wide Table"/>
    <w:basedOn w:val="Normal"/>
    <w:rsid w:val="00615FC1"/>
    <w:pPr>
      <w:ind w:left="-1418"/>
    </w:pPr>
    <w:rPr>
      <w:sz w:val="2"/>
      <w:szCs w:val="2"/>
    </w:rPr>
  </w:style>
  <w:style w:type="character" w:styleId="PageNumber">
    <w:name w:val="page number"/>
    <w:basedOn w:val="DefaultParagraphFont"/>
    <w:rsid w:val="00615FC1"/>
  </w:style>
  <w:style w:type="paragraph" w:styleId="Quote">
    <w:name w:val="Quote"/>
    <w:basedOn w:val="Heading1"/>
    <w:link w:val="QuoteChar"/>
    <w:qFormat/>
    <w:rsid w:val="00615FC1"/>
    <w:rPr>
      <w:b w:val="0"/>
      <w:sz w:val="72"/>
      <w:szCs w:val="72"/>
      <w:lang w:val="en-NZ"/>
    </w:rPr>
  </w:style>
  <w:style w:type="character" w:customStyle="1" w:styleId="QuoteChar">
    <w:name w:val="Quote Char"/>
    <w:basedOn w:val="DefaultParagraphFont"/>
    <w:link w:val="Quote"/>
    <w:rsid w:val="00615F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5FC1"/>
    <w:pPr>
      <w:pageBreakBefore/>
    </w:pPr>
  </w:style>
  <w:style w:type="paragraph" w:customStyle="1" w:styleId="Border">
    <w:name w:val="Border"/>
    <w:basedOn w:val="Normal"/>
    <w:qFormat/>
    <w:rsid w:val="00615F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5FC1"/>
    <w:rPr>
      <w:b/>
      <w:bCs/>
      <w:i/>
      <w:iCs/>
      <w:color w:val="auto"/>
    </w:rPr>
  </w:style>
  <w:style w:type="paragraph" w:styleId="IntenseQuote">
    <w:name w:val="Intense Quote"/>
    <w:basedOn w:val="Normal"/>
    <w:next w:val="Normal"/>
    <w:link w:val="IntenseQuoteChar"/>
    <w:uiPriority w:val="30"/>
    <w:qFormat/>
    <w:rsid w:val="00615F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5F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5FC1"/>
    <w:rPr>
      <w:smallCaps/>
      <w:color w:val="auto"/>
      <w:u w:val="single"/>
    </w:rPr>
  </w:style>
  <w:style w:type="character" w:styleId="IntenseReference">
    <w:name w:val="Intense Reference"/>
    <w:basedOn w:val="DefaultParagraphFont"/>
    <w:uiPriority w:val="32"/>
    <w:qFormat/>
    <w:rsid w:val="00615FC1"/>
    <w:rPr>
      <w:b/>
      <w:bCs/>
      <w:smallCaps/>
      <w:color w:val="auto"/>
      <w:spacing w:val="5"/>
      <w:u w:val="single"/>
    </w:rPr>
  </w:style>
  <w:style w:type="paragraph" w:customStyle="1" w:styleId="2ColumnHeading">
    <w:name w:val="2Column Heading"/>
    <w:basedOn w:val="BodyText"/>
    <w:qFormat/>
    <w:rsid w:val="00615FC1"/>
    <w:pPr>
      <w:spacing w:after="60"/>
      <w:ind w:left="-2268"/>
    </w:pPr>
    <w:rPr>
      <w:b/>
    </w:rPr>
  </w:style>
  <w:style w:type="paragraph" w:customStyle="1" w:styleId="Heading1TOC">
    <w:name w:val="Heading1 TOC"/>
    <w:basedOn w:val="Normal"/>
    <w:qFormat/>
    <w:rsid w:val="00615FC1"/>
    <w:pPr>
      <w:spacing w:before="240" w:after="120"/>
    </w:pPr>
    <w:rPr>
      <w:rFonts w:ascii="Times New Roman" w:hAnsi="Times New Roman"/>
      <w:b/>
      <w:sz w:val="32"/>
    </w:rPr>
  </w:style>
  <w:style w:type="paragraph" w:customStyle="1" w:styleId="Heading2TOC">
    <w:name w:val="Heading2 TOC"/>
    <w:basedOn w:val="Normal"/>
    <w:qFormat/>
    <w:rsid w:val="00615FC1"/>
    <w:pPr>
      <w:spacing w:before="240" w:after="60"/>
    </w:pPr>
    <w:rPr>
      <w:rFonts w:ascii="Times New Roman" w:hAnsi="Times New Roman"/>
      <w:b/>
      <w:sz w:val="28"/>
    </w:rPr>
  </w:style>
  <w:style w:type="character" w:customStyle="1" w:styleId="Underline">
    <w:name w:val="Underline"/>
    <w:basedOn w:val="DefaultParagraphFont"/>
    <w:qFormat/>
    <w:rsid w:val="00615FC1"/>
    <w:rPr>
      <w:u w:val="single"/>
    </w:rPr>
  </w:style>
  <w:style w:type="character" w:customStyle="1" w:styleId="BoldandItalics">
    <w:name w:val="Bold and Italics"/>
    <w:qFormat/>
    <w:rsid w:val="00615FC1"/>
    <w:rPr>
      <w:b/>
      <w:i/>
      <w:u w:val="none"/>
    </w:rPr>
  </w:style>
  <w:style w:type="paragraph" w:styleId="BalloonText">
    <w:name w:val="Balloon Text"/>
    <w:basedOn w:val="Normal"/>
    <w:link w:val="BalloonTextChar"/>
    <w:rsid w:val="00615FC1"/>
    <w:rPr>
      <w:rFonts w:ascii="Tahoma" w:hAnsi="Tahoma" w:cs="Tahoma"/>
      <w:sz w:val="16"/>
      <w:szCs w:val="16"/>
    </w:rPr>
  </w:style>
  <w:style w:type="character" w:customStyle="1" w:styleId="BalloonTextChar">
    <w:name w:val="Balloon Text Char"/>
    <w:basedOn w:val="DefaultParagraphFont"/>
    <w:link w:val="BalloonText"/>
    <w:rsid w:val="00615F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5F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5F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5FC1"/>
    <w:rPr>
      <w:b/>
      <w:color w:val="660033"/>
      <w:spacing w:val="0"/>
    </w:rPr>
  </w:style>
  <w:style w:type="paragraph" w:customStyle="1" w:styleId="Nameditemlist">
    <w:name w:val="Named item list"/>
    <w:basedOn w:val="BodyText"/>
    <w:qFormat/>
    <w:rsid w:val="00615FC1"/>
    <w:pPr>
      <w:tabs>
        <w:tab w:val="left" w:pos="2835"/>
      </w:tabs>
      <w:ind w:left="2835" w:hanging="2835"/>
    </w:pPr>
  </w:style>
  <w:style w:type="paragraph" w:customStyle="1" w:styleId="BodyTextnopadding">
    <w:name w:val="Body Text no padding"/>
    <w:basedOn w:val="BodyText"/>
    <w:qFormat/>
    <w:rsid w:val="00615FC1"/>
    <w:pPr>
      <w:spacing w:before="0" w:after="0"/>
    </w:pPr>
  </w:style>
  <w:style w:type="paragraph" w:customStyle="1" w:styleId="BodyTextBold">
    <w:name w:val="Body Text Bold"/>
    <w:basedOn w:val="BodyText"/>
    <w:qFormat/>
    <w:rsid w:val="00615FC1"/>
    <w:rPr>
      <w:b/>
    </w:rPr>
  </w:style>
  <w:style w:type="character" w:styleId="Hyperlink">
    <w:name w:val="Hyperlink"/>
    <w:basedOn w:val="DefaultParagraphFont"/>
    <w:uiPriority w:val="99"/>
    <w:unhideWhenUsed/>
    <w:rsid w:val="004C01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714</Words>
  <Characters>4522</Characters>
  <Application>Microsoft Office Word</Application>
  <DocSecurity>0</DocSecurity>
  <Lines>180</Lines>
  <Paragraphs>87</Paragraphs>
  <ScaleCrop>false</ScaleCrop>
  <Company>Author-it Software Corporation Ltd.</Company>
  <LinksUpToDate>false</LinksUpToDate>
  <CharactersWithSpaces>5149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MARO011 Transmit and receive information by the Global Maritime Distress and Safety System (GMDSS)</dc:title>
  <dc:subject>Approved</dc:subject>
  <dc:creator>Industry Skills Australia</dc:creator>
  <cp:keywords>Release: 1</cp:keywords>
  <dc:description>Review Date: 12 April 2008</dc:description>
  <cp:lastModifiedBy>HSD_TPCMSd.prod</cp:lastModifiedBy>
  <cp:revision>3</cp:revision>
  <dcterms:created xsi:type="dcterms:W3CDTF">2024-11-22T08:05:00Z</dcterms:created>
  <dcterms:modified xsi:type="dcterms:W3CDTF">2024-11-22T08:05:00Z</dcterms:modified>
</cp:coreProperties>
</file>