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B20" w:rsidP="00B43B20">
      <w:pPr>
        <w:pStyle w:val="Title"/>
      </w:pPr>
      <w:r>
        <w:fldChar w:fldCharType="begin"/>
      </w:r>
      <w:r>
        <w:instrText xml:space="preserve"> TITLE   \* MERGEFORMAT </w:instrText>
      </w:r>
      <w:r>
        <w:fldChar w:fldCharType="separate"/>
      </w:r>
      <w:r>
        <w:t>Assessment Requirements for MARO011 Transmit and receive information by the Global Maritime Distress and Safety System (GMDSS)</w:t>
      </w:r>
      <w:r>
        <w:fldChar w:fldCharType="end"/>
      </w:r>
    </w:p>
    <w:p w:rsidR="00B43B20" w:rsidP="00B43B20">
      <w:pPr>
        <w:pStyle w:val="Version"/>
        <w:sectPr w:rsidSect="002E27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705" w:rsidP="002E2705">
      <w:pPr>
        <w:pStyle w:val="SuperHeading"/>
      </w:pPr>
      <w:r w:rsidRPr="002E2705">
        <w:t>Assessment Requirements for MARO011 Transmit and receive information by the Global Maritime Distress and Safety System (GMDSS)</w:t>
      </w:r>
    </w:p>
    <w:p w:rsidR="00000000" w:rsidRPr="002E2705" w:rsidP="002E2705">
      <w:pPr>
        <w:pStyle w:val="Heading1"/>
      </w:pPr>
      <w:bookmarkStart w:id="1" w:name="O_1089254"/>
      <w:bookmarkEnd w:id="1"/>
      <w:r w:rsidRPr="002E2705">
        <w:t>Modification History</w:t>
      </w:r>
    </w:p>
    <w:tbl>
      <w:tblPr>
        <w:tblW w:w="9497" w:type="dxa"/>
        <w:tblLayout w:type="fixed"/>
        <w:tblCellMar>
          <w:left w:w="62" w:type="dxa"/>
          <w:right w:w="62" w:type="dxa"/>
        </w:tblCellMar>
        <w:tblLook w:val="0000"/>
      </w:tblPr>
      <w:tblGrid>
        <w:gridCol w:w="9497"/>
      </w:tblGrid>
      <w:tr w:rsidTr="002E27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2705" w:rsidP="002E2705">
            <w:pPr>
              <w:pStyle w:val="BodyText"/>
            </w:pPr>
            <w:r w:rsidRPr="002E2705">
              <w:t>Release 1. This is the first release of this unit of competency in the MAR Maritime Training Package.</w:t>
            </w:r>
          </w:p>
        </w:tc>
      </w:tr>
    </w:tbl>
    <w:p w:rsidR="00000000" w:rsidRPr="002E2705" w:rsidP="002E2705">
      <w:pPr>
        <w:pStyle w:val="NoPaddingFontSize1"/>
      </w:pPr>
    </w:p>
    <w:p w:rsidR="00000000" w:rsidRPr="002E2705" w:rsidP="002E2705">
      <w:pPr>
        <w:pStyle w:val="AllowPageBreak"/>
      </w:pPr>
    </w:p>
    <w:p w:rsidR="00000000" w:rsidRPr="002E2705" w:rsidP="002E2705">
      <w:pPr>
        <w:pStyle w:val="Heading1"/>
      </w:pPr>
      <w:bookmarkStart w:id="2" w:name="O_1089255"/>
      <w:bookmarkEnd w:id="2"/>
      <w:r w:rsidRPr="002E2705">
        <w:t>Performance Evidence</w:t>
      </w:r>
    </w:p>
    <w:tbl>
      <w:tblPr>
        <w:tblW w:w="9497" w:type="dxa"/>
        <w:tblLayout w:type="fixed"/>
        <w:tblCellMar>
          <w:left w:w="62" w:type="dxa"/>
          <w:right w:w="62" w:type="dxa"/>
        </w:tblCellMar>
        <w:tblLook w:val="0000"/>
      </w:tblPr>
      <w:tblGrid>
        <w:gridCol w:w="9497"/>
      </w:tblGrid>
      <w:tr w:rsidTr="002E27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2705" w:rsidP="002E2705">
            <w:pPr>
              <w:pStyle w:val="BodyText"/>
            </w:pPr>
            <w:r w:rsidRPr="002E2705">
              <w:t>Evidence required to demonstrate competence in this unit must be relevant to and satisfy all of the requirements</w:t>
            </w:r>
            <w:r w:rsidRPr="002E2705">
              <w:t xml:space="preserve"> of the elements and performance criteria on at least one occasion and include:</w:t>
            </w:r>
          </w:p>
          <w:p w:rsidR="00000000" w:rsidRPr="002E2705" w:rsidP="002E2705">
            <w:pPr>
              <w:pStyle w:val="ListBullet"/>
            </w:pPr>
            <w:r w:rsidRPr="002E2705">
              <w:t>applying work health and safety/occupational health and safety (WHS/OHS) procedures when operating Global Maritime Distress and Safety System (GMDSS) subsystems and equipment</w:t>
            </w:r>
          </w:p>
          <w:p w:rsidR="00000000" w:rsidRPr="002E2705" w:rsidP="002E2705">
            <w:pPr>
              <w:pStyle w:val="ListBullet"/>
            </w:pPr>
            <w:r w:rsidRPr="002E2705">
              <w:t>communicating effectively with others when using GMDSS subsystems and equipment</w:t>
            </w:r>
          </w:p>
          <w:p w:rsidR="00000000" w:rsidRPr="002E2705" w:rsidP="002E2705">
            <w:pPr>
              <w:pStyle w:val="ListBullet"/>
            </w:pPr>
            <w:r w:rsidRPr="002E2705">
              <w:t>conducting operational checks on GMDSS subsystems and equipment</w:t>
            </w:r>
          </w:p>
          <w:p w:rsidR="00000000" w:rsidRPr="002E2705" w:rsidP="002E2705">
            <w:pPr>
              <w:pStyle w:val="ListBullet"/>
            </w:pPr>
            <w:r w:rsidRPr="002E2705">
              <w:t>keeping a radio logbook of communications using the GMDSS equipment, including the required regulatory entries i</w:t>
            </w:r>
            <w:r w:rsidRPr="002E2705">
              <w:t>nto the radio logbook</w:t>
            </w:r>
          </w:p>
          <w:p w:rsidR="00000000" w:rsidRPr="002E2705" w:rsidP="002E2705">
            <w:pPr>
              <w:pStyle w:val="ListBullet"/>
            </w:pPr>
            <w:r w:rsidRPr="002E2705">
              <w:t>operating GMDSS subsystems and equipment according to manufacturer instructions</w:t>
            </w:r>
          </w:p>
          <w:p w:rsidR="00000000" w:rsidRPr="002E2705" w:rsidP="002E2705">
            <w:pPr>
              <w:pStyle w:val="ListBullet"/>
            </w:pPr>
            <w:r w:rsidRPr="002E2705">
              <w:t>performing routine maintenance checks, including:</w:t>
            </w:r>
          </w:p>
          <w:p w:rsidR="00000000" w:rsidRPr="002E2705" w:rsidP="002E2705">
            <w:pPr>
              <w:pStyle w:val="ListBullet2"/>
            </w:pPr>
            <w:r w:rsidRPr="002E2705">
              <w:t>antennas</w:t>
            </w:r>
          </w:p>
          <w:p w:rsidR="00000000" w:rsidRPr="002E2705" w:rsidP="002E2705">
            <w:pPr>
              <w:pStyle w:val="ListBullet2"/>
            </w:pPr>
            <w:r w:rsidRPr="002E2705">
              <w:t xml:space="preserve">battery checks </w:t>
            </w:r>
          </w:p>
          <w:p w:rsidR="00000000" w:rsidRPr="002E2705" w:rsidP="002E2705">
            <w:pPr>
              <w:pStyle w:val="ListBullet2"/>
            </w:pPr>
            <w:r w:rsidRPr="002E2705">
              <w:t>equipment testing</w:t>
            </w:r>
          </w:p>
          <w:p w:rsidR="00000000" w:rsidRPr="002E2705" w:rsidP="002E2705">
            <w:pPr>
              <w:pStyle w:val="ListBullet"/>
            </w:pPr>
            <w:r w:rsidRPr="002E2705">
              <w:t>reading and interpreting instructions for the use of GMDSS subsystems and equipment</w:t>
            </w:r>
          </w:p>
          <w:p w:rsidR="00000000" w:rsidRPr="002E2705" w:rsidP="002E2705">
            <w:pPr>
              <w:pStyle w:val="ListBullet"/>
            </w:pPr>
            <w:r w:rsidRPr="002E2705">
              <w:t>recognising typical faults with GMDSS subsystems and equipment, and taking appropriate action</w:t>
            </w:r>
          </w:p>
          <w:p w:rsidR="00000000" w:rsidRPr="002E2705" w:rsidP="002E2705">
            <w:pPr>
              <w:pStyle w:val="ListBullet"/>
            </w:pPr>
            <w:r w:rsidRPr="002E2705">
              <w:t>using the international phonetic alphabet and numeral code.</w:t>
            </w:r>
          </w:p>
        </w:tc>
      </w:tr>
    </w:tbl>
    <w:p w:rsidR="00000000" w:rsidRPr="002E2705" w:rsidP="002E2705">
      <w:pPr>
        <w:pStyle w:val="NoPaddingFontSize1"/>
      </w:pPr>
    </w:p>
    <w:p w:rsidR="00000000" w:rsidRPr="002E2705" w:rsidP="002E2705">
      <w:pPr>
        <w:pStyle w:val="AllowPageBreak"/>
      </w:pPr>
    </w:p>
    <w:p w:rsidR="00000000" w:rsidRPr="002E2705" w:rsidP="002E2705">
      <w:pPr>
        <w:pStyle w:val="Heading1"/>
      </w:pPr>
      <w:bookmarkStart w:id="3" w:name="O_1089256"/>
      <w:bookmarkEnd w:id="3"/>
      <w:r w:rsidRPr="002E2705">
        <w:t>Knowledge Evidence</w:t>
      </w:r>
    </w:p>
    <w:tbl>
      <w:tblPr>
        <w:tblW w:w="9497" w:type="dxa"/>
        <w:tblLayout w:type="fixed"/>
        <w:tblCellMar>
          <w:left w:w="62" w:type="dxa"/>
          <w:right w:w="62" w:type="dxa"/>
        </w:tblCellMar>
        <w:tblLook w:val="0000"/>
      </w:tblPr>
      <w:tblGrid>
        <w:gridCol w:w="9497"/>
      </w:tblGrid>
      <w:tr w:rsidTr="002E27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2705" w:rsidP="002E2705">
            <w:pPr>
              <w:pStyle w:val="BodyText"/>
            </w:pPr>
            <w:r w:rsidRPr="002E2705">
              <w:t>Evidence required to demonstrate competence in this unit must be relevant to and satisfy all of the requirements of the elements and performance criteria and include knowledge of:</w:t>
            </w:r>
          </w:p>
          <w:p w:rsidR="00000000" w:rsidRPr="002E2705" w:rsidP="002E2705">
            <w:pPr>
              <w:pStyle w:val="ListBullet"/>
            </w:pPr>
            <w:r w:rsidRPr="002E2705">
              <w:t>different types of marine radio equipment, thei</w:t>
            </w:r>
            <w:r w:rsidRPr="002E2705">
              <w:t>r features, applications, operating characteristics and operating procedures</w:t>
            </w:r>
          </w:p>
          <w:p w:rsidR="00000000" w:rsidRPr="002E2705" w:rsidP="002E2705">
            <w:pPr>
              <w:pStyle w:val="ListBullet"/>
            </w:pPr>
            <w:r w:rsidRPr="002E2705">
              <w:t>GMDSS components</w:t>
            </w:r>
          </w:p>
          <w:p w:rsidR="00000000" w:rsidRPr="002E2705" w:rsidP="002E2705">
            <w:pPr>
              <w:pStyle w:val="ListBullet"/>
            </w:pPr>
            <w:r w:rsidRPr="002E2705">
              <w:t>GMDSS procedures in response to emergency situations, such as abandon ship, fire, persons in survival craft or piracy at sea</w:t>
            </w:r>
          </w:p>
          <w:p w:rsidR="00000000" w:rsidRPr="002E2705" w:rsidP="002E2705">
            <w:pPr>
              <w:pStyle w:val="ListBullet"/>
            </w:pPr>
            <w:r w:rsidRPr="002E2705">
              <w:t>hazards associated with radio transmi</w:t>
            </w:r>
            <w:r w:rsidRPr="002E2705">
              <w:t>ssion and the repair and maintenance of radio equipment and related hazard control measures</w:t>
            </w:r>
          </w:p>
          <w:p w:rsidR="00000000" w:rsidRPr="002E2705" w:rsidP="002E2705">
            <w:pPr>
              <w:pStyle w:val="ListBullet"/>
            </w:pPr>
            <w:r w:rsidRPr="002E2705">
              <w:t xml:space="preserve">identification of radio stations </w:t>
            </w:r>
          </w:p>
          <w:p w:rsidR="00000000" w:rsidRPr="002E2705" w:rsidP="002E2705">
            <w:pPr>
              <w:pStyle w:val="ListBullet"/>
            </w:pPr>
            <w:r w:rsidRPr="002E2705">
              <w:t>international and national radio regulations applicable to GMDSS communications, including Australian Maritime Safety Authority (A</w:t>
            </w:r>
            <w:r w:rsidRPr="002E2705">
              <w:t>MSA) Marine Orders, International Telecommunications Union (ITU) and the International Convention for the Safety of Life at Sea (SOLAS) Chapter IV</w:t>
            </w:r>
          </w:p>
          <w:p w:rsidR="00000000" w:rsidRPr="002E2705" w:rsidP="002E2705">
            <w:pPr>
              <w:pStyle w:val="ListBullet"/>
            </w:pPr>
            <w:r w:rsidRPr="002E2705">
              <w:t>maintenance strategies and requirements for GMDSS equipment as defined in SOLAS, radio regulations and the In</w:t>
            </w:r>
            <w:r w:rsidRPr="002E2705">
              <w:t>ternational Convention on Standards of Training, Certification and Watchkeeping for Seafarers (STCW)</w:t>
            </w:r>
          </w:p>
          <w:p w:rsidR="00000000" w:rsidRPr="002E2705" w:rsidP="002E2705">
            <w:pPr>
              <w:pStyle w:val="ListBullet"/>
            </w:pPr>
            <w:r w:rsidRPr="002E2705">
              <w:t>means to prevent the transmission of false distress alerts</w:t>
            </w:r>
          </w:p>
          <w:p w:rsidR="00000000" w:rsidRPr="002E2705" w:rsidP="002E2705">
            <w:pPr>
              <w:pStyle w:val="ListBullet"/>
            </w:pPr>
            <w:r w:rsidRPr="002E2705">
              <w:t>miscellaneous skills and operational procedures for general communications</w:t>
            </w:r>
          </w:p>
          <w:p w:rsidR="00000000" w:rsidRPr="002E2705" w:rsidP="002E2705">
            <w:pPr>
              <w:pStyle w:val="ListBullet"/>
            </w:pPr>
            <w:r w:rsidRPr="002E2705">
              <w:t>operational checks, i</w:t>
            </w:r>
            <w:r w:rsidRPr="002E2705">
              <w:t>ncluding checking radio performance, measuring capacity of batteries, and measuring on and off load voltage</w:t>
            </w:r>
          </w:p>
          <w:p w:rsidR="00000000" w:rsidRPr="002E2705" w:rsidP="002E2705">
            <w:pPr>
              <w:pStyle w:val="ListBullet"/>
            </w:pPr>
            <w:r w:rsidRPr="002E2705">
              <w:t>principles and features of marine radio communications, including:</w:t>
            </w:r>
          </w:p>
          <w:p w:rsidR="00000000" w:rsidRPr="002E2705" w:rsidP="002E2705">
            <w:pPr>
              <w:pStyle w:val="ListBullet2"/>
            </w:pPr>
            <w:r w:rsidRPr="002E2705">
              <w:t>correct use of frequencies, frequency bands and modes of emission</w:t>
            </w:r>
          </w:p>
          <w:p w:rsidR="00000000" w:rsidRPr="002E2705" w:rsidP="002E2705">
            <w:pPr>
              <w:pStyle w:val="ListBullet2"/>
            </w:pPr>
            <w:r w:rsidRPr="002E2705">
              <w:t>definition of coverage and sea areas for digital selective calling (DSC)</w:t>
            </w:r>
          </w:p>
          <w:p w:rsidR="00000000" w:rsidRPr="002E2705" w:rsidP="002E2705">
            <w:pPr>
              <w:pStyle w:val="ListBullet2"/>
            </w:pPr>
            <w:r w:rsidRPr="002E2705">
              <w:t>distress, urgency and safety communication</w:t>
            </w:r>
          </w:p>
          <w:p w:rsidR="00000000" w:rsidRPr="002E2705" w:rsidP="002E2705">
            <w:pPr>
              <w:pStyle w:val="ListBullet2"/>
            </w:pPr>
            <w:r w:rsidRPr="002E2705">
              <w:t>frequencies for routine call and reply</w:t>
            </w:r>
          </w:p>
          <w:p w:rsidR="00000000" w:rsidRPr="002E2705" w:rsidP="002E2705">
            <w:pPr>
              <w:pStyle w:val="ListBullet2"/>
            </w:pPr>
            <w:r w:rsidRPr="002E2705">
              <w:t>limitations on the performance of different types of marine radio equipment</w:t>
            </w:r>
          </w:p>
          <w:p w:rsidR="00000000" w:rsidRPr="002E2705" w:rsidP="002E2705">
            <w:pPr>
              <w:pStyle w:val="ListBullet2"/>
            </w:pPr>
            <w:r w:rsidRPr="002E2705">
              <w:t xml:space="preserve">methods of communicating </w:t>
            </w:r>
            <w:r w:rsidRPr="002E2705">
              <w:t>vessel position</w:t>
            </w:r>
          </w:p>
          <w:p w:rsidR="00000000" w:rsidRPr="002E2705" w:rsidP="002E2705">
            <w:pPr>
              <w:pStyle w:val="ListBullet2"/>
            </w:pPr>
            <w:r w:rsidRPr="002E2705">
              <w:t>purpose of and procedures for the monitoring of calling and working frequencies</w:t>
            </w:r>
          </w:p>
          <w:p w:rsidR="00000000" w:rsidRPr="002E2705" w:rsidP="002E2705">
            <w:pPr>
              <w:pStyle w:val="ListBullet2"/>
            </w:pPr>
            <w:r w:rsidRPr="002E2705">
              <w:t>purpose of silence periods when operating radio equipment</w:t>
            </w:r>
          </w:p>
          <w:p w:rsidR="00000000" w:rsidRPr="002E2705" w:rsidP="002E2705">
            <w:pPr>
              <w:pStyle w:val="ListBullet2"/>
            </w:pPr>
            <w:r w:rsidRPr="002E2705">
              <w:t>radio calling, replying and relaying procedures</w:t>
            </w:r>
          </w:p>
          <w:p w:rsidR="00000000" w:rsidRPr="002E2705" w:rsidP="002E2705">
            <w:pPr>
              <w:pStyle w:val="ListBullet"/>
            </w:pPr>
            <w:r w:rsidRPr="002E2705">
              <w:t>principles of radio propagation, including:</w:t>
            </w:r>
          </w:p>
          <w:p w:rsidR="00000000" w:rsidRPr="002E2705" w:rsidP="002E2705">
            <w:pPr>
              <w:pStyle w:val="ListBullet2"/>
            </w:pPr>
            <w:r w:rsidRPr="002E2705">
              <w:t>basic pr</w:t>
            </w:r>
            <w:r w:rsidRPr="002E2705">
              <w:t>opagation mechanisms at low frequency (LF), medium frequency (MF), high frequency (HF) and very high frequency (VHF)</w:t>
            </w:r>
          </w:p>
          <w:p w:rsidR="00000000" w:rsidRPr="002E2705" w:rsidP="002E2705">
            <w:pPr>
              <w:pStyle w:val="ListBullet2"/>
            </w:pPr>
            <w:r w:rsidRPr="002E2705">
              <w:t>classes of emission</w:t>
            </w:r>
          </w:p>
          <w:p w:rsidR="00000000" w:rsidRPr="002E2705" w:rsidP="002E2705">
            <w:pPr>
              <w:pStyle w:val="ListBullet2"/>
            </w:pPr>
            <w:r w:rsidRPr="002E2705">
              <w:t>duplex, simplex paired frequencies and ITU channels</w:t>
            </w:r>
          </w:p>
          <w:p w:rsidR="00000000" w:rsidRPr="002E2705" w:rsidP="002E2705">
            <w:pPr>
              <w:pStyle w:val="ListBullet2"/>
            </w:pPr>
            <w:r w:rsidRPr="002E2705">
              <w:t>frequency bands</w:t>
            </w:r>
          </w:p>
          <w:p w:rsidR="00000000" w:rsidRPr="002E2705" w:rsidP="002E2705">
            <w:pPr>
              <w:pStyle w:val="ListBullet2"/>
            </w:pPr>
            <w:r w:rsidRPr="002E2705">
              <w:t>maximum usable frequency (MUF)</w:t>
            </w:r>
          </w:p>
          <w:p w:rsidR="00000000" w:rsidRPr="002E2705" w:rsidP="002E2705">
            <w:pPr>
              <w:pStyle w:val="ListBullet2"/>
            </w:pPr>
            <w:r w:rsidRPr="002E2705">
              <w:t xml:space="preserve">optimum </w:t>
            </w:r>
            <w:r w:rsidRPr="002E2705">
              <w:t>working frequency (OWF)</w:t>
            </w:r>
          </w:p>
          <w:p w:rsidR="00000000" w:rsidRPr="002E2705" w:rsidP="002E2705">
            <w:pPr>
              <w:pStyle w:val="ListBullet"/>
            </w:pPr>
            <w:r w:rsidRPr="002E2705">
              <w:t>procedures for:</w:t>
            </w:r>
          </w:p>
          <w:p w:rsidR="00000000" w:rsidRPr="002E2705" w:rsidP="002E2705">
            <w:pPr>
              <w:pStyle w:val="ListBullet2"/>
            </w:pPr>
            <w:r w:rsidRPr="002E2705">
              <w:t>international phonetic alphabet and numeral code</w:t>
            </w:r>
          </w:p>
          <w:p w:rsidR="00000000" w:rsidRPr="002E2705" w:rsidP="002E2705">
            <w:pPr>
              <w:pStyle w:val="ListBullet2"/>
            </w:pPr>
            <w:r w:rsidRPr="002E2705">
              <w:t>keeping records of radio communication</w:t>
            </w:r>
          </w:p>
          <w:p w:rsidR="00000000" w:rsidRPr="002E2705" w:rsidP="002E2705">
            <w:pPr>
              <w:pStyle w:val="ListBullet2"/>
            </w:pPr>
            <w:r w:rsidRPr="002E2705">
              <w:t xml:space="preserve">using various GMDSS systems and services, including: </w:t>
            </w:r>
          </w:p>
          <w:p w:rsidR="00000000" w:rsidRPr="002E2705" w:rsidP="002E2705">
            <w:pPr>
              <w:pStyle w:val="ListBullet3"/>
            </w:pPr>
            <w:r w:rsidRPr="002E2705">
              <w:t xml:space="preserve">current inmarsat services enhanced group calling (EGC) system </w:t>
            </w:r>
          </w:p>
          <w:p w:rsidR="00000000" w:rsidRPr="002E2705" w:rsidP="002E2705">
            <w:pPr>
              <w:pStyle w:val="ListBullet3"/>
            </w:pPr>
            <w:r w:rsidRPr="002E2705">
              <w:t>MF/HF radio with narrow band direct printing (NBDP)</w:t>
            </w:r>
          </w:p>
          <w:p w:rsidR="00000000" w:rsidRPr="002E2705" w:rsidP="002E2705">
            <w:pPr>
              <w:pStyle w:val="ListBullet3"/>
            </w:pPr>
            <w:r w:rsidRPr="002E2705">
              <w:t>DSC facilities and usage</w:t>
            </w:r>
          </w:p>
          <w:p w:rsidR="00000000" w:rsidRPr="002E2705" w:rsidP="002E2705">
            <w:pPr>
              <w:pStyle w:val="ListBullet3"/>
            </w:pPr>
            <w:r w:rsidRPr="002E2705">
              <w:t>Enhanced group call (EGC) receiver</w:t>
            </w:r>
          </w:p>
          <w:p w:rsidR="00000000" w:rsidRPr="002E2705" w:rsidP="002E2705">
            <w:pPr>
              <w:pStyle w:val="ListBullet3"/>
            </w:pPr>
            <w:r w:rsidRPr="002E2705">
              <w:t>maritime safety information (MSI) services</w:t>
            </w:r>
          </w:p>
          <w:p w:rsidR="00000000" w:rsidRPr="002E2705" w:rsidP="002E2705">
            <w:pPr>
              <w:pStyle w:val="ListBullet3"/>
            </w:pPr>
            <w:r w:rsidRPr="002E2705">
              <w:t>navigational telex (NAVTEX) system</w:t>
            </w:r>
          </w:p>
          <w:p w:rsidR="00000000" w:rsidRPr="002E2705" w:rsidP="002E2705">
            <w:pPr>
              <w:pStyle w:val="ListBullet3"/>
            </w:pPr>
            <w:r w:rsidRPr="002E2705">
              <w:t>SafetyNET system</w:t>
            </w:r>
          </w:p>
          <w:p w:rsidR="00000000" w:rsidRPr="002E2705" w:rsidP="002E2705">
            <w:pPr>
              <w:pStyle w:val="ListBullet"/>
            </w:pPr>
            <w:r w:rsidRPr="002E2705">
              <w:t>prohibitions on connecting non-GMDSS equipment t</w:t>
            </w:r>
            <w:r w:rsidRPr="002E2705">
              <w:t>o reserve source of supply</w:t>
            </w:r>
          </w:p>
          <w:p w:rsidR="00000000" w:rsidRPr="002E2705" w:rsidP="002E2705">
            <w:pPr>
              <w:pStyle w:val="ListBullet"/>
            </w:pPr>
            <w:r w:rsidRPr="002E2705">
              <w:t>radio communication problems and appropriate actions and solutions</w:t>
            </w:r>
          </w:p>
          <w:p w:rsidR="00000000" w:rsidRPr="002E2705" w:rsidP="002E2705">
            <w:pPr>
              <w:pStyle w:val="ListBullet"/>
            </w:pPr>
            <w:r w:rsidRPr="002E2705">
              <w:t>radio equipment faults, defects and related fault-finding techniques</w:t>
            </w:r>
          </w:p>
          <w:p w:rsidR="00000000" w:rsidRPr="002E2705" w:rsidP="002E2705">
            <w:pPr>
              <w:pStyle w:val="ListBullet"/>
            </w:pPr>
            <w:r w:rsidRPr="002E2705">
              <w:t>requirements of ship reporting systems</w:t>
            </w:r>
          </w:p>
          <w:p w:rsidR="00000000" w:rsidRPr="002E2705" w:rsidP="002E2705">
            <w:pPr>
              <w:pStyle w:val="ListBullet"/>
            </w:pPr>
            <w:r w:rsidRPr="002E2705">
              <w:t>role and method of use of ship reporting systems</w:t>
            </w:r>
          </w:p>
          <w:p w:rsidR="00000000" w:rsidRPr="002E2705" w:rsidP="002E2705">
            <w:pPr>
              <w:pStyle w:val="ListBullet"/>
            </w:pPr>
            <w:r w:rsidRPr="002E2705">
              <w:t>searc</w:t>
            </w:r>
            <w:r w:rsidRPr="002E2705">
              <w:t>h and rescue (SAR) operation</w:t>
            </w:r>
          </w:p>
          <w:p w:rsidR="00000000" w:rsidRPr="002E2705" w:rsidP="002E2705">
            <w:pPr>
              <w:pStyle w:val="ListBullet"/>
            </w:pPr>
            <w:r w:rsidRPr="002E2705">
              <w:t>service publications</w:t>
            </w:r>
          </w:p>
          <w:p w:rsidR="00000000" w:rsidRPr="002E2705" w:rsidP="002E2705">
            <w:pPr>
              <w:pStyle w:val="ListBullet"/>
            </w:pPr>
            <w:r w:rsidRPr="002E2705">
              <w:t>statutory framework of the Maritime Mobile Service</w:t>
            </w:r>
          </w:p>
          <w:p w:rsidR="00000000" w:rsidRPr="002E2705" w:rsidP="002E2705">
            <w:pPr>
              <w:pStyle w:val="ListBullet"/>
            </w:pPr>
            <w:r w:rsidRPr="002E2705">
              <w:t>systems used onboard, including:</w:t>
            </w:r>
          </w:p>
          <w:p w:rsidR="00000000" w:rsidRPr="002E2705" w:rsidP="002E2705">
            <w:pPr>
              <w:pStyle w:val="ListBullet"/>
            </w:pPr>
            <w:r w:rsidRPr="002E2705">
              <w:t>automatic identification system (AIS)</w:t>
            </w:r>
          </w:p>
          <w:p w:rsidR="00000000" w:rsidRPr="002E2705" w:rsidP="002E2705">
            <w:pPr>
              <w:pStyle w:val="ListBullet"/>
            </w:pPr>
            <w:r w:rsidRPr="002E2705">
              <w:t>ship security alert system</w:t>
            </w:r>
          </w:p>
          <w:p w:rsidR="00000000" w:rsidRPr="002E2705" w:rsidP="002E2705">
            <w:pPr>
              <w:pStyle w:val="ListBullet"/>
            </w:pPr>
            <w:r w:rsidRPr="002E2705">
              <w:t>ultra-high frequency (UHF) handhelds</w:t>
            </w:r>
          </w:p>
          <w:p w:rsidR="00000000" w:rsidRPr="002E2705" w:rsidP="002E2705">
            <w:pPr>
              <w:pStyle w:val="ListBullet"/>
            </w:pPr>
            <w:r w:rsidRPr="002E2705">
              <w:t>types, applications and features of basic antenna systems used in marine radio communications</w:t>
            </w:r>
          </w:p>
          <w:p w:rsidR="00000000" w:rsidRPr="002E2705" w:rsidP="002E2705">
            <w:pPr>
              <w:pStyle w:val="ListBullet"/>
            </w:pPr>
            <w:r w:rsidRPr="002E2705">
              <w:t>use of radio medical services.</w:t>
            </w:r>
          </w:p>
        </w:tc>
      </w:tr>
    </w:tbl>
    <w:p w:rsidR="00000000" w:rsidRPr="002E2705" w:rsidP="002E2705">
      <w:pPr>
        <w:pStyle w:val="NoPaddingFontSize1"/>
      </w:pPr>
    </w:p>
    <w:p w:rsidR="00000000" w:rsidRPr="002E2705" w:rsidP="002E2705">
      <w:pPr>
        <w:pStyle w:val="AllowPageBreak"/>
      </w:pPr>
    </w:p>
    <w:p w:rsidR="00000000" w:rsidRPr="002E2705" w:rsidP="002E2705">
      <w:pPr>
        <w:pStyle w:val="Heading1"/>
      </w:pPr>
      <w:bookmarkStart w:id="4" w:name="O_1089257"/>
      <w:bookmarkEnd w:id="4"/>
      <w:r w:rsidRPr="002E2705">
        <w:t>Assessment Conditions</w:t>
      </w:r>
    </w:p>
    <w:tbl>
      <w:tblPr>
        <w:tblW w:w="9497" w:type="dxa"/>
        <w:tblLayout w:type="fixed"/>
        <w:tblCellMar>
          <w:left w:w="62" w:type="dxa"/>
          <w:right w:w="62" w:type="dxa"/>
        </w:tblCellMar>
        <w:tblLook w:val="0000"/>
      </w:tblPr>
      <w:tblGrid>
        <w:gridCol w:w="9497"/>
      </w:tblGrid>
      <w:tr w:rsidTr="002E27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2705" w:rsidP="002E2705">
            <w:pPr>
              <w:pStyle w:val="BodyText"/>
            </w:pPr>
            <w:r w:rsidRPr="002E2705">
              <w:t>Assessors must hold credentials specified within the Standards for Registered Training O</w:t>
            </w:r>
            <w:r w:rsidRPr="002E2705">
              <w:t xml:space="preserve">rganisations current at the time of assessment. </w:t>
            </w:r>
          </w:p>
          <w:p w:rsidR="00000000" w:rsidRPr="002E2705" w:rsidP="002E2705">
            <w:pPr>
              <w:pStyle w:val="BodyText"/>
            </w:pPr>
            <w:r w:rsidRPr="002E2705">
              <w:t>Assessment must satisfy the Principles of Assessment and Rules of Evidence and all regulatory requirements included within the Standards for Registered Training Organisations current at the time of assessmen</w:t>
            </w:r>
            <w:r w:rsidRPr="002E2705">
              <w:t>t.</w:t>
            </w:r>
          </w:p>
          <w:p w:rsidR="00000000" w:rsidRPr="002E2705" w:rsidP="002E2705">
            <w:pPr>
              <w:pStyle w:val="BodyText"/>
            </w:pPr>
            <w:r w:rsidRPr="002E2705">
              <w:t>Assessment processes and techniques must be appropriate to the language, literacy and numeracy requirements of the work being performed and the needs of the candidate.</w:t>
            </w:r>
          </w:p>
          <w:p w:rsidR="00000000" w:rsidRPr="002E2705" w:rsidP="002E2705">
            <w:pPr>
              <w:pStyle w:val="BodyText"/>
            </w:pPr>
            <w:r w:rsidRPr="002E2705">
              <w:t>Practical assessment must occur in a workplace, or realistic simulated workplace, und</w:t>
            </w:r>
            <w:r w:rsidRPr="002E2705">
              <w:t xml:space="preserve">er the normal range of workplace conditions. </w:t>
            </w:r>
          </w:p>
          <w:p w:rsidR="00000000" w:rsidRPr="002E2705" w:rsidP="002E2705">
            <w:pPr>
              <w:pStyle w:val="BodyText"/>
            </w:pPr>
            <w:r w:rsidRPr="002E2705">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2E2705">
              <w:t>or may lead to environmental damage.</w:t>
            </w:r>
          </w:p>
          <w:p w:rsidR="00000000" w:rsidRPr="002E2705" w:rsidP="002E2705">
            <w:pPr>
              <w:pStyle w:val="BodyText"/>
            </w:pPr>
            <w:r w:rsidRPr="002E2705">
              <w:t>Resources for assessment must include access to:</w:t>
            </w:r>
          </w:p>
          <w:p w:rsidR="00000000" w:rsidRPr="002E2705" w:rsidP="002E2705">
            <w:pPr>
              <w:pStyle w:val="ListBullet"/>
            </w:pPr>
            <w:r w:rsidRPr="002E2705">
              <w:t>applicable documentation, such as legislation, regulations, codes of practice, workplace procedures and operational manuals</w:t>
            </w:r>
          </w:p>
          <w:p w:rsidR="00000000" w:rsidRPr="002E2705" w:rsidP="002E2705">
            <w:pPr>
              <w:pStyle w:val="ListBullet"/>
            </w:pPr>
            <w:r w:rsidRPr="002E2705">
              <w:t>tools, equipment, machinery, materials and re</w:t>
            </w:r>
            <w:r w:rsidRPr="002E2705">
              <w:t>levant personal protective equipment (PPE) currently used in industry, including GMDSS communication equipment.</w:t>
            </w:r>
          </w:p>
        </w:tc>
      </w:tr>
    </w:tbl>
    <w:p w:rsidR="00000000" w:rsidRPr="002E2705" w:rsidP="002E2705">
      <w:pPr>
        <w:pStyle w:val="NoPaddingFontSize1"/>
      </w:pPr>
    </w:p>
    <w:p w:rsidR="00000000" w:rsidRPr="002E2705" w:rsidP="002E2705">
      <w:pPr>
        <w:pStyle w:val="AllowPageBreak"/>
      </w:pPr>
    </w:p>
    <w:p w:rsidR="00000000" w:rsidRPr="002E2705" w:rsidP="002E2705">
      <w:pPr>
        <w:pStyle w:val="Heading1"/>
      </w:pPr>
      <w:bookmarkStart w:id="5" w:name="O_1089260"/>
      <w:bookmarkEnd w:id="5"/>
      <w:r w:rsidRPr="002E2705">
        <w:t>Links</w:t>
      </w:r>
    </w:p>
    <w:p w:rsidR="00000000" w:rsidRPr="002E2705" w:rsidP="00B43B20">
      <w:pPr>
        <w:pStyle w:val="BodyText"/>
      </w:pPr>
      <w:r w:rsidRPr="002E270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10AA7">
        <w:rPr>
          <w:rStyle w:val="Hyperlink"/>
        </w:rPr>
        <w:t>https://vetnet.gov.au/Pages/TrainingDocs.aspx?q=772efb7b-4cce-47fe-9bbd-ee3b1d1eb4c2</w:t>
      </w:r>
      <w:r>
        <w:fldChar w:fldCharType="end"/>
      </w:r>
    </w:p>
    <w:p w:rsidR="00000000" w:rsidRPr="002E2705" w:rsidP="002E2705"/>
    <w:sectPr w:rsidSect="002E27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05" w:rsidRPr="00B43B20" w:rsidP="00B43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20" w:rsidP="002E2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3B20" w:rsidP="002E27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43B20" w:rsidP="002E2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705" w:rsidRPr="00B43B20" w:rsidP="00B43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B20" w:rsidRPr="002D2AF8" w:rsidP="002E2705">
    <w:pPr>
      <w:pStyle w:val="Header"/>
      <w:framePr w:wrap="around"/>
    </w:pPr>
    <w:r>
      <w:fldChar w:fldCharType="begin"/>
    </w:r>
    <w:r>
      <w:instrText xml:space="preserve"> TITLE   \* MERGEFORMAT </w:instrText>
    </w:r>
    <w:r>
      <w:fldChar w:fldCharType="separate"/>
    </w:r>
    <w:r>
      <w:t>Assessment Requirements for MARO011 Transmit and receive information by the Global Maritime Distress and Safety System (GMDSS)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43B20" w:rsidP="002E2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2E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964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2C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705"/>
    <w:pPr>
      <w:spacing w:before="360" w:after="60"/>
      <w:outlineLvl w:val="0"/>
    </w:pPr>
    <w:rPr>
      <w:sz w:val="32"/>
    </w:rPr>
  </w:style>
  <w:style w:type="paragraph" w:styleId="Heading2">
    <w:name w:val="heading 2"/>
    <w:basedOn w:val="HeadingBase"/>
    <w:next w:val="BodyText"/>
    <w:link w:val="Heading2Char"/>
    <w:qFormat/>
    <w:rsid w:val="002E2705"/>
    <w:pPr>
      <w:keepLines/>
      <w:spacing w:before="240" w:after="120"/>
      <w:outlineLvl w:val="1"/>
    </w:pPr>
    <w:rPr>
      <w:sz w:val="28"/>
      <w:szCs w:val="40"/>
    </w:rPr>
  </w:style>
  <w:style w:type="paragraph" w:styleId="Heading3">
    <w:name w:val="heading 3"/>
    <w:basedOn w:val="HeadingBase"/>
    <w:next w:val="BodyText"/>
    <w:link w:val="Heading3Char"/>
    <w:qFormat/>
    <w:rsid w:val="002E2705"/>
    <w:pPr>
      <w:spacing w:before="180" w:after="120"/>
      <w:outlineLvl w:val="2"/>
    </w:pPr>
    <w:rPr>
      <w:spacing w:val="-10"/>
      <w:kern w:val="32"/>
    </w:rPr>
  </w:style>
  <w:style w:type="paragraph" w:styleId="Heading4">
    <w:name w:val="heading 4"/>
    <w:basedOn w:val="HeadingBase"/>
    <w:next w:val="BodyText"/>
    <w:link w:val="Heading4Char"/>
    <w:qFormat/>
    <w:rsid w:val="002E2705"/>
    <w:pPr>
      <w:spacing w:before="160" w:after="120"/>
      <w:outlineLvl w:val="3"/>
    </w:pPr>
    <w:rPr>
      <w:sz w:val="22"/>
    </w:rPr>
  </w:style>
  <w:style w:type="paragraph" w:styleId="Heading5">
    <w:name w:val="heading 5"/>
    <w:basedOn w:val="HeadingBase"/>
    <w:next w:val="Normal"/>
    <w:link w:val="Heading5Char"/>
    <w:qFormat/>
    <w:rsid w:val="002E2705"/>
    <w:pPr>
      <w:spacing w:before="80"/>
      <w:outlineLvl w:val="4"/>
    </w:pPr>
    <w:rPr>
      <w:color w:val="918585"/>
      <w:sz w:val="20"/>
    </w:rPr>
  </w:style>
  <w:style w:type="paragraph" w:styleId="Heading6">
    <w:name w:val="heading 6"/>
    <w:basedOn w:val="HeadingBase"/>
    <w:next w:val="Normal"/>
    <w:link w:val="Heading6Char"/>
    <w:qFormat/>
    <w:rsid w:val="002E2705"/>
    <w:pPr>
      <w:spacing w:before="60"/>
      <w:outlineLvl w:val="5"/>
    </w:pPr>
    <w:rPr>
      <w:color w:val="918585"/>
      <w:sz w:val="20"/>
    </w:rPr>
  </w:style>
  <w:style w:type="paragraph" w:styleId="Heading7">
    <w:name w:val="heading 7"/>
    <w:basedOn w:val="Normal"/>
    <w:next w:val="Normal"/>
    <w:link w:val="Heading7Char"/>
    <w:qFormat/>
    <w:rsid w:val="002E2705"/>
    <w:pPr>
      <w:ind w:left="720"/>
      <w:outlineLvl w:val="6"/>
    </w:pPr>
    <w:rPr>
      <w:i/>
    </w:rPr>
  </w:style>
  <w:style w:type="paragraph" w:styleId="Heading8">
    <w:name w:val="heading 8"/>
    <w:basedOn w:val="Normal"/>
    <w:next w:val="Normal"/>
    <w:link w:val="Heading8Char"/>
    <w:qFormat/>
    <w:rsid w:val="002E2705"/>
    <w:pPr>
      <w:ind w:left="720"/>
      <w:outlineLvl w:val="7"/>
    </w:pPr>
    <w:rPr>
      <w:i/>
    </w:rPr>
  </w:style>
  <w:style w:type="paragraph" w:styleId="Heading9">
    <w:name w:val="heading 9"/>
    <w:basedOn w:val="Normal"/>
    <w:next w:val="Normal"/>
    <w:link w:val="Heading9Char"/>
    <w:qFormat/>
    <w:rsid w:val="002E2705"/>
    <w:pPr>
      <w:ind w:left="720"/>
      <w:outlineLvl w:val="8"/>
    </w:pPr>
    <w:rPr>
      <w:i/>
    </w:rPr>
  </w:style>
  <w:style w:type="character" w:default="1" w:styleId="DefaultParagraphFont">
    <w:name w:val="Default Paragraph Font"/>
    <w:uiPriority w:val="1"/>
    <w:unhideWhenUsed/>
    <w:rsid w:val="002E2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705"/>
  </w:style>
  <w:style w:type="character" w:customStyle="1" w:styleId="Heading1Char">
    <w:name w:val="Heading 1 Char"/>
    <w:basedOn w:val="DefaultParagraphFont"/>
    <w:link w:val="Heading1"/>
    <w:rsid w:val="002E2705"/>
    <w:rPr>
      <w:rFonts w:ascii="Times New Roman" w:eastAsia="Times New Roman" w:hAnsi="Times New Roman" w:cs="Times New Roman"/>
      <w:b/>
      <w:sz w:val="32"/>
      <w:szCs w:val="20"/>
      <w:lang w:eastAsia="en-US"/>
    </w:rPr>
  </w:style>
  <w:style w:type="paragraph" w:styleId="BodyText">
    <w:name w:val="Body Text"/>
    <w:basedOn w:val="Normal"/>
    <w:link w:val="BodyTextChar"/>
    <w:rsid w:val="002E27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705"/>
    <w:rPr>
      <w:rFonts w:ascii="Times New Roman" w:eastAsia="Times New Roman" w:hAnsi="Times New Roman" w:cs="Times New Roman"/>
      <w:sz w:val="24"/>
      <w:lang w:eastAsia="en-US"/>
    </w:rPr>
  </w:style>
  <w:style w:type="paragraph" w:styleId="ListBullet">
    <w:name w:val="List Bullet"/>
    <w:basedOn w:val="List"/>
    <w:rsid w:val="002E2705"/>
    <w:pPr>
      <w:numPr>
        <w:numId w:val="13"/>
      </w:numPr>
      <w:tabs>
        <w:tab w:val="clear" w:pos="340"/>
      </w:tabs>
      <w:spacing w:before="40" w:after="40"/>
    </w:pPr>
  </w:style>
  <w:style w:type="paragraph" w:styleId="ListBullet2">
    <w:name w:val="List Bullet 2"/>
    <w:basedOn w:val="List2"/>
    <w:rsid w:val="002E2705"/>
    <w:pPr>
      <w:numPr>
        <w:numId w:val="14"/>
      </w:numPr>
      <w:tabs>
        <w:tab w:val="clear" w:pos="680"/>
      </w:tabs>
    </w:pPr>
  </w:style>
  <w:style w:type="paragraph" w:customStyle="1" w:styleId="SuperHeading">
    <w:name w:val="SuperHeading"/>
    <w:basedOn w:val="Normal"/>
    <w:rsid w:val="002E2705"/>
    <w:pPr>
      <w:spacing w:before="240" w:after="120"/>
      <w:outlineLvl w:val="0"/>
    </w:pPr>
    <w:rPr>
      <w:rFonts w:ascii="Times New Roman" w:hAnsi="Times New Roman"/>
      <w:b/>
      <w:sz w:val="32"/>
    </w:rPr>
  </w:style>
  <w:style w:type="paragraph" w:customStyle="1" w:styleId="AllowPageBreak">
    <w:name w:val="AllowPageBreak"/>
    <w:rsid w:val="002E27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270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2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705"/>
    <w:rPr>
      <w:rFonts w:ascii="Courier New" w:eastAsia="Times New Roman" w:hAnsi="Courier New" w:cs="Times New Roman"/>
      <w:i/>
      <w:szCs w:val="20"/>
      <w:lang w:eastAsia="en-US"/>
    </w:rPr>
  </w:style>
  <w:style w:type="paragraph" w:customStyle="1" w:styleId="HeadingBase">
    <w:name w:val="Heading Base"/>
    <w:rsid w:val="002E2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705"/>
    <w:pPr>
      <w:tabs>
        <w:tab w:val="right" w:leader="dot" w:pos="9072"/>
      </w:tabs>
      <w:ind w:left="567"/>
    </w:pPr>
    <w:rPr>
      <w:szCs w:val="22"/>
    </w:rPr>
  </w:style>
  <w:style w:type="paragraph" w:customStyle="1" w:styleId="TOCBase">
    <w:name w:val="TOC Base"/>
    <w:rsid w:val="002E2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705"/>
    <w:pPr>
      <w:tabs>
        <w:tab w:val="right" w:leader="dot" w:pos="9072"/>
      </w:tabs>
      <w:spacing w:before="40" w:after="40"/>
      <w:ind w:left="284"/>
    </w:pPr>
    <w:rPr>
      <w:rFonts w:ascii="Times New Roman" w:hAnsi="Times New Roman"/>
    </w:rPr>
  </w:style>
  <w:style w:type="paragraph" w:styleId="TOC1">
    <w:name w:val="toc 1"/>
    <w:basedOn w:val="TOCBase"/>
    <w:next w:val="Normal"/>
    <w:rsid w:val="002E2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705"/>
    <w:rPr>
      <w:rFonts w:ascii="Times New Roman" w:eastAsia="Times New Roman" w:hAnsi="Times New Roman" w:cs="Times New Roman"/>
      <w:sz w:val="16"/>
      <w:lang w:eastAsia="en-US"/>
    </w:rPr>
  </w:style>
  <w:style w:type="paragraph" w:styleId="Title">
    <w:name w:val="Title"/>
    <w:basedOn w:val="HeadingBase"/>
    <w:link w:val="TitleChar"/>
    <w:qFormat/>
    <w:rsid w:val="002E2705"/>
    <w:pPr>
      <w:spacing w:before="5040"/>
      <w:jc w:val="center"/>
    </w:pPr>
    <w:rPr>
      <w:sz w:val="48"/>
      <w:szCs w:val="72"/>
      <w:lang w:val="en-US"/>
    </w:rPr>
  </w:style>
  <w:style w:type="character" w:customStyle="1" w:styleId="TitleChar">
    <w:name w:val="Title Char"/>
    <w:basedOn w:val="DefaultParagraphFont"/>
    <w:link w:val="Title"/>
    <w:rsid w:val="002E2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705"/>
    <w:pPr>
      <w:tabs>
        <w:tab w:val="left" w:pos="3600"/>
        <w:tab w:val="left" w:pos="3958"/>
      </w:tabs>
    </w:pPr>
  </w:style>
  <w:style w:type="paragraph" w:styleId="List">
    <w:name w:val="List"/>
    <w:basedOn w:val="BodyText"/>
    <w:next w:val="BodyText"/>
    <w:rsid w:val="002E2705"/>
    <w:pPr>
      <w:tabs>
        <w:tab w:val="left" w:pos="340"/>
      </w:tabs>
      <w:spacing w:before="60" w:after="60"/>
      <w:ind w:left="340" w:hanging="340"/>
    </w:pPr>
  </w:style>
  <w:style w:type="paragraph" w:customStyle="1" w:styleId="Note">
    <w:name w:val="Note"/>
    <w:basedOn w:val="BodyText"/>
    <w:rsid w:val="002E27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E2705"/>
    <w:rPr>
      <w:b/>
      <w:spacing w:val="0"/>
    </w:rPr>
  </w:style>
  <w:style w:type="paragraph" w:customStyle="1" w:styleId="SuperTitle">
    <w:name w:val="SuperTitle"/>
    <w:basedOn w:val="Title"/>
    <w:rsid w:val="002E2705"/>
    <w:pPr>
      <w:framePr w:wrap="auto" w:hAnchor="text" w:y="6049"/>
    </w:pPr>
    <w:rPr>
      <w:color w:val="000000"/>
      <w:sz w:val="40"/>
    </w:rPr>
  </w:style>
  <w:style w:type="paragraph" w:customStyle="1" w:styleId="TOCTitle">
    <w:name w:val="TOCTitle"/>
    <w:basedOn w:val="Heading1"/>
    <w:rsid w:val="002E2705"/>
    <w:pPr>
      <w:spacing w:after="240"/>
      <w:jc w:val="center"/>
      <w:outlineLvl w:val="9"/>
    </w:pPr>
    <w:rPr>
      <w:caps/>
    </w:rPr>
  </w:style>
  <w:style w:type="paragraph" w:customStyle="1" w:styleId="Version">
    <w:name w:val="Version"/>
    <w:rsid w:val="002E27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705"/>
    <w:pPr>
      <w:keepNext w:val="0"/>
      <w:tabs>
        <w:tab w:val="right" w:pos="4176"/>
      </w:tabs>
      <w:ind w:left="198" w:hanging="198"/>
    </w:pPr>
    <w:rPr>
      <w:rFonts w:ascii="Garamond" w:hAnsi="Garamond"/>
    </w:rPr>
  </w:style>
  <w:style w:type="paragraph" w:styleId="IndexHeading">
    <w:name w:val="index heading"/>
    <w:basedOn w:val="Normal"/>
    <w:next w:val="Index1"/>
    <w:semiHidden/>
    <w:rsid w:val="002E2705"/>
    <w:pPr>
      <w:spacing w:before="120" w:after="120"/>
    </w:pPr>
    <w:rPr>
      <w:rFonts w:ascii="Arial" w:hAnsi="Arial"/>
      <w:b/>
      <w:color w:val="918585"/>
      <w:sz w:val="24"/>
    </w:rPr>
  </w:style>
  <w:style w:type="paragraph" w:styleId="Header">
    <w:name w:val="header"/>
    <w:basedOn w:val="Normal"/>
    <w:link w:val="HeaderChar"/>
    <w:rsid w:val="002E2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705"/>
    <w:rPr>
      <w:rFonts w:ascii="Times New Roman" w:eastAsia="Times New Roman" w:hAnsi="Times New Roman" w:cs="Times New Roman"/>
      <w:sz w:val="16"/>
      <w:szCs w:val="20"/>
      <w:lang w:val="en-GB" w:eastAsia="en-US"/>
    </w:rPr>
  </w:style>
  <w:style w:type="paragraph" w:customStyle="1" w:styleId="Chapter">
    <w:name w:val="Chapter"/>
    <w:basedOn w:val="Normal"/>
    <w:rsid w:val="002E2705"/>
    <w:pPr>
      <w:spacing w:before="240"/>
    </w:pPr>
    <w:rPr>
      <w:rFonts w:ascii="Times New Roman" w:hAnsi="Times New Roman"/>
      <w:smallCaps/>
      <w:spacing w:val="80"/>
      <w:sz w:val="28"/>
    </w:rPr>
  </w:style>
  <w:style w:type="paragraph" w:customStyle="1" w:styleId="InChapter">
    <w:name w:val="InChapter"/>
    <w:basedOn w:val="Heading3"/>
    <w:rsid w:val="002E2705"/>
    <w:pPr>
      <w:spacing w:after="240"/>
      <w:outlineLvl w:val="9"/>
    </w:pPr>
    <w:rPr>
      <w:noProof/>
    </w:rPr>
  </w:style>
  <w:style w:type="paragraph" w:styleId="Index2">
    <w:name w:val="index 2"/>
    <w:basedOn w:val="Normal"/>
    <w:next w:val="Normal"/>
    <w:semiHidden/>
    <w:rsid w:val="002E2705"/>
    <w:pPr>
      <w:tabs>
        <w:tab w:val="right" w:pos="4176"/>
      </w:tabs>
      <w:ind w:left="568" w:hanging="284"/>
    </w:pPr>
    <w:rPr>
      <w:rFonts w:ascii="Garamond" w:hAnsi="Garamond"/>
    </w:rPr>
  </w:style>
  <w:style w:type="paragraph" w:customStyle="1" w:styleId="Byline">
    <w:name w:val="Byline"/>
    <w:rsid w:val="002E2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705"/>
    <w:pPr>
      <w:tabs>
        <w:tab w:val="clear" w:pos="3600"/>
        <w:tab w:val="clear" w:pos="3958"/>
      </w:tabs>
      <w:jc w:val="right"/>
    </w:pPr>
  </w:style>
  <w:style w:type="character" w:styleId="Emphasis">
    <w:name w:val="Emphasis"/>
    <w:basedOn w:val="DefaultParagraphFont"/>
    <w:qFormat/>
    <w:rsid w:val="002E2705"/>
    <w:rPr>
      <w:i/>
    </w:rPr>
  </w:style>
  <w:style w:type="paragraph" w:styleId="Caption">
    <w:name w:val="caption"/>
    <w:basedOn w:val="BodyText"/>
    <w:next w:val="Normal"/>
    <w:qFormat/>
    <w:rsid w:val="002E2705"/>
    <w:pPr>
      <w:framePr w:w="2268" w:hSpace="181" w:vSpace="181" w:wrap="around" w:vAnchor="text" w:hAnchor="page" w:x="1135" w:y="285" w:anchorLock="1"/>
    </w:pPr>
    <w:rPr>
      <w:i/>
    </w:rPr>
  </w:style>
  <w:style w:type="paragraph" w:customStyle="1" w:styleId="MiniTOCTitle">
    <w:name w:val="MiniTOCTitle"/>
    <w:basedOn w:val="Heading4"/>
    <w:rsid w:val="002E2705"/>
    <w:pPr>
      <w:spacing w:before="240"/>
      <w:outlineLvl w:val="9"/>
    </w:pPr>
    <w:rPr>
      <w:noProof/>
      <w:sz w:val="24"/>
    </w:rPr>
  </w:style>
  <w:style w:type="paragraph" w:customStyle="1" w:styleId="MiniTOCItem">
    <w:name w:val="MiniTOCItem"/>
    <w:basedOn w:val="ListBullet"/>
    <w:rsid w:val="002E2705"/>
    <w:pPr>
      <w:numPr>
        <w:numId w:val="0"/>
      </w:numPr>
      <w:tabs>
        <w:tab w:val="right" w:leader="dot" w:pos="6521"/>
      </w:tabs>
      <w:spacing w:before="0" w:after="0"/>
    </w:pPr>
  </w:style>
  <w:style w:type="paragraph" w:customStyle="1" w:styleId="TOFTitle">
    <w:name w:val="TOFTitle"/>
    <w:basedOn w:val="TOCTitle"/>
    <w:rsid w:val="002E2705"/>
  </w:style>
  <w:style w:type="paragraph" w:styleId="TableofFigures">
    <w:name w:val="table of figures"/>
    <w:basedOn w:val="Normal"/>
    <w:next w:val="Normal"/>
    <w:semiHidden/>
    <w:rsid w:val="002E2705"/>
    <w:pPr>
      <w:tabs>
        <w:tab w:val="right" w:leader="dot" w:pos="9072"/>
      </w:tabs>
      <w:ind w:left="970" w:hanging="403"/>
    </w:pPr>
    <w:rPr>
      <w:rFonts w:ascii="Times New Roman" w:hAnsi="Times New Roman"/>
      <w:b/>
    </w:rPr>
  </w:style>
  <w:style w:type="paragraph" w:styleId="ListNumber">
    <w:name w:val="List Number"/>
    <w:basedOn w:val="List"/>
    <w:rsid w:val="002E2705"/>
    <w:pPr>
      <w:numPr>
        <w:numId w:val="16"/>
      </w:numPr>
      <w:tabs>
        <w:tab w:val="clear" w:pos="340"/>
      </w:tabs>
    </w:pPr>
  </w:style>
  <w:style w:type="character" w:customStyle="1" w:styleId="WingdingSymbols">
    <w:name w:val="Wingding Symbols"/>
    <w:rsid w:val="002E2705"/>
    <w:rPr>
      <w:rFonts w:ascii="Wingdings" w:hAnsi="Wingdings"/>
    </w:rPr>
  </w:style>
  <w:style w:type="paragraph" w:customStyle="1" w:styleId="TableHeading">
    <w:name w:val="Table Heading"/>
    <w:basedOn w:val="HeadingBase"/>
    <w:rsid w:val="002E2705"/>
    <w:pPr>
      <w:keepLines/>
      <w:pBdr>
        <w:bottom w:val="single" w:sz="6" w:space="1" w:color="918585"/>
      </w:pBdr>
      <w:spacing w:before="240"/>
    </w:pPr>
  </w:style>
  <w:style w:type="character" w:customStyle="1" w:styleId="HotSpot">
    <w:name w:val="HotSpot"/>
    <w:rsid w:val="002E2705"/>
    <w:rPr>
      <w:color w:val="0033CC"/>
      <w:u w:val="none"/>
    </w:rPr>
  </w:style>
  <w:style w:type="paragraph" w:customStyle="1" w:styleId="BodyTextRight">
    <w:name w:val="Body Text Right"/>
    <w:basedOn w:val="BodyText"/>
    <w:rsid w:val="002E2705"/>
    <w:pPr>
      <w:spacing w:before="0" w:after="0"/>
      <w:jc w:val="right"/>
    </w:pPr>
  </w:style>
  <w:style w:type="paragraph" w:styleId="Index3">
    <w:name w:val="index 3"/>
    <w:basedOn w:val="ListNumber2"/>
    <w:next w:val="Normal"/>
    <w:semiHidden/>
    <w:rsid w:val="002E2705"/>
    <w:pPr>
      <w:numPr>
        <w:numId w:val="0"/>
      </w:numPr>
      <w:tabs>
        <w:tab w:val="right" w:leader="dot" w:pos="4176"/>
      </w:tabs>
    </w:pPr>
  </w:style>
  <w:style w:type="paragraph" w:styleId="ListNumber2">
    <w:name w:val="List Number 2"/>
    <w:basedOn w:val="List2"/>
    <w:rsid w:val="002E2705"/>
    <w:pPr>
      <w:numPr>
        <w:numId w:val="11"/>
      </w:numPr>
      <w:tabs>
        <w:tab w:val="clear" w:pos="1060"/>
      </w:tabs>
    </w:pPr>
  </w:style>
  <w:style w:type="paragraph" w:customStyle="1" w:styleId="MarginNote">
    <w:name w:val="Margin Note"/>
    <w:basedOn w:val="BodyText"/>
    <w:rsid w:val="002E2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705"/>
    <w:rPr>
      <w:sz w:val="32"/>
    </w:rPr>
  </w:style>
  <w:style w:type="paragraph" w:customStyle="1" w:styleId="HeadingProcedure">
    <w:name w:val="Heading Procedure"/>
    <w:basedOn w:val="HeadingBase"/>
    <w:next w:val="Normal"/>
    <w:rsid w:val="002E2705"/>
    <w:pPr>
      <w:tabs>
        <w:tab w:val="left" w:pos="0"/>
      </w:tabs>
      <w:spacing w:before="120" w:after="60"/>
    </w:pPr>
    <w:rPr>
      <w:i/>
      <w:color w:val="918585"/>
      <w:sz w:val="22"/>
    </w:rPr>
  </w:style>
  <w:style w:type="paragraph" w:customStyle="1" w:styleId="TableBodyText">
    <w:name w:val="Table Body Text"/>
    <w:basedOn w:val="BodyText"/>
    <w:rsid w:val="002E2705"/>
    <w:pPr>
      <w:spacing w:before="60" w:after="60"/>
    </w:pPr>
  </w:style>
  <w:style w:type="paragraph" w:styleId="ListContinue">
    <w:name w:val="List Continue"/>
    <w:basedOn w:val="List"/>
    <w:rsid w:val="002E2705"/>
    <w:pPr>
      <w:ind w:firstLine="0"/>
    </w:pPr>
  </w:style>
  <w:style w:type="paragraph" w:customStyle="1" w:styleId="ListNote">
    <w:name w:val="List Note"/>
    <w:basedOn w:val="List"/>
    <w:rsid w:val="002E2705"/>
    <w:pPr>
      <w:pBdr>
        <w:top w:val="single" w:sz="6" w:space="2" w:color="918585"/>
        <w:bottom w:val="single" w:sz="6" w:space="2" w:color="918585"/>
      </w:pBdr>
      <w:tabs>
        <w:tab w:val="left" w:pos="1021"/>
      </w:tabs>
      <w:ind w:firstLine="0"/>
    </w:pPr>
  </w:style>
  <w:style w:type="paragraph" w:customStyle="1" w:styleId="Warning">
    <w:name w:val="Warning"/>
    <w:basedOn w:val="BodyText"/>
    <w:rsid w:val="002E2705"/>
    <w:pPr>
      <w:shd w:val="clear" w:color="auto" w:fill="D9D9D9"/>
      <w:tabs>
        <w:tab w:val="left" w:pos="992"/>
      </w:tabs>
      <w:ind w:left="119" w:right="119"/>
    </w:pPr>
    <w:rPr>
      <w:sz w:val="20"/>
    </w:rPr>
  </w:style>
  <w:style w:type="paragraph" w:customStyle="1" w:styleId="MarginIcons">
    <w:name w:val="Margin Icons"/>
    <w:basedOn w:val="BodyText"/>
    <w:rsid w:val="002E2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705"/>
    <w:rPr>
      <w:rFonts w:ascii="Courier New" w:hAnsi="Courier New"/>
    </w:rPr>
  </w:style>
  <w:style w:type="paragraph" w:customStyle="1" w:styleId="NoteBullet">
    <w:name w:val="Note Bullet"/>
    <w:basedOn w:val="Note"/>
    <w:rsid w:val="002E2705"/>
    <w:pPr>
      <w:tabs>
        <w:tab w:val="clear" w:pos="680"/>
      </w:tabs>
      <w:spacing w:before="60" w:after="60"/>
    </w:pPr>
  </w:style>
  <w:style w:type="paragraph" w:customStyle="1" w:styleId="SubHeading2">
    <w:name w:val="SubHeading2"/>
    <w:basedOn w:val="HeadingBase"/>
    <w:rsid w:val="002E2705"/>
    <w:pPr>
      <w:spacing w:before="240" w:after="60"/>
    </w:pPr>
    <w:rPr>
      <w:sz w:val="20"/>
    </w:rPr>
  </w:style>
  <w:style w:type="paragraph" w:customStyle="1" w:styleId="SubHeading1">
    <w:name w:val="SubHeading1"/>
    <w:basedOn w:val="HeadingBase"/>
    <w:rsid w:val="002E2705"/>
    <w:pPr>
      <w:spacing w:before="240" w:after="60"/>
    </w:pPr>
    <w:rPr>
      <w:color w:val="918585"/>
      <w:sz w:val="22"/>
    </w:rPr>
  </w:style>
  <w:style w:type="paragraph" w:customStyle="1" w:styleId="SideHeading">
    <w:name w:val="Side Heading"/>
    <w:basedOn w:val="HeadingBase"/>
    <w:rsid w:val="002E2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705"/>
    <w:pPr>
      <w:numPr>
        <w:numId w:val="12"/>
      </w:numPr>
    </w:pPr>
  </w:style>
  <w:style w:type="paragraph" w:styleId="PlainText">
    <w:name w:val="Plain Text"/>
    <w:basedOn w:val="Normal"/>
    <w:link w:val="PlainTextChar"/>
    <w:rsid w:val="002E2705"/>
    <w:rPr>
      <w:sz w:val="20"/>
    </w:rPr>
  </w:style>
  <w:style w:type="character" w:customStyle="1" w:styleId="PlainTextChar">
    <w:name w:val="Plain Text Char"/>
    <w:basedOn w:val="DefaultParagraphFont"/>
    <w:link w:val="PlainText"/>
    <w:rsid w:val="002E2705"/>
    <w:rPr>
      <w:rFonts w:ascii="Courier New" w:eastAsia="Times New Roman" w:hAnsi="Courier New" w:cs="Times New Roman"/>
      <w:sz w:val="20"/>
      <w:szCs w:val="20"/>
      <w:lang w:eastAsia="en-US"/>
    </w:rPr>
  </w:style>
  <w:style w:type="character" w:customStyle="1" w:styleId="MenuOption">
    <w:name w:val="Menu Option"/>
    <w:basedOn w:val="DefaultParagraphFont"/>
    <w:rsid w:val="002E2705"/>
    <w:rPr>
      <w:b/>
      <w:smallCaps/>
    </w:rPr>
  </w:style>
  <w:style w:type="paragraph" w:customStyle="1" w:styleId="TableListNumber">
    <w:name w:val="Table List Number"/>
    <w:basedOn w:val="ListNumber"/>
    <w:rsid w:val="002E2705"/>
    <w:pPr>
      <w:numPr>
        <w:numId w:val="0"/>
      </w:numPr>
    </w:pPr>
  </w:style>
  <w:style w:type="paragraph" w:styleId="TOC4">
    <w:name w:val="toc 4"/>
    <w:basedOn w:val="TOCBase"/>
    <w:next w:val="Normal"/>
    <w:semiHidden/>
    <w:rsid w:val="002E2705"/>
    <w:pPr>
      <w:tabs>
        <w:tab w:val="right" w:leader="dot" w:pos="9071"/>
      </w:tabs>
      <w:ind w:left="1701"/>
    </w:pPr>
  </w:style>
  <w:style w:type="paragraph" w:customStyle="1" w:styleId="ListAlpha">
    <w:name w:val="List Alpha"/>
    <w:basedOn w:val="List"/>
    <w:rsid w:val="002E2705"/>
    <w:pPr>
      <w:numPr>
        <w:numId w:val="10"/>
      </w:numPr>
    </w:pPr>
  </w:style>
  <w:style w:type="paragraph" w:customStyle="1" w:styleId="ListAlpha2">
    <w:name w:val="List Alpha 2"/>
    <w:basedOn w:val="List2"/>
    <w:rsid w:val="002E2705"/>
    <w:pPr>
      <w:numPr>
        <w:numId w:val="9"/>
      </w:numPr>
    </w:pPr>
  </w:style>
  <w:style w:type="paragraph" w:styleId="List2">
    <w:name w:val="List 2"/>
    <w:basedOn w:val="BodyText"/>
    <w:rsid w:val="002E2705"/>
    <w:pPr>
      <w:tabs>
        <w:tab w:val="left" w:pos="680"/>
      </w:tabs>
      <w:spacing w:before="60" w:after="60"/>
      <w:ind w:left="680" w:hanging="340"/>
    </w:pPr>
  </w:style>
  <w:style w:type="paragraph" w:styleId="List3">
    <w:name w:val="List 3"/>
    <w:basedOn w:val="BodyText"/>
    <w:rsid w:val="002E2705"/>
    <w:pPr>
      <w:tabs>
        <w:tab w:val="left" w:pos="1021"/>
      </w:tabs>
      <w:spacing w:before="60" w:after="60"/>
      <w:ind w:left="1020" w:hanging="340"/>
    </w:pPr>
  </w:style>
  <w:style w:type="paragraph" w:styleId="List4">
    <w:name w:val="List 4"/>
    <w:basedOn w:val="BodyText"/>
    <w:rsid w:val="002E2705"/>
    <w:pPr>
      <w:tabs>
        <w:tab w:val="left" w:pos="1361"/>
      </w:tabs>
      <w:spacing w:before="60" w:after="60"/>
      <w:ind w:left="1361" w:hanging="340"/>
    </w:pPr>
  </w:style>
  <w:style w:type="paragraph" w:styleId="List5">
    <w:name w:val="List 5"/>
    <w:basedOn w:val="BodyText"/>
    <w:rsid w:val="002E2705"/>
    <w:pPr>
      <w:tabs>
        <w:tab w:val="left" w:pos="1701"/>
      </w:tabs>
      <w:spacing w:before="60" w:after="60"/>
      <w:ind w:left="1701" w:hanging="340"/>
    </w:pPr>
  </w:style>
  <w:style w:type="paragraph" w:styleId="ListBullet4">
    <w:name w:val="List Bullet 4"/>
    <w:basedOn w:val="List4"/>
    <w:rsid w:val="002E2705"/>
    <w:pPr>
      <w:numPr>
        <w:numId w:val="4"/>
      </w:numPr>
      <w:tabs>
        <w:tab w:val="clear" w:pos="1361"/>
      </w:tabs>
    </w:pPr>
  </w:style>
  <w:style w:type="paragraph" w:styleId="ListBullet5">
    <w:name w:val="List Bullet 5"/>
    <w:basedOn w:val="List5"/>
    <w:rsid w:val="002E2705"/>
    <w:pPr>
      <w:numPr>
        <w:numId w:val="5"/>
      </w:numPr>
    </w:pPr>
  </w:style>
  <w:style w:type="paragraph" w:styleId="ListContinue2">
    <w:name w:val="List Continue 2"/>
    <w:basedOn w:val="List2"/>
    <w:rsid w:val="002E2705"/>
    <w:pPr>
      <w:ind w:firstLine="0"/>
    </w:pPr>
  </w:style>
  <w:style w:type="paragraph" w:styleId="ListContinue3">
    <w:name w:val="List Continue 3"/>
    <w:basedOn w:val="List3"/>
    <w:rsid w:val="002E2705"/>
    <w:pPr>
      <w:ind w:left="1021" w:firstLine="0"/>
    </w:pPr>
  </w:style>
  <w:style w:type="paragraph" w:styleId="ListContinue4">
    <w:name w:val="List Continue 4"/>
    <w:basedOn w:val="List4"/>
    <w:rsid w:val="002E2705"/>
    <w:pPr>
      <w:ind w:firstLine="0"/>
    </w:pPr>
  </w:style>
  <w:style w:type="paragraph" w:styleId="ListContinue5">
    <w:name w:val="List Continue 5"/>
    <w:basedOn w:val="List5"/>
    <w:rsid w:val="002E2705"/>
    <w:pPr>
      <w:ind w:firstLine="0"/>
    </w:pPr>
  </w:style>
  <w:style w:type="paragraph" w:styleId="ListNumber3">
    <w:name w:val="List Number 3"/>
    <w:basedOn w:val="List3"/>
    <w:rsid w:val="002E2705"/>
    <w:pPr>
      <w:numPr>
        <w:numId w:val="6"/>
      </w:numPr>
    </w:pPr>
  </w:style>
  <w:style w:type="paragraph" w:styleId="ListNumber4">
    <w:name w:val="List Number 4"/>
    <w:basedOn w:val="List4"/>
    <w:rsid w:val="002E2705"/>
    <w:pPr>
      <w:numPr>
        <w:numId w:val="7"/>
      </w:numPr>
    </w:pPr>
  </w:style>
  <w:style w:type="paragraph" w:styleId="ListNumber5">
    <w:name w:val="List Number 5"/>
    <w:basedOn w:val="List5"/>
    <w:rsid w:val="002E2705"/>
    <w:pPr>
      <w:numPr>
        <w:numId w:val="8"/>
      </w:numPr>
    </w:pPr>
  </w:style>
  <w:style w:type="paragraph" w:styleId="BlockText">
    <w:name w:val="Block Text"/>
    <w:basedOn w:val="Normal"/>
    <w:rsid w:val="002E2705"/>
    <w:pPr>
      <w:spacing w:after="120"/>
      <w:ind w:left="1440" w:right="1440"/>
    </w:pPr>
  </w:style>
  <w:style w:type="character" w:customStyle="1" w:styleId="Subscript">
    <w:name w:val="Subscript"/>
    <w:basedOn w:val="DefaultParagraphFont"/>
    <w:rsid w:val="002E2705"/>
    <w:rPr>
      <w:sz w:val="16"/>
      <w:vertAlign w:val="subscript"/>
    </w:rPr>
  </w:style>
  <w:style w:type="character" w:customStyle="1" w:styleId="Superscript">
    <w:name w:val="Superscript"/>
    <w:basedOn w:val="DefaultParagraphFont"/>
    <w:rsid w:val="002E2705"/>
    <w:rPr>
      <w:sz w:val="16"/>
      <w:vertAlign w:val="superscript"/>
    </w:rPr>
  </w:style>
  <w:style w:type="character" w:customStyle="1" w:styleId="Symbols">
    <w:name w:val="Symbols"/>
    <w:basedOn w:val="DefaultParagraphFont"/>
    <w:rsid w:val="002E2705"/>
    <w:rPr>
      <w:rFonts w:ascii="Symbol" w:hAnsi="Symbol"/>
    </w:rPr>
  </w:style>
  <w:style w:type="character" w:customStyle="1" w:styleId="MenuOptions">
    <w:name w:val="Menu Options"/>
    <w:basedOn w:val="DefaultParagraphFont"/>
    <w:rsid w:val="002E2705"/>
    <w:rPr>
      <w:rFonts w:ascii="Arial Narrow" w:hAnsi="Arial Narrow"/>
      <w:smallCaps/>
    </w:rPr>
  </w:style>
  <w:style w:type="character" w:customStyle="1" w:styleId="Buttons">
    <w:name w:val="Buttons"/>
    <w:basedOn w:val="DefaultParagraphFont"/>
    <w:rsid w:val="002E2705"/>
    <w:rPr>
      <w:b/>
    </w:rPr>
  </w:style>
  <w:style w:type="character" w:customStyle="1" w:styleId="Underlined">
    <w:name w:val="Underlined"/>
    <w:basedOn w:val="DefaultParagraphFont"/>
    <w:rsid w:val="002E2705"/>
    <w:rPr>
      <w:u w:val="single"/>
    </w:rPr>
  </w:style>
  <w:style w:type="paragraph" w:customStyle="1" w:styleId="TableBodyTextRight">
    <w:name w:val="Table Body Text Right"/>
    <w:basedOn w:val="TableBodyText"/>
    <w:rsid w:val="002E2705"/>
    <w:pPr>
      <w:widowControl w:val="0"/>
      <w:autoSpaceDE w:val="0"/>
      <w:autoSpaceDN w:val="0"/>
      <w:adjustRightInd w:val="0"/>
      <w:jc w:val="right"/>
    </w:pPr>
    <w:rPr>
      <w:rFonts w:cs="Arial"/>
      <w:szCs w:val="18"/>
    </w:rPr>
  </w:style>
  <w:style w:type="paragraph" w:customStyle="1" w:styleId="CopyrightText">
    <w:name w:val="Copyright Text"/>
    <w:basedOn w:val="BodyText"/>
    <w:rsid w:val="002E2705"/>
    <w:rPr>
      <w:sz w:val="18"/>
    </w:rPr>
  </w:style>
  <w:style w:type="paragraph" w:customStyle="1" w:styleId="BodySmallRight">
    <w:name w:val="Body Small Right"/>
    <w:basedOn w:val="BodyTextRight"/>
    <w:rsid w:val="002E2705"/>
    <w:rPr>
      <w:sz w:val="18"/>
      <w:szCs w:val="18"/>
    </w:rPr>
  </w:style>
  <w:style w:type="paragraph" w:customStyle="1" w:styleId="MarginEdition">
    <w:name w:val="Margin Edition"/>
    <w:basedOn w:val="MarginNote"/>
    <w:rsid w:val="002E2705"/>
    <w:pPr>
      <w:spacing w:before="0" w:after="0"/>
    </w:pPr>
    <w:rPr>
      <w:rFonts w:ascii="Times New Roman" w:hAnsi="Times New Roman"/>
      <w:color w:val="999999"/>
    </w:rPr>
  </w:style>
  <w:style w:type="paragraph" w:customStyle="1" w:styleId="Spacer">
    <w:name w:val="Spacer"/>
    <w:basedOn w:val="Normal"/>
    <w:rsid w:val="002E2705"/>
    <w:rPr>
      <w:sz w:val="2"/>
      <w:szCs w:val="2"/>
    </w:rPr>
  </w:style>
  <w:style w:type="character" w:customStyle="1" w:styleId="Small">
    <w:name w:val="Small"/>
    <w:basedOn w:val="DefaultParagraphFont"/>
    <w:rsid w:val="002E2705"/>
    <w:rPr>
      <w:sz w:val="16"/>
    </w:rPr>
  </w:style>
  <w:style w:type="paragraph" w:customStyle="1" w:styleId="WideTable">
    <w:name w:val="Wide Table"/>
    <w:basedOn w:val="Normal"/>
    <w:rsid w:val="002E2705"/>
    <w:pPr>
      <w:ind w:left="-1418"/>
    </w:pPr>
    <w:rPr>
      <w:sz w:val="2"/>
      <w:szCs w:val="2"/>
    </w:rPr>
  </w:style>
  <w:style w:type="character" w:styleId="PageNumber">
    <w:name w:val="page number"/>
    <w:basedOn w:val="DefaultParagraphFont"/>
    <w:rsid w:val="002E2705"/>
  </w:style>
  <w:style w:type="paragraph" w:styleId="Quote">
    <w:name w:val="Quote"/>
    <w:basedOn w:val="Heading1"/>
    <w:link w:val="QuoteChar"/>
    <w:qFormat/>
    <w:rsid w:val="002E2705"/>
    <w:rPr>
      <w:b w:val="0"/>
      <w:sz w:val="72"/>
      <w:szCs w:val="72"/>
      <w:lang w:val="en-NZ"/>
    </w:rPr>
  </w:style>
  <w:style w:type="character" w:customStyle="1" w:styleId="QuoteChar">
    <w:name w:val="Quote Char"/>
    <w:basedOn w:val="DefaultParagraphFont"/>
    <w:link w:val="Quote"/>
    <w:rsid w:val="002E2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705"/>
    <w:pPr>
      <w:pageBreakBefore/>
    </w:pPr>
  </w:style>
  <w:style w:type="paragraph" w:customStyle="1" w:styleId="Border">
    <w:name w:val="Border"/>
    <w:basedOn w:val="Normal"/>
    <w:qFormat/>
    <w:rsid w:val="002E2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705"/>
    <w:rPr>
      <w:b/>
      <w:bCs/>
      <w:i/>
      <w:iCs/>
      <w:color w:val="auto"/>
    </w:rPr>
  </w:style>
  <w:style w:type="paragraph" w:styleId="IntenseQuote">
    <w:name w:val="Intense Quote"/>
    <w:basedOn w:val="Normal"/>
    <w:next w:val="Normal"/>
    <w:link w:val="IntenseQuoteChar"/>
    <w:uiPriority w:val="30"/>
    <w:qFormat/>
    <w:rsid w:val="002E2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705"/>
    <w:rPr>
      <w:smallCaps/>
      <w:color w:val="auto"/>
      <w:u w:val="single"/>
    </w:rPr>
  </w:style>
  <w:style w:type="character" w:styleId="IntenseReference">
    <w:name w:val="Intense Reference"/>
    <w:basedOn w:val="DefaultParagraphFont"/>
    <w:uiPriority w:val="32"/>
    <w:qFormat/>
    <w:rsid w:val="002E2705"/>
    <w:rPr>
      <w:b/>
      <w:bCs/>
      <w:smallCaps/>
      <w:color w:val="auto"/>
      <w:spacing w:val="5"/>
      <w:u w:val="single"/>
    </w:rPr>
  </w:style>
  <w:style w:type="paragraph" w:customStyle="1" w:styleId="2ColumnHeading">
    <w:name w:val="2Column Heading"/>
    <w:basedOn w:val="BodyText"/>
    <w:qFormat/>
    <w:rsid w:val="002E2705"/>
    <w:pPr>
      <w:spacing w:after="60"/>
      <w:ind w:left="-2268"/>
    </w:pPr>
    <w:rPr>
      <w:b/>
    </w:rPr>
  </w:style>
  <w:style w:type="paragraph" w:customStyle="1" w:styleId="Heading1TOC">
    <w:name w:val="Heading1 TOC"/>
    <w:basedOn w:val="Normal"/>
    <w:qFormat/>
    <w:rsid w:val="002E2705"/>
    <w:pPr>
      <w:spacing w:before="240" w:after="120"/>
    </w:pPr>
    <w:rPr>
      <w:rFonts w:ascii="Times New Roman" w:hAnsi="Times New Roman"/>
      <w:b/>
      <w:sz w:val="32"/>
    </w:rPr>
  </w:style>
  <w:style w:type="paragraph" w:customStyle="1" w:styleId="Heading2TOC">
    <w:name w:val="Heading2 TOC"/>
    <w:basedOn w:val="Normal"/>
    <w:qFormat/>
    <w:rsid w:val="002E2705"/>
    <w:pPr>
      <w:spacing w:before="240" w:after="60"/>
    </w:pPr>
    <w:rPr>
      <w:rFonts w:ascii="Times New Roman" w:hAnsi="Times New Roman"/>
      <w:b/>
      <w:sz w:val="28"/>
    </w:rPr>
  </w:style>
  <w:style w:type="character" w:customStyle="1" w:styleId="Underline">
    <w:name w:val="Underline"/>
    <w:basedOn w:val="DefaultParagraphFont"/>
    <w:qFormat/>
    <w:rsid w:val="002E2705"/>
    <w:rPr>
      <w:u w:val="single"/>
    </w:rPr>
  </w:style>
  <w:style w:type="character" w:customStyle="1" w:styleId="BoldandItalics">
    <w:name w:val="Bold and Italics"/>
    <w:qFormat/>
    <w:rsid w:val="002E2705"/>
    <w:rPr>
      <w:b/>
      <w:i/>
      <w:u w:val="none"/>
    </w:rPr>
  </w:style>
  <w:style w:type="paragraph" w:styleId="BalloonText">
    <w:name w:val="Balloon Text"/>
    <w:basedOn w:val="Normal"/>
    <w:link w:val="BalloonTextChar"/>
    <w:rsid w:val="002E2705"/>
    <w:rPr>
      <w:rFonts w:ascii="Tahoma" w:hAnsi="Tahoma" w:cs="Tahoma"/>
      <w:sz w:val="16"/>
      <w:szCs w:val="16"/>
    </w:rPr>
  </w:style>
  <w:style w:type="character" w:customStyle="1" w:styleId="BalloonTextChar">
    <w:name w:val="Balloon Text Char"/>
    <w:basedOn w:val="DefaultParagraphFont"/>
    <w:link w:val="BalloonText"/>
    <w:rsid w:val="002E2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7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705"/>
    <w:rPr>
      <w:b/>
      <w:color w:val="660033"/>
      <w:spacing w:val="0"/>
    </w:rPr>
  </w:style>
  <w:style w:type="paragraph" w:customStyle="1" w:styleId="Nameditemlist">
    <w:name w:val="Named item list"/>
    <w:basedOn w:val="BodyText"/>
    <w:qFormat/>
    <w:rsid w:val="002E2705"/>
    <w:pPr>
      <w:tabs>
        <w:tab w:val="left" w:pos="2835"/>
      </w:tabs>
      <w:ind w:left="2835" w:hanging="2835"/>
    </w:pPr>
  </w:style>
  <w:style w:type="paragraph" w:customStyle="1" w:styleId="BodyTextnopadding">
    <w:name w:val="Body Text no padding"/>
    <w:basedOn w:val="BodyText"/>
    <w:qFormat/>
    <w:rsid w:val="002E2705"/>
    <w:pPr>
      <w:spacing w:before="0" w:after="0"/>
    </w:pPr>
  </w:style>
  <w:style w:type="paragraph" w:customStyle="1" w:styleId="BodyTextBold">
    <w:name w:val="Body Text Bold"/>
    <w:basedOn w:val="BodyText"/>
    <w:qFormat/>
    <w:rsid w:val="002E2705"/>
    <w:rPr>
      <w:b/>
    </w:rPr>
  </w:style>
  <w:style w:type="character" w:styleId="Hyperlink">
    <w:name w:val="Hyperlink"/>
    <w:basedOn w:val="DefaultParagraphFont"/>
    <w:uiPriority w:val="99"/>
    <w:unhideWhenUsed/>
    <w:rsid w:val="00B43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5620</Characters>
  <Application>Microsoft Office Word</Application>
  <DocSecurity>0</DocSecurity>
  <Lines>130</Lines>
  <Paragraphs>98</Paragraphs>
  <ScaleCrop>false</ScaleCrop>
  <Company>Author-it Software Corporation Ltd.</Company>
  <LinksUpToDate>false</LinksUpToDate>
  <CharactersWithSpaces>6377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MARO011 Transmit and receive information by the Global Maritime Distress and Safety System (GMDSS)</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