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0856" w:rsidP="00060856">
      <w:pPr>
        <w:pStyle w:val="Title"/>
      </w:pPr>
      <w:r>
        <w:fldChar w:fldCharType="begin"/>
      </w:r>
      <w:r>
        <w:instrText xml:space="preserve"> TITLE   \* MERGEFORMAT </w:instrText>
      </w:r>
      <w:r>
        <w:fldChar w:fldCharType="separate"/>
      </w:r>
      <w:r>
        <w:t>MARO009 Maintain a safe navigational watch</w:t>
      </w:r>
      <w:r>
        <w:fldChar w:fldCharType="end"/>
      </w:r>
    </w:p>
    <w:p w:rsidR="00060856" w:rsidP="00060856">
      <w:pPr>
        <w:pStyle w:val="Version"/>
        <w:sectPr w:rsidSect="005C2D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C2DAB" w:rsidP="005C2DAB">
      <w:pPr>
        <w:pStyle w:val="SuperHeading"/>
      </w:pPr>
      <w:r w:rsidRPr="005C2DAB">
        <w:t>MARO009 Maintain a safe navigational watch</w:t>
      </w:r>
    </w:p>
    <w:p w:rsidR="00000000" w:rsidRPr="005C2DAB" w:rsidP="005C2DAB">
      <w:pPr>
        <w:pStyle w:val="Heading1"/>
      </w:pPr>
      <w:bookmarkStart w:id="1" w:name="O_1285888"/>
      <w:bookmarkEnd w:id="1"/>
      <w:r w:rsidRPr="005C2DAB">
        <w:t>Modification History</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Release 2</w:t>
            </w:r>
            <w:r w:rsidRPr="005C2DAB">
              <w:t xml:space="preserve">. This is the second release of this unit of competency in the MAR Maritime Training Package. </w:t>
            </w:r>
          </w:p>
          <w:p w:rsidR="00000000" w:rsidRPr="005C2DAB" w:rsidP="005C2DAB">
            <w:pPr>
              <w:pStyle w:val="ListBullet"/>
            </w:pPr>
            <w:r w:rsidRPr="005C2DAB">
              <w:t>Minor statement changes in unit Application</w:t>
            </w:r>
          </w:p>
          <w:p w:rsidR="00000000" w:rsidP="005C2DAB">
            <w:pPr>
              <w:pStyle w:val="ListBullet"/>
              <w:rPr>
                <w:lang w:val="en-NZ"/>
              </w:rPr>
            </w:pPr>
            <w:r w:rsidRPr="005C2DAB">
              <w:t>Minor wording changes to Performance Evidence.</w:t>
            </w:r>
          </w:p>
        </w:tc>
      </w:tr>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Release 1</w:t>
            </w:r>
            <w:r w:rsidRPr="005C2DAB">
              <w:t>. This is the first release o</w:t>
            </w:r>
            <w:r w:rsidRPr="005C2DAB">
              <w:t>f this unit of competency in the MAR Maritime Training Package.</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2" w:name="O_1285887"/>
      <w:bookmarkEnd w:id="2"/>
      <w:r w:rsidRPr="005C2DAB">
        <w:t>Application</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 xml:space="preserve">This unit involves the skills and knowledge required to apply the accepted principles and procedures to maintain a safe navigational watch according to bridge </w:t>
            </w:r>
            <w:r w:rsidRPr="005C2DAB">
              <w:t>resource management principles, to ensure a safe navigational watch on a vessel, deal with maritime emergencies, incidents and to a distress signal at sea.</w:t>
            </w:r>
          </w:p>
          <w:p w:rsidR="00000000" w:rsidRPr="005C2DAB" w:rsidP="005C2DAB">
            <w:pPr>
              <w:pStyle w:val="BodyText"/>
            </w:pPr>
            <w:r w:rsidRPr="005C2DAB">
              <w:t>This unit applies to people working in the maritime industry in the capacity of:</w:t>
            </w:r>
          </w:p>
          <w:p w:rsidR="00000000" w:rsidRPr="005C2DAB" w:rsidP="005C2DAB">
            <w:pPr>
              <w:pStyle w:val="ListBullet"/>
            </w:pPr>
            <w:r w:rsidRPr="005C2DAB">
              <w:t>Master Unlimited</w:t>
            </w:r>
          </w:p>
          <w:p w:rsidR="00000000" w:rsidRPr="005C2DAB" w:rsidP="005C2DAB">
            <w:pPr>
              <w:pStyle w:val="ListBullet"/>
            </w:pPr>
            <w:r w:rsidRPr="005C2DAB">
              <w:t>Master up to 100 metres Near Coastal</w:t>
            </w:r>
          </w:p>
          <w:p w:rsidR="00000000" w:rsidRPr="005C2DAB" w:rsidP="005C2DAB">
            <w:pPr>
              <w:pStyle w:val="ListBullet"/>
            </w:pPr>
            <w:r w:rsidRPr="005C2DAB">
              <w:t>Master up to 500 gross tonnages (GT)</w:t>
            </w:r>
          </w:p>
          <w:p w:rsidR="00000000" w:rsidRPr="005C2DAB" w:rsidP="005C2DAB">
            <w:pPr>
              <w:pStyle w:val="ListBullet"/>
            </w:pPr>
            <w:r w:rsidRPr="005C2DAB">
              <w:t>Watchkeeper Deck.</w:t>
            </w:r>
          </w:p>
          <w:p w:rsidR="00000000" w:rsidRPr="005C2DAB" w:rsidP="005C2DAB">
            <w:pPr>
              <w:pStyle w:val="BodyText"/>
            </w:pPr>
            <w:r w:rsidRPr="005C2DAB">
              <w:rPr>
                <w:rStyle w:val="SpecialBold"/>
              </w:rPr>
              <w:t>Licensing/Regulatory Information</w:t>
            </w:r>
          </w:p>
          <w:p w:rsidR="00000000" w:rsidRPr="005C2DAB" w:rsidP="005C2DAB">
            <w:pPr>
              <w:pStyle w:val="BodyText"/>
            </w:pPr>
            <w:r w:rsidRPr="005C2DAB">
              <w:t>Legislative and regulatory requirements are applicable to this unit.</w:t>
            </w:r>
          </w:p>
          <w:p w:rsidR="00000000" w:rsidRPr="005C2DAB" w:rsidP="005C2DAB">
            <w:pPr>
              <w:pStyle w:val="ListBullet"/>
            </w:pPr>
            <w:r w:rsidRPr="005C2DAB">
              <w:t>Regulatory requirements include STCW International Maritime O</w:t>
            </w:r>
            <w:r w:rsidRPr="005C2DAB">
              <w:t>rganization (IMO) model course competencies and areas of knowledge, understanding and proficiency, together with the estimated total hours required for lectures and practical exercises. Teaching staff should note that timings are suggestions only and shoul</w:t>
            </w:r>
            <w:r w:rsidRPr="005C2DAB">
              <w:t>d be adapted to suit individual groups of trainees depending on their experience, ability, equipment and staff available for training.</w:t>
            </w:r>
          </w:p>
          <w:p w:rsidR="00000000" w:rsidRPr="005C2DAB" w:rsidP="005C2DAB">
            <w:pPr>
              <w:pStyle w:val="BodyText"/>
            </w:pPr>
            <w:r w:rsidRPr="005C2DAB">
              <w:rPr>
                <w:rStyle w:val="SpecialBold"/>
              </w:rPr>
              <w:t>Near Coastal Qualifications:</w:t>
            </w:r>
          </w:p>
          <w:p w:rsidR="00000000" w:rsidRPr="005C2DAB" w:rsidP="005C2DAB">
            <w:pPr>
              <w:pStyle w:val="ListBullet"/>
            </w:pPr>
            <w:r w:rsidRPr="005C2DAB">
              <w:t xml:space="preserve">This unit is one of the requirements to obtain Australian Maritime Safety Authority (AMSA) </w:t>
            </w:r>
            <w:r w:rsidRPr="005C2DAB">
              <w:t>certification as a Master up to 100 metres Near Coastal as specified in Marine Order 505.</w:t>
            </w:r>
          </w:p>
          <w:p w:rsidR="00000000" w:rsidRPr="005C2DAB" w:rsidP="005C2DAB">
            <w:pPr>
              <w:pStyle w:val="BodyText"/>
            </w:pPr>
            <w:r w:rsidRPr="005C2DAB">
              <w:rPr>
                <w:rStyle w:val="SpecialBold"/>
              </w:rPr>
              <w:t>Blue Waters Qualifications:</w:t>
            </w:r>
          </w:p>
          <w:p w:rsidR="00000000" w:rsidRPr="005C2DAB" w:rsidP="005C2DAB">
            <w:pPr>
              <w:pStyle w:val="ListBullet"/>
            </w:pPr>
            <w:r w:rsidRPr="005C2DAB">
              <w:t>This unit is one of the requirements to obtain Australian Maritime Safety Authority (AMSA) certification as a Master of a commercial vess</w:t>
            </w:r>
            <w:r w:rsidRPr="005C2DAB">
              <w:t>el up to 500 gross tonnage (GT), Master Unlimited or Watchkeeper Deck. To meet regulatory requirements this unit must be delivered consistent with Marine Orders and with the relevant sections of the International Convention on Standards of Training, Certif</w:t>
            </w:r>
            <w:r w:rsidRPr="005C2DAB">
              <w:t>ication and Watchkeeping for Seafarers (STCW).</w:t>
            </w:r>
          </w:p>
          <w:p w:rsidR="00000000" w:rsidRPr="005C2DAB" w:rsidP="005C2DAB">
            <w:pPr>
              <w:pStyle w:val="BodyText"/>
            </w:pPr>
            <w:r w:rsidRPr="005C2DAB">
              <w:t xml:space="preserve">Training providers seeking to offer this unit of competency must gain AMSA approval before the </w:t>
            </w:r>
            <w:r w:rsidRPr="005C2DAB">
              <w:t>unit is offered.</w:t>
            </w:r>
          </w:p>
          <w:p w:rsidR="00000000" w:rsidRPr="005C2DAB" w:rsidP="005C2DAB">
            <w:pPr>
              <w:pStyle w:val="BodyText"/>
            </w:pPr>
            <w:r w:rsidRPr="005C2DAB">
              <w:t>Seafarers seeking certification should check with AMSA.</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3" w:name="O_1285886"/>
      <w:bookmarkEnd w:id="3"/>
      <w:r w:rsidRPr="005C2DAB">
        <w:t>Pre-requisite Unit</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Not applicable.</w:t>
            </w:r>
          </w:p>
        </w:tc>
      </w:tr>
    </w:tbl>
    <w:p w:rsidR="00060856" w:rsidP="005C2DAB">
      <w:pPr>
        <w:pStyle w:val="NoPaddingFontSize1"/>
      </w:pPr>
    </w:p>
    <w:p w:rsidR="00060856" w:rsidP="005C2DAB">
      <w:pPr>
        <w:pStyle w:val="NoPaddingFontSize1"/>
      </w:pPr>
    </w:p>
    <w:p w:rsidR="00000000" w:rsidRPr="005C2DAB" w:rsidP="005C2DAB">
      <w:pPr>
        <w:pStyle w:val="Heading1"/>
      </w:pPr>
      <w:bookmarkStart w:id="4" w:name="O_1285885"/>
      <w:bookmarkEnd w:id="4"/>
      <w:r w:rsidRPr="005C2DAB">
        <w:t>Competency Field</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O – Watchkeeping</w:t>
            </w:r>
          </w:p>
        </w:tc>
      </w:tr>
    </w:tbl>
    <w:p w:rsidR="00060856" w:rsidP="005C2DAB">
      <w:pPr>
        <w:pStyle w:val="NoPaddingFontSize1"/>
      </w:pPr>
    </w:p>
    <w:p w:rsidR="00060856" w:rsidP="005C2DAB">
      <w:pPr>
        <w:pStyle w:val="NoPaddingFontSize1"/>
      </w:pPr>
    </w:p>
    <w:p w:rsidR="00000000" w:rsidRPr="005C2DAB" w:rsidP="005C2DAB">
      <w:pPr>
        <w:pStyle w:val="Heading1"/>
      </w:pPr>
      <w:bookmarkStart w:id="5" w:name="O_1285884"/>
      <w:bookmarkEnd w:id="5"/>
      <w:r w:rsidRPr="005C2DAB">
        <w:t>Unit Sector</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Not applicable.</w:t>
            </w:r>
          </w:p>
        </w:tc>
      </w:tr>
    </w:tbl>
    <w:p w:rsidR="00060856" w:rsidP="005C2DAB">
      <w:pPr>
        <w:pStyle w:val="NoPaddingFontSize1"/>
      </w:pPr>
    </w:p>
    <w:p w:rsidR="00060856" w:rsidP="005C2DAB">
      <w:pPr>
        <w:pStyle w:val="NoPaddingFontSize1"/>
      </w:pPr>
    </w:p>
    <w:p w:rsidR="00000000" w:rsidRPr="005C2DAB" w:rsidP="005C2DAB">
      <w:pPr>
        <w:pStyle w:val="Heading1"/>
      </w:pPr>
      <w:bookmarkStart w:id="6" w:name="O_1285883"/>
      <w:bookmarkEnd w:id="6"/>
      <w:r w:rsidRPr="005C2DA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5C2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PERFORMANCE CRITERIA</w:t>
            </w:r>
          </w:p>
        </w:tc>
      </w:tr>
      <w:tr w:rsidTr="005C2DA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Performance criteria describe the performance needed to demonstrate achievement of the element.</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Maintain watch on the bridge</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Own responsibility for the safety of navigation is clearly defined at all times, including periods when the Master is on t</w:t>
            </w:r>
            <w:r w:rsidRPr="005C2DAB">
              <w:t>he bridge and while under pilotage</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Proper lookout is maintained at all times according to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Lights, shapes and sound signals are correctly recognised and acted upon</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Frequenc</w:t>
            </w:r>
            <w:r w:rsidRPr="005C2DAB">
              <w:t>y and extent of monitoring traffic, vessel and environment are scheduled to conform with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Bridge communication is maintained with other team members on matters relevant to the safety and integrity</w:t>
            </w:r>
            <w:r w:rsidRPr="005C2DAB">
              <w:t xml:space="preserve"> of the vessel</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Clear and unambiguous bridge communications are maintained, and clarification is sought from or given to other team members when watch information or instructions are not clearly understood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1.7</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Internal and external communications systems are used according to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1.8</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Conduct, handover and relief of the watch is completed according to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Maintain watch when anchored</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Organisational procedures and regulatory requirements are complied with through frequency, timing and coverage of scheduled checks and inspections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Appropriate action is taken in the event of irregularities or abnorma</w:t>
            </w:r>
            <w:r w:rsidRPr="005C2DAB">
              <w:t>l conditions to maximise the safety and integrity of the vessel</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Restrictions on access to the vessel by non-authorised persons are followed according to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Internal and external communications systems are used according to organisational procedures and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Respond to potential collision and emergency situations</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 xml:space="preserve">Potential collision situations are analysed and appropriate actions are </w:t>
            </w:r>
            <w:r w:rsidRPr="005C2DAB">
              <w:t>taken in ample time according to regulatory requirements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Correct responses are made to emergencies and situations that pose a danger to the vessel and personnel onboard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Distress signals are recognised and appropriate actions are taken to initiate search and rescue (SAR) operations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Master is called in the event of a navigational incident which falls outside own responsibility</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Respond to onboard emergency situatio</w:t>
            </w:r>
            <w:r w:rsidRPr="005C2DAB">
              <w:rPr>
                <w:rStyle w:val="SpecialBold"/>
              </w:rPr>
              <w:t>ns</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Initial actions in the event of an emergency are undertaken according to contingency plans and are appropriate to urgency of situation and nature of emergency</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Urgency of situation and nature of emergency is identified promptly</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Relevant</w:t>
            </w:r>
            <w:r w:rsidRPr="005C2DAB">
              <w:t xml:space="preserve"> alarms are activated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Distress signals are used to indicate need for assistance, as required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4.5</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Crew, personnel and passengers are given information and instructions clearly and accurately</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4.6</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Procedures are implemented</w:t>
            </w:r>
            <w:r w:rsidRPr="005C2DAB">
              <w:t xml:space="preserve"> to combat emergency and to protect crew, personnel and passengers </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4.7</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Communications are established with others to facilitate emergency response process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Resource the bridge according to bridge resource management principles</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Bridge resource management principles are interpreted to establish the functions and responsibilities of the watchkeeping team onboard a vessel</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Resources are allocated and assigned as needed in correct priority to perform necessary tasks to obtain a</w:t>
            </w:r>
            <w:r w:rsidRPr="005C2DAB">
              <w:t>nd maintain situational awareness</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Watchkeeping schedule is developed with due consideration to team experience</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Instructions on watchkeeping and lookout requirements are clearly and unambiguously given in relation to monitoring traffic, vessel</w:t>
            </w:r>
            <w:r w:rsidRPr="005C2DAB">
              <w:t xml:space="preserve"> and environment</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5.5</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Clear and unambiguous roles and responsibilities of watchkeeping team are determined and allocated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5.6</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Effective communication is maintained with team on matters relevant to safety and integrity of vessel</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5.7</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Questionable decisions and/or actions are dealt with using an appropriate challenge and response</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6</w:t>
            </w:r>
          </w:p>
        </w:tc>
        <w:tc>
          <w:tcPr>
            <w:tcW w:w="2744"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Maintain navigation records</w:t>
            </w: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6.1</w:t>
            </w:r>
          </w:p>
        </w:tc>
        <w:tc>
          <w:tcPr>
            <w:tcW w:w="5592"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t>Proper records of the movements and activities related to the navigation of the vessel are maintained</w:t>
            </w:r>
          </w:p>
        </w:tc>
      </w:tr>
      <w:tr w:rsidTr="005C2DA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5C2DA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5C2DAB">
            <w:pPr>
              <w:pStyle w:val="BodyText"/>
              <w:rPr>
                <w:lang w:val="en-NZ"/>
              </w:rPr>
            </w:pPr>
            <w:r w:rsidRPr="005C2DAB">
              <w:rPr>
                <w:rStyle w:val="SpecialBold"/>
              </w:rPr>
              <w:t>6.2</w:t>
            </w:r>
          </w:p>
        </w:tc>
        <w:tc>
          <w:tcPr>
            <w:tcW w:w="5592"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Records are fil</w:t>
            </w:r>
            <w:r w:rsidRPr="005C2DAB">
              <w:t>ed and stored according to organisational procedures</w:t>
            </w:r>
          </w:p>
        </w:tc>
      </w:tr>
    </w:tbl>
    <w:p w:rsidR="00060856" w:rsidP="005C2DAB">
      <w:pPr>
        <w:pStyle w:val="NoPaddingFontSize1"/>
      </w:pPr>
    </w:p>
    <w:p w:rsidR="00060856" w:rsidP="005C2DAB">
      <w:pPr>
        <w:pStyle w:val="NoPaddingFontSize1"/>
      </w:pPr>
    </w:p>
    <w:p w:rsidR="00000000" w:rsidRPr="005C2DAB" w:rsidP="005C2DAB">
      <w:pPr>
        <w:pStyle w:val="Heading1"/>
      </w:pPr>
      <w:bookmarkStart w:id="7" w:name="O_1285882"/>
      <w:bookmarkEnd w:id="7"/>
      <w:r w:rsidRPr="005C2DAB">
        <w:t>Foundation Skills</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Foundation skills essential to performance are explicit in the performance criteria of this unit of competency.</w:t>
            </w:r>
          </w:p>
        </w:tc>
      </w:tr>
    </w:tbl>
    <w:p w:rsidR="00060856" w:rsidP="005C2DAB">
      <w:pPr>
        <w:pStyle w:val="NoPaddingFontSize1"/>
      </w:pPr>
    </w:p>
    <w:p w:rsidR="00060856" w:rsidP="005C2DAB">
      <w:pPr>
        <w:pStyle w:val="NoPaddingFontSize1"/>
      </w:pPr>
    </w:p>
    <w:p w:rsidR="00000000" w:rsidRPr="005C2DAB" w:rsidP="005C2DAB">
      <w:pPr>
        <w:pStyle w:val="Heading1"/>
      </w:pPr>
      <w:bookmarkStart w:id="8" w:name="O_1285881"/>
      <w:bookmarkEnd w:id="8"/>
      <w:r w:rsidRPr="005C2DAB">
        <w:t>Range of Conditions</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Range is restricted to essential operating conditions and any other variables essential to the work environment.</w:t>
            </w:r>
          </w:p>
        </w:tc>
      </w:tr>
    </w:tbl>
    <w:p w:rsidR="00060856" w:rsidP="005C2DAB">
      <w:pPr>
        <w:pStyle w:val="NoPaddingFontSize1"/>
      </w:pPr>
    </w:p>
    <w:p w:rsidR="00060856" w:rsidP="005C2DAB">
      <w:pPr>
        <w:pStyle w:val="NoPaddingFontSize1"/>
      </w:pPr>
    </w:p>
    <w:p w:rsidR="00000000" w:rsidRPr="005C2DAB" w:rsidP="005C2DAB">
      <w:pPr>
        <w:pStyle w:val="Heading1"/>
      </w:pPr>
      <w:bookmarkStart w:id="9" w:name="O_1285880"/>
      <w:bookmarkEnd w:id="9"/>
      <w:r w:rsidRPr="005C2DAB">
        <w:t>Unit Mapping Information</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This unit replaces and is equivalent to MARO002 Maintain a safe navigational watch.</w:t>
            </w:r>
          </w:p>
        </w:tc>
      </w:tr>
    </w:tbl>
    <w:p w:rsidR="00060856" w:rsidP="005C2DAB">
      <w:pPr>
        <w:pStyle w:val="NoPaddingFontSize1"/>
      </w:pPr>
    </w:p>
    <w:p w:rsidR="00060856" w:rsidP="005C2DAB">
      <w:pPr>
        <w:pStyle w:val="NoPaddingFontSize1"/>
      </w:pPr>
    </w:p>
    <w:p w:rsidR="00000000" w:rsidRPr="005C2DAB" w:rsidP="005C2DAB">
      <w:pPr>
        <w:pStyle w:val="Heading1"/>
      </w:pPr>
      <w:bookmarkStart w:id="10" w:name="O_1285889"/>
      <w:bookmarkEnd w:id="10"/>
      <w:r w:rsidRPr="005C2DAB">
        <w:t>Links</w:t>
      </w:r>
    </w:p>
    <w:p w:rsidR="00000000" w:rsidRPr="005C2DAB" w:rsidP="00060856">
      <w:pPr>
        <w:pStyle w:val="BodyText"/>
      </w:pPr>
      <w:r w:rsidRPr="005C2DA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8219D">
        <w:rPr>
          <w:rStyle w:val="Hyperlink"/>
        </w:rPr>
        <w:t>https://vetnet.gov.au/Pages/TrainingDocs.aspx?q=772efb7b-4cce-47fe-9bbd-ee3b1d1eb4c2</w:t>
      </w:r>
      <w:r>
        <w:fldChar w:fldCharType="end"/>
      </w:r>
    </w:p>
    <w:p w:rsidR="00000000" w:rsidRPr="005C2DAB" w:rsidP="00060856">
      <w:pPr>
        <w:pStyle w:val="BodyText"/>
        <w:sectPr w:rsidSect="005C2DAB">
          <w:headerReference w:type="default" r:id="rId10"/>
          <w:footerReference w:type="default" r:id="rId11"/>
          <w:pgSz w:w="11908" w:h="16833"/>
          <w:pgMar w:top="1702" w:right="1418" w:bottom="1702" w:left="1418" w:header="992" w:footer="992" w:gutter="0"/>
          <w:cols w:space="720"/>
          <w:noEndnote/>
          <w:docGrid w:linePitch="299"/>
        </w:sectPr>
      </w:pPr>
    </w:p>
    <w:p w:rsidR="00000000" w:rsidRPr="005C2DAB" w:rsidP="005C2DAB">
      <w:pPr>
        <w:pStyle w:val="SuperHeading"/>
      </w:pPr>
      <w:r w:rsidRPr="005C2DAB">
        <w:t>Assessment Requirements for MARO009 Mai</w:t>
      </w:r>
      <w:r w:rsidRPr="005C2DAB">
        <w:t>ntain a safe navigational watch</w:t>
      </w:r>
    </w:p>
    <w:p w:rsidR="00000000" w:rsidRPr="005C2DAB" w:rsidP="005C2DAB">
      <w:pPr>
        <w:pStyle w:val="Heading1"/>
      </w:pPr>
      <w:bookmarkStart w:id="11" w:name="O_1285878"/>
      <w:bookmarkEnd w:id="11"/>
      <w:r w:rsidRPr="005C2DAB">
        <w:t>Modification History</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Release 2</w:t>
            </w:r>
            <w:r w:rsidRPr="005C2DAB">
              <w:t xml:space="preserve">. This is the second release of this unit of competency in the MAR Maritime Training Package. </w:t>
            </w:r>
          </w:p>
          <w:p w:rsidR="00000000" w:rsidRPr="005C2DAB" w:rsidP="005C2DAB">
            <w:pPr>
              <w:pStyle w:val="ListBullet"/>
            </w:pPr>
            <w:r w:rsidRPr="005C2DAB">
              <w:t>Minor statement changes in unit Application</w:t>
            </w:r>
          </w:p>
          <w:p w:rsidR="00000000" w:rsidP="005C2DAB">
            <w:pPr>
              <w:pStyle w:val="ListBullet"/>
              <w:rPr>
                <w:lang w:val="en-NZ"/>
              </w:rPr>
            </w:pPr>
            <w:r w:rsidRPr="005C2DAB">
              <w:t>Minor wording changes to Performance Evidence.</w:t>
            </w:r>
          </w:p>
        </w:tc>
      </w:tr>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rPr>
                <w:rStyle w:val="SpecialBold"/>
              </w:rPr>
              <w:t>Release 1</w:t>
            </w:r>
            <w:r w:rsidRPr="005C2DAB">
              <w:t>. This is the first release of this unit of competency in the MAR Maritime Training Package.</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12" w:name="O_1285877"/>
      <w:bookmarkEnd w:id="12"/>
      <w:r w:rsidRPr="005C2DAB">
        <w:t>Performance Evidence</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Evidence required to demonstrate competence in this unit must be</w:t>
            </w:r>
            <w:r w:rsidRPr="005C2DAB">
              <w:t xml:space="preserve"> relevant to and satisfy all of the requirements of the elements and performance criteria on at least one occasion and include:</w:t>
            </w:r>
          </w:p>
          <w:p w:rsidR="00000000" w:rsidRPr="005C2DAB" w:rsidP="005C2DAB">
            <w:pPr>
              <w:pStyle w:val="ListBullet"/>
            </w:pPr>
            <w:r w:rsidRPr="005C2DAB">
              <w:t>activating relevant alarms, including:</w:t>
            </w:r>
          </w:p>
          <w:p w:rsidR="00000000" w:rsidRPr="005C2DAB" w:rsidP="005C2DAB">
            <w:pPr>
              <w:pStyle w:val="ListBullet2"/>
            </w:pPr>
            <w:r w:rsidRPr="005C2DAB">
              <w:t>abandon ship signals</w:t>
            </w:r>
          </w:p>
          <w:p w:rsidR="00000000" w:rsidRPr="005C2DAB" w:rsidP="005C2DAB">
            <w:pPr>
              <w:pStyle w:val="ListBullet2"/>
            </w:pPr>
            <w:r w:rsidRPr="005C2DAB">
              <w:t>emergency broadcasts</w:t>
            </w:r>
          </w:p>
          <w:p w:rsidR="00000000" w:rsidRPr="005C2DAB" w:rsidP="005C2DAB">
            <w:pPr>
              <w:pStyle w:val="ListBullet2"/>
            </w:pPr>
            <w:r w:rsidRPr="005C2DAB">
              <w:t>fire and general muster alarms</w:t>
            </w:r>
          </w:p>
          <w:p w:rsidR="00000000" w:rsidRPr="005C2DAB" w:rsidP="005C2DAB">
            <w:pPr>
              <w:pStyle w:val="ListBullet"/>
            </w:pPr>
            <w:r w:rsidRPr="005C2DAB">
              <w:t>allocating and assigning resources as needed in correct priority to perform necessary tasks</w:t>
            </w:r>
          </w:p>
          <w:p w:rsidR="00000000" w:rsidRPr="005C2DAB" w:rsidP="005C2DAB">
            <w:pPr>
              <w:pStyle w:val="ListBullet"/>
            </w:pPr>
            <w:r w:rsidRPr="005C2DAB">
              <w:t>applying International Regulations for Preventing Collisions at Sea (COLREGs)</w:t>
            </w:r>
          </w:p>
          <w:p w:rsidR="00000000" w:rsidRPr="005C2DAB" w:rsidP="005C2DAB">
            <w:pPr>
              <w:pStyle w:val="ListBullet"/>
            </w:pPr>
            <w:r w:rsidRPr="005C2DAB">
              <w:t>applying principles of bridge and maritime resource management</w:t>
            </w:r>
          </w:p>
          <w:p w:rsidR="00000000" w:rsidRPr="005C2DAB" w:rsidP="005C2DAB">
            <w:pPr>
              <w:pStyle w:val="ListBullet"/>
            </w:pPr>
            <w:r w:rsidRPr="005C2DAB">
              <w:t>appropriately challengi</w:t>
            </w:r>
            <w:r w:rsidRPr="005C2DAB">
              <w:t>ng and responding to questionable decisions and/or actions</w:t>
            </w:r>
          </w:p>
          <w:p w:rsidR="00000000" w:rsidRPr="005C2DAB" w:rsidP="005C2DAB">
            <w:pPr>
              <w:pStyle w:val="ListBullet"/>
            </w:pPr>
            <w:r w:rsidRPr="005C2DAB">
              <w:t>communicating an accurate understanding of current and predicted vessel state, navigation path and external environment with team members</w:t>
            </w:r>
          </w:p>
          <w:p w:rsidR="00000000" w:rsidRPr="005C2DAB" w:rsidP="005C2DAB">
            <w:pPr>
              <w:pStyle w:val="ListBullet"/>
            </w:pPr>
            <w:r w:rsidRPr="005C2DAB">
              <w:t>communicating effectively with others on watchkeeping issue</w:t>
            </w:r>
            <w:r w:rsidRPr="005C2DAB">
              <w:t>s, arrangements and requirements</w:t>
            </w:r>
          </w:p>
          <w:p w:rsidR="00000000" w:rsidRPr="005C2DAB" w:rsidP="005C2DAB">
            <w:pPr>
              <w:pStyle w:val="ListBullet"/>
            </w:pPr>
            <w:r w:rsidRPr="005C2DAB">
              <w:t>conforming to accepted principles and procedures in the conduct, handover and relief of the watch</w:t>
            </w:r>
          </w:p>
          <w:p w:rsidR="00000000" w:rsidRPr="005C2DAB" w:rsidP="005C2DAB">
            <w:pPr>
              <w:pStyle w:val="ListBullet"/>
            </w:pPr>
            <w:r w:rsidRPr="005C2DAB">
              <w:t>defining responsibility for the safety of navigation at all times clearly</w:t>
            </w:r>
          </w:p>
          <w:p w:rsidR="00000000" w:rsidRPr="005C2DAB" w:rsidP="005C2DAB">
            <w:pPr>
              <w:pStyle w:val="ListBullet"/>
            </w:pPr>
            <w:r w:rsidRPr="005C2DAB">
              <w:t>giving and receiving clear and unambiguous communic</w:t>
            </w:r>
            <w:r w:rsidRPr="005C2DAB">
              <w:t>ations</w:t>
            </w:r>
          </w:p>
          <w:p w:rsidR="00000000" w:rsidRPr="005C2DAB" w:rsidP="005C2DAB">
            <w:pPr>
              <w:pStyle w:val="ListBullet"/>
            </w:pPr>
            <w:r w:rsidRPr="005C2DAB">
              <w:t>identifying and implementing effective leadership behaviours</w:t>
            </w:r>
          </w:p>
          <w:p w:rsidR="00000000" w:rsidRPr="005C2DAB" w:rsidP="005C2DAB">
            <w:pPr>
              <w:pStyle w:val="ListBullet"/>
            </w:pPr>
            <w:r w:rsidRPr="005C2DAB">
              <w:t>identifying and solving problems that may arise during watchkeeping duties, reporting problems and issues and taking appropriate actions based on available information</w:t>
            </w:r>
          </w:p>
          <w:p w:rsidR="00000000" w:rsidRPr="005C2DAB" w:rsidP="005C2DAB">
            <w:pPr>
              <w:pStyle w:val="ListBullet"/>
            </w:pPr>
            <w:r w:rsidRPr="005C2DAB">
              <w:t>identifying type and scale of emergency promptly</w:t>
            </w:r>
          </w:p>
          <w:p w:rsidR="00000000" w:rsidRPr="005C2DAB" w:rsidP="005C2DAB">
            <w:pPr>
              <w:pStyle w:val="ListBullet"/>
            </w:pPr>
            <w:r w:rsidRPr="005C2DAB">
              <w:t>implementing contingency plans and instructions in standing orders when responding to a distress signal at sea</w:t>
            </w:r>
          </w:p>
          <w:p w:rsidR="00000000" w:rsidRPr="005C2DAB" w:rsidP="005C2DAB">
            <w:pPr>
              <w:pStyle w:val="ListBullet"/>
            </w:pPr>
            <w:r w:rsidRPr="005C2DAB">
              <w:t>interpreting and implementing procedures relevant to the role and responsibilities of Watchkeepe</w:t>
            </w:r>
            <w:r w:rsidRPr="005C2DAB">
              <w:t>r</w:t>
            </w:r>
          </w:p>
          <w:p w:rsidR="00000000" w:rsidRPr="005C2DAB" w:rsidP="005C2DAB">
            <w:pPr>
              <w:pStyle w:val="ListBullet"/>
            </w:pPr>
            <w:r w:rsidRPr="005C2DAB">
              <w:t>maintaining a proper lookout at all times and in such a way as to conform to accepted principles and procedures</w:t>
            </w:r>
          </w:p>
          <w:p w:rsidR="00000000" w:rsidRPr="005C2DAB" w:rsidP="005C2DAB">
            <w:pPr>
              <w:pStyle w:val="ListBullet"/>
            </w:pPr>
            <w:r w:rsidRPr="005C2DAB">
              <w:t>maintaining accurate and compliant records of the movements and activities relating to the navigation of the vessel</w:t>
            </w:r>
          </w:p>
          <w:p w:rsidR="00000000" w:rsidRPr="005C2DAB" w:rsidP="005C2DAB">
            <w:pPr>
              <w:pStyle w:val="ListBullet"/>
            </w:pPr>
            <w:r w:rsidRPr="005C2DAB">
              <w:t>manoeuvring vessel, accord</w:t>
            </w:r>
            <w:r w:rsidRPr="005C2DAB">
              <w:t>ing to contingency plans</w:t>
            </w:r>
          </w:p>
          <w:p w:rsidR="00000000" w:rsidRPr="005C2DAB" w:rsidP="005C2DAB">
            <w:pPr>
              <w:pStyle w:val="ListBullet"/>
            </w:pPr>
            <w:r w:rsidRPr="005C2DAB">
              <w:t>modifying activities dependent on differing vessel contingencies, risk situations and environments</w:t>
            </w:r>
          </w:p>
          <w:p w:rsidR="00000000" w:rsidRPr="005C2DAB" w:rsidP="005C2DAB">
            <w:pPr>
              <w:pStyle w:val="ListBullet"/>
            </w:pPr>
            <w:r w:rsidRPr="005C2DAB">
              <w:t>monitoring and anticipating hazards and risks that may arise during watchkeeping duties and taking appropriate actions</w:t>
            </w:r>
          </w:p>
          <w:p w:rsidR="00000000" w:rsidRPr="005C2DAB" w:rsidP="005C2DAB">
            <w:pPr>
              <w:pStyle w:val="ListBullet"/>
            </w:pPr>
            <w:r w:rsidRPr="005C2DAB">
              <w:t>monitoring tr</w:t>
            </w:r>
            <w:r w:rsidRPr="005C2DAB">
              <w:t>affic, the ship and the environment to conform to accepted principles and procedures</w:t>
            </w:r>
          </w:p>
          <w:p w:rsidR="00000000" w:rsidRPr="005C2DAB" w:rsidP="005C2DAB">
            <w:pPr>
              <w:pStyle w:val="ListBullet"/>
            </w:pPr>
            <w:r w:rsidRPr="005C2DAB">
              <w:t>providing sound signals correctly</w:t>
            </w:r>
          </w:p>
          <w:p w:rsidR="00000000" w:rsidRPr="005C2DAB" w:rsidP="005C2DAB">
            <w:pPr>
              <w:pStyle w:val="ListBullet"/>
            </w:pPr>
            <w:r w:rsidRPr="005C2DAB">
              <w:t>recognising a distress or emergency signal</w:t>
            </w:r>
          </w:p>
          <w:p w:rsidR="00000000" w:rsidRPr="005C2DAB" w:rsidP="005C2DAB">
            <w:pPr>
              <w:pStyle w:val="ListBullet"/>
            </w:pPr>
            <w:r w:rsidRPr="005C2DAB">
              <w:t>recognising lights, shapes and sound signals correctly</w:t>
            </w:r>
          </w:p>
          <w:p w:rsidR="00000000" w:rsidRPr="005C2DAB" w:rsidP="005C2DAB">
            <w:pPr>
              <w:pStyle w:val="ListBullet"/>
            </w:pPr>
            <w:r w:rsidRPr="005C2DAB">
              <w:t>reporting according to the General Prin</w:t>
            </w:r>
            <w:r w:rsidRPr="005C2DAB">
              <w:t>ciples for Ship Reporting Systems and Vessel Traffic Services (VTS) procedures</w:t>
            </w:r>
          </w:p>
          <w:p w:rsidR="00000000" w:rsidRPr="005C2DAB" w:rsidP="005C2DAB">
            <w:pPr>
              <w:pStyle w:val="ListBullet"/>
            </w:pPr>
            <w:r w:rsidRPr="005C2DAB">
              <w:t xml:space="preserve">responding to vessel emergencies </w:t>
            </w:r>
          </w:p>
          <w:p w:rsidR="00000000" w:rsidRPr="005C2DAB" w:rsidP="005C2DAB">
            <w:pPr>
              <w:pStyle w:val="ListBullet"/>
            </w:pPr>
            <w:r w:rsidRPr="005C2DAB">
              <w:t>selecting and using appropriate internal and external communications equipment during watchkeeping</w:t>
            </w:r>
          </w:p>
          <w:p w:rsidR="00000000" w:rsidRPr="005C2DAB" w:rsidP="005C2DAB">
            <w:pPr>
              <w:pStyle w:val="ListBullet"/>
            </w:pPr>
            <w:r w:rsidRPr="005C2DAB">
              <w:t>using bridge communication equipment</w:t>
            </w:r>
          </w:p>
          <w:p w:rsidR="00000000" w:rsidRPr="005C2DAB" w:rsidP="005C2DAB">
            <w:pPr>
              <w:pStyle w:val="ListBullet"/>
            </w:pPr>
            <w:r w:rsidRPr="005C2DAB">
              <w:t>using i</w:t>
            </w:r>
            <w:r w:rsidRPr="005C2DAB">
              <w:t>nformation from navigational equipment to maintain a safe navigational watch</w:t>
            </w:r>
          </w:p>
          <w:p w:rsidR="00000000" w:rsidRPr="005C2DAB" w:rsidP="005C2DAB">
            <w:pPr>
              <w:pStyle w:val="ListBullet"/>
            </w:pPr>
            <w:r w:rsidRPr="005C2DAB">
              <w:t>using routeing according to the General Provisions on Ships’ Routeing</w:t>
            </w:r>
          </w:p>
          <w:p w:rsidR="00000000" w:rsidRPr="005C2DAB" w:rsidP="005C2DAB">
            <w:pPr>
              <w:pStyle w:val="ListBullet"/>
            </w:pPr>
            <w:r w:rsidRPr="005C2DAB">
              <w:t>working as part of a team.</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13" w:name="O_1285876"/>
      <w:bookmarkEnd w:id="13"/>
      <w:r w:rsidRPr="005C2DAB">
        <w:t>Knowledge Evidence</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Evidence required to demonstrate competence in this unit must be relevant to and satisfy all of the requirements of the elements and performance criteria and include knowledge of:</w:t>
            </w:r>
          </w:p>
          <w:p w:rsidR="00000000" w:rsidRPr="005C2DAB" w:rsidP="005C2DAB">
            <w:pPr>
              <w:pStyle w:val="ListBullet"/>
            </w:pPr>
            <w:r w:rsidRPr="005C2DAB">
              <w:t>Australian Maritime Safety Authority (AMSA) watchkeeping procedures contain</w:t>
            </w:r>
            <w:r w:rsidRPr="005C2DAB">
              <w:t>ed in Marine Orders and Marine Notices</w:t>
            </w:r>
          </w:p>
          <w:p w:rsidR="00000000" w:rsidRPr="005C2DAB" w:rsidP="005C2DAB">
            <w:pPr>
              <w:pStyle w:val="ListBullet"/>
            </w:pPr>
            <w:r w:rsidRPr="005C2DAB">
              <w:t>blind pilotage techniques</w:t>
            </w:r>
          </w:p>
          <w:p w:rsidR="00000000" w:rsidRPr="005C2DAB" w:rsidP="005C2DAB">
            <w:pPr>
              <w:pStyle w:val="ListBullet"/>
            </w:pPr>
            <w:r w:rsidRPr="005C2DAB">
              <w:t>bridge instrumentation, controls and alarms relevant to the function of watchkeeping</w:t>
            </w:r>
          </w:p>
          <w:p w:rsidR="00000000" w:rsidRPr="005C2DAB" w:rsidP="005C2DAB">
            <w:pPr>
              <w:pStyle w:val="ListBullet"/>
            </w:pPr>
            <w:r w:rsidRPr="005C2DAB">
              <w:t>bridge procedures onboard a vessel</w:t>
            </w:r>
          </w:p>
          <w:p w:rsidR="00000000" w:rsidRPr="005C2DAB" w:rsidP="005C2DAB">
            <w:pPr>
              <w:pStyle w:val="ListBullet"/>
            </w:pPr>
            <w:r w:rsidRPr="005C2DAB">
              <w:t>bridge resource management principles, including allocation, assignment</w:t>
            </w:r>
            <w:r w:rsidRPr="005C2DAB">
              <w:t xml:space="preserve"> and prioritisation of resources; effective communication; assertiveness and leadership; obtaining and maintaining situational awareness; and consideration of team experience</w:t>
            </w:r>
          </w:p>
          <w:p w:rsidR="00000000" w:rsidRPr="005C2DAB" w:rsidP="005C2DAB">
            <w:pPr>
              <w:pStyle w:val="ListBullet"/>
            </w:pPr>
            <w:r w:rsidRPr="005C2DAB">
              <w:t>causes of groundings, collisions and casualties</w:t>
            </w:r>
          </w:p>
          <w:p w:rsidR="00000000" w:rsidRPr="005C2DAB" w:rsidP="005C2DAB">
            <w:pPr>
              <w:pStyle w:val="ListBullet"/>
            </w:pPr>
            <w:r w:rsidRPr="005C2DAB">
              <w:t>contingency plans with response t</w:t>
            </w:r>
            <w:r w:rsidRPr="005C2DAB">
              <w:t>o emergencies, including responding to distress signal at sea</w:t>
            </w:r>
          </w:p>
          <w:p w:rsidR="00000000" w:rsidRPr="005C2DAB" w:rsidP="005C2DAB">
            <w:pPr>
              <w:pStyle w:val="ListBullet"/>
            </w:pPr>
            <w:r w:rsidRPr="005C2DAB">
              <w:t>distress signals as listed in Annex IV of COLREGs</w:t>
            </w:r>
          </w:p>
          <w:p w:rsidR="00000000" w:rsidRPr="005C2DAB" w:rsidP="005C2DAB">
            <w:pPr>
              <w:pStyle w:val="ListBullet"/>
            </w:pPr>
            <w:r w:rsidRPr="005C2DAB">
              <w:t>fatigue management principles and techniques</w:t>
            </w:r>
          </w:p>
          <w:p w:rsidR="00000000" w:rsidRPr="005C2DAB" w:rsidP="005C2DAB">
            <w:pPr>
              <w:pStyle w:val="ListBullet"/>
            </w:pPr>
            <w:r w:rsidRPr="005C2DAB">
              <w:t>functions and responsibilities of the watchkeeping team onboard a vessel</w:t>
            </w:r>
          </w:p>
          <w:p w:rsidR="00000000" w:rsidRPr="005C2DAB" w:rsidP="005C2DAB">
            <w:pPr>
              <w:pStyle w:val="ListBullet"/>
            </w:pPr>
            <w:r w:rsidRPr="005C2DAB">
              <w:t>initial actions to be taken following a collision or grounding, including:</w:t>
            </w:r>
          </w:p>
          <w:p w:rsidR="00000000" w:rsidRPr="005C2DAB" w:rsidP="005C2DAB">
            <w:pPr>
              <w:pStyle w:val="ListBullet2"/>
            </w:pPr>
            <w:r w:rsidRPr="005C2DAB">
              <w:t>initial damage assessment and control</w:t>
            </w:r>
          </w:p>
          <w:p w:rsidR="00000000" w:rsidRPr="005C2DAB" w:rsidP="005C2DAB">
            <w:pPr>
              <w:pStyle w:val="ListBullet2"/>
            </w:pPr>
            <w:r w:rsidRPr="005C2DAB">
              <w:t>manoeuvring vessel</w:t>
            </w:r>
          </w:p>
          <w:p w:rsidR="00000000" w:rsidRPr="005C2DAB" w:rsidP="005C2DAB">
            <w:pPr>
              <w:pStyle w:val="ListBullet2"/>
            </w:pPr>
            <w:r w:rsidRPr="005C2DAB">
              <w:t>precautions when breaching a vessel</w:t>
            </w:r>
          </w:p>
          <w:p w:rsidR="00000000" w:rsidRPr="005C2DAB" w:rsidP="005C2DAB">
            <w:pPr>
              <w:pStyle w:val="ListBullet"/>
            </w:pPr>
            <w:r w:rsidRPr="005C2DAB">
              <w:t>International Association of Lighthouse Authorities (IALA) buoyage system A and B</w:t>
            </w:r>
          </w:p>
          <w:p w:rsidR="00000000" w:rsidRPr="005C2DAB" w:rsidP="005C2DAB">
            <w:pPr>
              <w:pStyle w:val="ListBullet"/>
            </w:pPr>
            <w:r w:rsidRPr="005C2DAB">
              <w:t>irre</w:t>
            </w:r>
            <w:r w:rsidRPr="005C2DAB">
              <w:t>gularities or abnormal conditions, including:</w:t>
            </w:r>
          </w:p>
          <w:p w:rsidR="00000000" w:rsidRPr="005C2DAB" w:rsidP="005C2DAB">
            <w:pPr>
              <w:pStyle w:val="ListBullet2"/>
            </w:pPr>
            <w:r w:rsidRPr="005C2DAB">
              <w:t>dragging anchor</w:t>
            </w:r>
          </w:p>
          <w:p w:rsidR="00000000" w:rsidRPr="005C2DAB" w:rsidP="005C2DAB">
            <w:pPr>
              <w:pStyle w:val="ListBullet2"/>
            </w:pPr>
            <w:r w:rsidRPr="005C2DAB">
              <w:t>fog and restricted visibility</w:t>
            </w:r>
          </w:p>
          <w:p w:rsidR="00000000" w:rsidRPr="005C2DAB" w:rsidP="005C2DAB">
            <w:pPr>
              <w:pStyle w:val="ListBullet2"/>
            </w:pPr>
            <w:r w:rsidRPr="005C2DAB">
              <w:t>heavy weather</w:t>
            </w:r>
          </w:p>
          <w:p w:rsidR="00000000" w:rsidRPr="005C2DAB" w:rsidP="005C2DAB">
            <w:pPr>
              <w:pStyle w:val="ListBullet"/>
            </w:pPr>
            <w:r w:rsidRPr="005C2DAB">
              <w:t xml:space="preserve">lights, shapes and sound signals as listed in COLREGs parts C </w:t>
            </w:r>
          </w:p>
          <w:p w:rsidR="00000000" w:rsidRPr="005C2DAB" w:rsidP="005C2DAB">
            <w:pPr>
              <w:pStyle w:val="ListBullet"/>
            </w:pPr>
            <w:r w:rsidRPr="005C2DAB">
              <w:t>manual and electronic navigational aids available to the bridge team and procedures for their operation and use during a watch</w:t>
            </w:r>
          </w:p>
          <w:p w:rsidR="00000000" w:rsidRPr="005C2DAB" w:rsidP="005C2DAB">
            <w:pPr>
              <w:pStyle w:val="ListBullet"/>
            </w:pPr>
            <w:r w:rsidRPr="005C2DAB">
              <w:t xml:space="preserve">maritime communication techniques onboard a vessel in accordance with the Standard Marine Communication Phrases </w:t>
            </w:r>
          </w:p>
          <w:p w:rsidR="00000000" w:rsidRPr="005C2DAB" w:rsidP="005C2DAB">
            <w:pPr>
              <w:pStyle w:val="ListBullet"/>
            </w:pPr>
            <w:r w:rsidRPr="005C2DAB">
              <w:t>nature of assist</w:t>
            </w:r>
            <w:r w:rsidRPr="005C2DAB">
              <w:t>ance, including:</w:t>
            </w:r>
          </w:p>
          <w:p w:rsidR="00000000" w:rsidRPr="005C2DAB" w:rsidP="005C2DAB">
            <w:pPr>
              <w:pStyle w:val="ListBullet2"/>
            </w:pPr>
            <w:r w:rsidRPr="005C2DAB">
              <w:t>assisting a ship in distress</w:t>
            </w:r>
          </w:p>
          <w:p w:rsidR="00000000" w:rsidRPr="005C2DAB" w:rsidP="005C2DAB">
            <w:pPr>
              <w:pStyle w:val="ListBullet2"/>
            </w:pPr>
            <w:r w:rsidRPr="005C2DAB">
              <w:t xml:space="preserve">rescuing persons from a vessel in distress and from a wreck </w:t>
            </w:r>
          </w:p>
          <w:p w:rsidR="00000000" w:rsidRPr="005C2DAB" w:rsidP="005C2DAB">
            <w:pPr>
              <w:pStyle w:val="ListBullet2"/>
            </w:pPr>
            <w:r w:rsidRPr="005C2DAB">
              <w:t>responding to emergencies occurring in port</w:t>
            </w:r>
          </w:p>
          <w:p w:rsidR="00000000" w:rsidRPr="005C2DAB" w:rsidP="005C2DAB">
            <w:pPr>
              <w:pStyle w:val="ListBullet"/>
            </w:pPr>
            <w:r w:rsidRPr="005C2DAB">
              <w:t>nature of emergencies</w:t>
            </w:r>
          </w:p>
          <w:p w:rsidR="00000000" w:rsidRPr="005C2DAB" w:rsidP="005C2DAB">
            <w:pPr>
              <w:pStyle w:val="ListBullet"/>
            </w:pPr>
            <w:r w:rsidRPr="005C2DAB">
              <w:t>navigational aids</w:t>
            </w:r>
          </w:p>
          <w:p w:rsidR="00000000" w:rsidRPr="005C2DAB" w:rsidP="005C2DAB">
            <w:pPr>
              <w:pStyle w:val="ListBullet"/>
            </w:pPr>
            <w:r w:rsidRPr="005C2DAB">
              <w:t>navigational hazards and implications for watchkeeping</w:t>
            </w:r>
          </w:p>
          <w:p w:rsidR="00000000" w:rsidRPr="005C2DAB" w:rsidP="005C2DAB">
            <w:pPr>
              <w:pStyle w:val="ListBullet"/>
            </w:pPr>
            <w:r w:rsidRPr="005C2DAB">
              <w:t>precauti</w:t>
            </w:r>
            <w:r w:rsidRPr="005C2DAB">
              <w:t>ons for the protection and safety of crew and passengers</w:t>
            </w:r>
          </w:p>
          <w:p w:rsidR="00000000" w:rsidRPr="005C2DAB" w:rsidP="005C2DAB">
            <w:pPr>
              <w:pStyle w:val="ListBullet"/>
            </w:pPr>
            <w:r w:rsidRPr="005C2DAB">
              <w:t>precautions necessary when navigating in or near traffic separation schemes or other routeing measures</w:t>
            </w:r>
          </w:p>
          <w:p w:rsidR="00000000" w:rsidRPr="005C2DAB" w:rsidP="005C2DAB">
            <w:pPr>
              <w:pStyle w:val="ListBullet"/>
            </w:pPr>
            <w:r w:rsidRPr="005C2DAB">
              <w:t>principles and use of navigational recording devices for keeping records of the operation, behav</w:t>
            </w:r>
            <w:r w:rsidRPr="005C2DAB">
              <w:t>iour and performance of the vessel and navigation equipment</w:t>
            </w:r>
          </w:p>
          <w:p w:rsidR="00000000" w:rsidRPr="005C2DAB" w:rsidP="005C2DAB">
            <w:pPr>
              <w:pStyle w:val="ListBullet"/>
            </w:pPr>
            <w:r w:rsidRPr="005C2DAB">
              <w:t>principles for the use of vessel routing and reporting systems for safe navigation, including weather routing</w:t>
            </w:r>
          </w:p>
          <w:p w:rsidR="00000000" w:rsidRPr="005C2DAB" w:rsidP="005C2DAB">
            <w:pPr>
              <w:pStyle w:val="ListBullet"/>
            </w:pPr>
            <w:r w:rsidRPr="005C2DAB">
              <w:t>principles to be observed in keeping a safe</w:t>
            </w:r>
            <w:r w:rsidRPr="005C2DAB">
              <w:rPr>
                <w:rStyle w:val="Emphasis"/>
              </w:rPr>
              <w:t xml:space="preserve"> </w:t>
            </w:r>
            <w:r w:rsidRPr="005C2DAB">
              <w:t>navigational watch</w:t>
            </w:r>
          </w:p>
          <w:p w:rsidR="00000000" w:rsidRPr="005C2DAB" w:rsidP="005C2DAB">
            <w:pPr>
              <w:pStyle w:val="ListBullet"/>
            </w:pPr>
            <w:r w:rsidRPr="005C2DAB">
              <w:t>principles to be observed in keeping a watch in port, including when carrying hazardous cargo</w:t>
            </w:r>
          </w:p>
          <w:p w:rsidR="00000000" w:rsidRPr="005C2DAB" w:rsidP="005C2DAB">
            <w:pPr>
              <w:pStyle w:val="ListBullet"/>
            </w:pPr>
            <w:r w:rsidRPr="005C2DAB">
              <w:t>procedures for rescuing a person at sea, assisting a vessel in distress and responding to emergencies that arise in port</w:t>
            </w:r>
          </w:p>
          <w:p w:rsidR="00000000" w:rsidRPr="005C2DAB" w:rsidP="005C2DAB">
            <w:pPr>
              <w:pStyle w:val="ListBullet"/>
            </w:pPr>
            <w:r w:rsidRPr="005C2DAB">
              <w:t xml:space="preserve">procedures for the conduct, handover and </w:t>
            </w:r>
            <w:r w:rsidRPr="005C2DAB">
              <w:t>relief of a watch</w:t>
            </w:r>
          </w:p>
          <w:p w:rsidR="00000000" w:rsidRPr="005C2DAB" w:rsidP="005C2DAB">
            <w:pPr>
              <w:pStyle w:val="ListBullet"/>
            </w:pPr>
            <w:r w:rsidRPr="005C2DAB">
              <w:t>procedures for the use of internal communications and alarm systems</w:t>
            </w:r>
          </w:p>
          <w:p w:rsidR="00000000" w:rsidRPr="005C2DAB" w:rsidP="005C2DAB">
            <w:pPr>
              <w:pStyle w:val="ListBullet"/>
            </w:pPr>
            <w:r w:rsidRPr="005C2DAB">
              <w:t>range of lifesaving appliances</w:t>
            </w:r>
          </w:p>
          <w:p w:rsidR="00000000" w:rsidRPr="005C2DAB" w:rsidP="005C2DAB">
            <w:pPr>
              <w:pStyle w:val="ListBullet"/>
            </w:pPr>
            <w:r w:rsidRPr="005C2DAB">
              <w:t>search and rescue using International Aeronautical and Maritime Search and Rescue (IAMSAR) Manual</w:t>
            </w:r>
          </w:p>
          <w:p w:rsidR="00000000" w:rsidRPr="005C2DAB" w:rsidP="005C2DAB">
            <w:pPr>
              <w:pStyle w:val="ListBullet"/>
            </w:pPr>
            <w:r w:rsidRPr="005C2DAB">
              <w:t>signs of personnel fatigue and hours of r</w:t>
            </w:r>
            <w:r w:rsidRPr="005C2DAB">
              <w:t>est requirements</w:t>
            </w:r>
          </w:p>
          <w:p w:rsidR="00000000" w:rsidRPr="005C2DAB" w:rsidP="005C2DAB">
            <w:pPr>
              <w:pStyle w:val="ListBullet"/>
            </w:pPr>
            <w:r w:rsidRPr="005C2DAB">
              <w:t>typical bridge instrumentation, controls and alarms and their functions</w:t>
            </w:r>
          </w:p>
          <w:p w:rsidR="00000000" w:rsidRPr="005C2DAB" w:rsidP="005C2DAB">
            <w:pPr>
              <w:pStyle w:val="ListBullet"/>
            </w:pPr>
            <w:r w:rsidRPr="005C2DAB">
              <w:t>typical watchkeeping problems and emergency situations, and appropriate actions and solutions</w:t>
            </w:r>
          </w:p>
          <w:p w:rsidR="00000000" w:rsidRPr="005C2DAB" w:rsidP="005C2DAB">
            <w:pPr>
              <w:pStyle w:val="ListBullet"/>
            </w:pPr>
            <w:r w:rsidRPr="005C2DAB">
              <w:t>work health and safety (WHS)/occupational health and safety (OHS) require</w:t>
            </w:r>
            <w:r w:rsidRPr="005C2DAB">
              <w:t>ments and work practices.</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14" w:name="O_1285875"/>
      <w:bookmarkEnd w:id="14"/>
      <w:r w:rsidRPr="005C2DAB">
        <w:t>Assessment Conditions</w:t>
      </w:r>
    </w:p>
    <w:tbl>
      <w:tblPr>
        <w:tblW w:w="9497" w:type="dxa"/>
        <w:tblLayout w:type="fixed"/>
        <w:tblCellMar>
          <w:left w:w="62" w:type="dxa"/>
          <w:right w:w="62" w:type="dxa"/>
        </w:tblCellMar>
        <w:tblLook w:val="0000"/>
      </w:tblPr>
      <w:tblGrid>
        <w:gridCol w:w="9497"/>
      </w:tblGrid>
      <w:tr w:rsidTr="005C2DA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C2DAB" w:rsidP="005C2DAB">
            <w:pPr>
              <w:pStyle w:val="BodyText"/>
            </w:pPr>
            <w:r w:rsidRPr="005C2DAB">
              <w:t xml:space="preserve">Assessors must hold credentials specified within the Standards for Registered Training Organisations current at the time of assessment. </w:t>
            </w:r>
          </w:p>
          <w:p w:rsidR="00000000" w:rsidRPr="005C2DAB" w:rsidP="005C2DAB">
            <w:pPr>
              <w:pStyle w:val="BodyText"/>
            </w:pPr>
            <w:r w:rsidRPr="005C2DAB">
              <w:t>Assessment must satisfy the Principles of Assessment and Rules of Evidence and all regulatory requirements included within the Standards for Registered Training Organisations current at the time of assessment.</w:t>
            </w:r>
          </w:p>
          <w:p w:rsidR="00000000" w:rsidRPr="005C2DAB" w:rsidP="005C2DAB">
            <w:pPr>
              <w:pStyle w:val="BodyText"/>
            </w:pPr>
            <w:r w:rsidRPr="005C2DAB">
              <w:t>Assessment processes and techniques must be ap</w:t>
            </w:r>
            <w:r w:rsidRPr="005C2DAB">
              <w:t>propriate to the language, literacy and numeracy requirements of the work being performed and the needs of the candidate.</w:t>
            </w:r>
          </w:p>
          <w:p w:rsidR="00000000" w:rsidRPr="005C2DAB" w:rsidP="005C2DAB">
            <w:pPr>
              <w:pStyle w:val="BodyText"/>
            </w:pPr>
            <w:r w:rsidRPr="005C2DAB">
              <w:t xml:space="preserve">Practical assessment must occur in a workplace, or realistic simulated workplace, under the normal range of workplace conditions. </w:t>
            </w:r>
          </w:p>
          <w:p w:rsidR="00000000" w:rsidRPr="005C2DAB" w:rsidP="005C2DAB">
            <w:pPr>
              <w:pStyle w:val="BodyText"/>
            </w:pPr>
            <w:r w:rsidRPr="005C2DAB">
              <w:t>Sim</w:t>
            </w:r>
            <w:r w:rsidRPr="005C2DAB">
              <w:t xml:space="preserve">ulations and scenarios may be used where situations cannot be provided in the workplace or may occur only rarely, in particular for situations relating to emergency procedures and adverse weather conditions where assessment would be unsafe, impractical or </w:t>
            </w:r>
            <w:r w:rsidRPr="005C2DAB">
              <w:t>may lead to environmental damage.</w:t>
            </w:r>
          </w:p>
          <w:p w:rsidR="00000000" w:rsidRPr="005C2DAB" w:rsidP="005C2DAB">
            <w:pPr>
              <w:pStyle w:val="BodyText"/>
            </w:pPr>
            <w:r w:rsidRPr="005C2DAB">
              <w:t>Resources for assessment must include access to:</w:t>
            </w:r>
          </w:p>
          <w:p w:rsidR="00000000" w:rsidRPr="005C2DAB" w:rsidP="005C2DAB">
            <w:pPr>
              <w:pStyle w:val="ListBullet"/>
            </w:pPr>
            <w:r w:rsidRPr="005C2DAB">
              <w:t>applicable documentation, such as legislation, regulations, codes of practice, workplace procedures and operational manuals</w:t>
            </w:r>
          </w:p>
          <w:p w:rsidR="00000000" w:rsidRPr="005C2DAB" w:rsidP="005C2DAB">
            <w:pPr>
              <w:pStyle w:val="ListBullet"/>
            </w:pPr>
            <w:r w:rsidRPr="005C2DAB">
              <w:t>tools, equipment, machinery, materials and relev</w:t>
            </w:r>
            <w:r w:rsidRPr="005C2DAB">
              <w:t>ant personal protective equipment (PPE) currently used in industry.</w:t>
            </w:r>
          </w:p>
        </w:tc>
      </w:tr>
    </w:tbl>
    <w:p w:rsidR="00000000" w:rsidRPr="005C2DAB" w:rsidP="005C2DAB">
      <w:pPr>
        <w:pStyle w:val="NoPaddingFontSize1"/>
      </w:pPr>
    </w:p>
    <w:p w:rsidR="00000000" w:rsidRPr="005C2DAB" w:rsidP="005C2DAB">
      <w:pPr>
        <w:pStyle w:val="AllowPageBreak"/>
      </w:pPr>
    </w:p>
    <w:p w:rsidR="00000000" w:rsidRPr="005C2DAB" w:rsidP="005C2DAB">
      <w:pPr>
        <w:pStyle w:val="Heading1"/>
      </w:pPr>
      <w:bookmarkStart w:id="15" w:name="O_1285890"/>
      <w:bookmarkEnd w:id="15"/>
      <w:r w:rsidRPr="005C2DAB">
        <w:t>Links</w:t>
      </w:r>
    </w:p>
    <w:p w:rsidR="00000000" w:rsidRPr="005C2DAB" w:rsidP="00060856">
      <w:pPr>
        <w:pStyle w:val="BodyText"/>
      </w:pPr>
      <w:r w:rsidRPr="005C2DAB">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98219D">
        <w:rPr>
          <w:rStyle w:val="Hyperlink"/>
        </w:rPr>
        <w:t>https://vetnet.gov.au/Pages/TrainingDocs.aspx?q=772efb7b-4cce-47fe-9bbd-ee3b1d1eb4c2</w:t>
      </w:r>
      <w:r>
        <w:fldChar w:fldCharType="end"/>
      </w:r>
    </w:p>
    <w:p w:rsidR="00000000" w:rsidRPr="005C2DAB" w:rsidP="005C2DAB"/>
    <w:sectPr w:rsidSect="005C2D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rsidRPr="00060856" w:rsidP="000608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56" w:rsidP="005C2D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60856" w:rsidP="005C2D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060856" w:rsidP="005C2D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rsidP="005C2DAB">
    <w:pPr>
      <w:pStyle w:val="Footer"/>
      <w:framePr w:wrap="around"/>
    </w:pPr>
    <w:r>
      <w:fldChar w:fldCharType="begin"/>
    </w:r>
    <w:r>
      <w:instrText xml:space="preserve"> DOCPROPERTY  Subject  \* MERGEFORMAT </w:instrText>
    </w:r>
    <w:r>
      <w:fldChar w:fldCharType="separate"/>
    </w:r>
    <w:r w:rsidR="00060856">
      <w:t>Approved</w:t>
    </w:r>
    <w:r w:rsidR="00060856">
      <w:fldChar w:fldCharType="end"/>
    </w:r>
    <w:r>
      <w:tab/>
      <w:t xml:space="preserve">Page </w:t>
    </w:r>
    <w:r>
      <w:fldChar w:fldCharType="begin"/>
    </w:r>
    <w:r>
      <w:instrText xml:space="preserve"> PAGE  \* Arabic  \* MERGEFORMAT </w:instrText>
    </w:r>
    <w:r>
      <w:fldChar w:fldCharType="separate"/>
    </w:r>
    <w:r w:rsidR="0006085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0856">
      <w:rPr>
        <w:noProof/>
      </w:rPr>
      <w:t>7</w:t>
    </w:r>
    <w:r>
      <w:rPr>
        <w:noProof/>
      </w:rPr>
      <w:fldChar w:fldCharType="end"/>
    </w:r>
  </w:p>
  <w:p w:rsidR="005C2DAB" w:rsidP="005C2DAB">
    <w:pPr>
      <w:pStyle w:val="Footer"/>
      <w:framePr w:wrap="around"/>
    </w:pPr>
    <w:r>
      <w:t xml:space="preserve">© Commonwealth of Australia, </w:t>
    </w:r>
    <w:r>
      <w:fldChar w:fldCharType="begin"/>
    </w:r>
    <w:r>
      <w:instrText xml:space="preserve"> DATE  \@ "yyyy"  \* MERGEFORMAT </w:instrText>
    </w:r>
    <w:r>
      <w:fldChar w:fldCharType="separate"/>
    </w:r>
    <w:r w:rsidR="00060856">
      <w:rPr>
        <w:noProof/>
      </w:rPr>
      <w:t>2025</w:t>
    </w:r>
    <w:r>
      <w:fldChar w:fldCharType="end"/>
    </w:r>
    <w:r>
      <w:tab/>
    </w:r>
    <w:r>
      <w:fldChar w:fldCharType="begin"/>
    </w:r>
    <w:r>
      <w:instrText xml:space="preserve"> DOCPROPERTY  Author  \* MERGEFORMAT </w:instrText>
    </w:r>
    <w:r>
      <w:fldChar w:fldCharType="separate"/>
    </w:r>
    <w:r w:rsidR="00060856">
      <w:t>Industry Skills Australia</w:t>
    </w:r>
    <w:r w:rsidR="00060856">
      <w:fldChar w:fldCharType="end"/>
    </w:r>
  </w:p>
  <w:p w:rsidR="005C2DAB" w:rsidP="005C2D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2DAB" w:rsidRPr="00060856" w:rsidP="000608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0856" w:rsidRPr="002D2AF8" w:rsidP="005C2DAB">
    <w:pPr>
      <w:pStyle w:val="Header"/>
      <w:framePr w:wrap="around"/>
    </w:pPr>
    <w:r>
      <w:fldChar w:fldCharType="begin"/>
    </w:r>
    <w:r>
      <w:instrText xml:space="preserve"> TITLE   \* MERGEFORMAT </w:instrText>
    </w:r>
    <w:r>
      <w:fldChar w:fldCharType="separate"/>
    </w:r>
    <w:r>
      <w:t>MARO009 Maintain a safe navigational watch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0856" w:rsidP="005C2D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2DAB" w:rsidRPr="002D2AF8" w:rsidP="005C2DAB">
    <w:pPr>
      <w:pStyle w:val="Header"/>
      <w:framePr w:wrap="around"/>
    </w:pPr>
    <w:r>
      <w:fldChar w:fldCharType="begin"/>
    </w:r>
    <w:r>
      <w:instrText xml:space="preserve"> TITLE   \* MERGEFORMAT </w:instrText>
    </w:r>
    <w:r>
      <w:fldChar w:fldCharType="separate"/>
    </w:r>
    <w:r w:rsidR="00060856">
      <w:t>MARO009 Maintain a safe navigational watch</w:t>
    </w:r>
    <w:r w:rsidR="00060856">
      <w:fldChar w:fldCharType="end"/>
    </w:r>
    <w:r>
      <w:tab/>
      <w:t xml:space="preserve">Date this document was generated: </w:t>
    </w:r>
    <w:r>
      <w:fldChar w:fldCharType="begin"/>
    </w:r>
    <w:r>
      <w:instrText xml:space="preserve"> CREATEDATE  \@ "d MMMM yyyy"  \* MERGEFORMAT </w:instrText>
    </w:r>
    <w:r>
      <w:fldChar w:fldCharType="separate"/>
    </w:r>
    <w:r w:rsidR="00060856">
      <w:rPr>
        <w:noProof/>
      </w:rPr>
      <w:t>2 March 2025</w:t>
    </w:r>
    <w:r>
      <w:fldChar w:fldCharType="end"/>
    </w:r>
  </w:p>
  <w:p w:rsidR="005C2DAB" w:rsidP="005C2D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E042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95EE4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D0D1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2D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2DAB"/>
    <w:pPr>
      <w:spacing w:before="360" w:after="60"/>
      <w:outlineLvl w:val="0"/>
    </w:pPr>
    <w:rPr>
      <w:sz w:val="32"/>
    </w:rPr>
  </w:style>
  <w:style w:type="paragraph" w:styleId="Heading2">
    <w:name w:val="heading 2"/>
    <w:basedOn w:val="HeadingBase"/>
    <w:next w:val="BodyText"/>
    <w:link w:val="Heading2Char"/>
    <w:qFormat/>
    <w:rsid w:val="005C2DAB"/>
    <w:pPr>
      <w:keepLines/>
      <w:spacing w:before="240" w:after="120"/>
      <w:outlineLvl w:val="1"/>
    </w:pPr>
    <w:rPr>
      <w:sz w:val="28"/>
      <w:szCs w:val="40"/>
    </w:rPr>
  </w:style>
  <w:style w:type="paragraph" w:styleId="Heading3">
    <w:name w:val="heading 3"/>
    <w:basedOn w:val="HeadingBase"/>
    <w:next w:val="BodyText"/>
    <w:link w:val="Heading3Char"/>
    <w:qFormat/>
    <w:rsid w:val="005C2DAB"/>
    <w:pPr>
      <w:spacing w:before="180" w:after="120"/>
      <w:outlineLvl w:val="2"/>
    </w:pPr>
    <w:rPr>
      <w:spacing w:val="-10"/>
      <w:kern w:val="32"/>
    </w:rPr>
  </w:style>
  <w:style w:type="paragraph" w:styleId="Heading4">
    <w:name w:val="heading 4"/>
    <w:basedOn w:val="HeadingBase"/>
    <w:next w:val="BodyText"/>
    <w:link w:val="Heading4Char"/>
    <w:qFormat/>
    <w:rsid w:val="005C2DAB"/>
    <w:pPr>
      <w:spacing w:before="160" w:after="120"/>
      <w:outlineLvl w:val="3"/>
    </w:pPr>
    <w:rPr>
      <w:sz w:val="22"/>
    </w:rPr>
  </w:style>
  <w:style w:type="paragraph" w:styleId="Heading5">
    <w:name w:val="heading 5"/>
    <w:basedOn w:val="HeadingBase"/>
    <w:next w:val="Normal"/>
    <w:link w:val="Heading5Char"/>
    <w:qFormat/>
    <w:rsid w:val="005C2DAB"/>
    <w:pPr>
      <w:spacing w:before="80"/>
      <w:outlineLvl w:val="4"/>
    </w:pPr>
    <w:rPr>
      <w:color w:val="918585"/>
      <w:sz w:val="20"/>
    </w:rPr>
  </w:style>
  <w:style w:type="paragraph" w:styleId="Heading6">
    <w:name w:val="heading 6"/>
    <w:basedOn w:val="HeadingBase"/>
    <w:next w:val="Normal"/>
    <w:link w:val="Heading6Char"/>
    <w:qFormat/>
    <w:rsid w:val="005C2DAB"/>
    <w:pPr>
      <w:spacing w:before="60"/>
      <w:outlineLvl w:val="5"/>
    </w:pPr>
    <w:rPr>
      <w:color w:val="918585"/>
      <w:sz w:val="20"/>
    </w:rPr>
  </w:style>
  <w:style w:type="paragraph" w:styleId="Heading7">
    <w:name w:val="heading 7"/>
    <w:basedOn w:val="Normal"/>
    <w:next w:val="Normal"/>
    <w:link w:val="Heading7Char"/>
    <w:qFormat/>
    <w:rsid w:val="005C2DAB"/>
    <w:pPr>
      <w:ind w:left="720"/>
      <w:outlineLvl w:val="6"/>
    </w:pPr>
    <w:rPr>
      <w:i/>
    </w:rPr>
  </w:style>
  <w:style w:type="paragraph" w:styleId="Heading8">
    <w:name w:val="heading 8"/>
    <w:basedOn w:val="Normal"/>
    <w:next w:val="Normal"/>
    <w:link w:val="Heading8Char"/>
    <w:qFormat/>
    <w:rsid w:val="005C2DAB"/>
    <w:pPr>
      <w:ind w:left="720"/>
      <w:outlineLvl w:val="7"/>
    </w:pPr>
    <w:rPr>
      <w:i/>
    </w:rPr>
  </w:style>
  <w:style w:type="paragraph" w:styleId="Heading9">
    <w:name w:val="heading 9"/>
    <w:basedOn w:val="Normal"/>
    <w:next w:val="Normal"/>
    <w:link w:val="Heading9Char"/>
    <w:qFormat/>
    <w:rsid w:val="005C2DAB"/>
    <w:pPr>
      <w:ind w:left="720"/>
      <w:outlineLvl w:val="8"/>
    </w:pPr>
    <w:rPr>
      <w:i/>
    </w:rPr>
  </w:style>
  <w:style w:type="character" w:default="1" w:styleId="DefaultParagraphFont">
    <w:name w:val="Default Paragraph Font"/>
    <w:uiPriority w:val="1"/>
    <w:unhideWhenUsed/>
    <w:rsid w:val="005C2D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2DAB"/>
  </w:style>
  <w:style w:type="character" w:customStyle="1" w:styleId="Heading1Char">
    <w:name w:val="Heading 1 Char"/>
    <w:basedOn w:val="DefaultParagraphFont"/>
    <w:link w:val="Heading1"/>
    <w:rsid w:val="005C2DAB"/>
    <w:rPr>
      <w:rFonts w:ascii="Times New Roman" w:eastAsia="Times New Roman" w:hAnsi="Times New Roman" w:cs="Times New Roman"/>
      <w:b/>
      <w:sz w:val="32"/>
      <w:szCs w:val="20"/>
      <w:lang w:eastAsia="en-US"/>
    </w:rPr>
  </w:style>
  <w:style w:type="paragraph" w:styleId="BodyText">
    <w:name w:val="Body Text"/>
    <w:basedOn w:val="Normal"/>
    <w:link w:val="BodyTextChar"/>
    <w:rsid w:val="005C2D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2DAB"/>
    <w:rPr>
      <w:rFonts w:ascii="Times New Roman" w:eastAsia="Times New Roman" w:hAnsi="Times New Roman" w:cs="Times New Roman"/>
      <w:sz w:val="24"/>
      <w:lang w:eastAsia="en-US"/>
    </w:rPr>
  </w:style>
  <w:style w:type="paragraph" w:styleId="ListBullet">
    <w:name w:val="List Bullet"/>
    <w:basedOn w:val="List"/>
    <w:rsid w:val="005C2DAB"/>
    <w:pPr>
      <w:numPr>
        <w:numId w:val="12"/>
      </w:numPr>
      <w:tabs>
        <w:tab w:val="clear" w:pos="340"/>
      </w:tabs>
      <w:spacing w:before="40" w:after="40"/>
    </w:pPr>
  </w:style>
  <w:style w:type="character" w:customStyle="1" w:styleId="SpecialBold">
    <w:name w:val="Special Bold"/>
    <w:basedOn w:val="DefaultParagraphFont"/>
    <w:rsid w:val="005C2DAB"/>
    <w:rPr>
      <w:b/>
      <w:spacing w:val="0"/>
    </w:rPr>
  </w:style>
  <w:style w:type="paragraph" w:styleId="ListBullet2">
    <w:name w:val="List Bullet 2"/>
    <w:basedOn w:val="List2"/>
    <w:rsid w:val="005C2DAB"/>
    <w:pPr>
      <w:numPr>
        <w:numId w:val="13"/>
      </w:numPr>
      <w:tabs>
        <w:tab w:val="clear" w:pos="680"/>
      </w:tabs>
    </w:pPr>
  </w:style>
  <w:style w:type="character" w:styleId="Emphasis">
    <w:name w:val="Emphasis"/>
    <w:basedOn w:val="DefaultParagraphFont"/>
    <w:qFormat/>
    <w:rsid w:val="005C2DAB"/>
    <w:rPr>
      <w:i/>
    </w:rPr>
  </w:style>
  <w:style w:type="paragraph" w:customStyle="1" w:styleId="SuperHeading">
    <w:name w:val="SuperHeading"/>
    <w:basedOn w:val="Normal"/>
    <w:rsid w:val="005C2DAB"/>
    <w:pPr>
      <w:spacing w:before="240" w:after="120"/>
      <w:outlineLvl w:val="0"/>
    </w:pPr>
    <w:rPr>
      <w:rFonts w:ascii="Times New Roman" w:hAnsi="Times New Roman"/>
      <w:b/>
      <w:sz w:val="32"/>
    </w:rPr>
  </w:style>
  <w:style w:type="paragraph" w:customStyle="1" w:styleId="AllowPageBreak">
    <w:name w:val="AllowPageBreak"/>
    <w:rsid w:val="005C2DA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C2D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2D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2D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2D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2D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2D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2D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2DAB"/>
    <w:rPr>
      <w:rFonts w:ascii="Courier New" w:eastAsia="Times New Roman" w:hAnsi="Courier New" w:cs="Times New Roman"/>
      <w:i/>
      <w:szCs w:val="20"/>
      <w:lang w:eastAsia="en-US"/>
    </w:rPr>
  </w:style>
  <w:style w:type="paragraph" w:customStyle="1" w:styleId="HeadingBase">
    <w:name w:val="Heading Base"/>
    <w:rsid w:val="005C2D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2DAB"/>
    <w:pPr>
      <w:tabs>
        <w:tab w:val="right" w:leader="dot" w:pos="9072"/>
      </w:tabs>
      <w:ind w:left="567"/>
    </w:pPr>
    <w:rPr>
      <w:szCs w:val="22"/>
    </w:rPr>
  </w:style>
  <w:style w:type="paragraph" w:customStyle="1" w:styleId="TOCBase">
    <w:name w:val="TOC Base"/>
    <w:rsid w:val="005C2D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2DAB"/>
    <w:pPr>
      <w:tabs>
        <w:tab w:val="right" w:leader="dot" w:pos="9072"/>
      </w:tabs>
      <w:spacing w:before="40" w:after="40"/>
      <w:ind w:left="284"/>
    </w:pPr>
    <w:rPr>
      <w:rFonts w:ascii="Times New Roman" w:hAnsi="Times New Roman"/>
    </w:rPr>
  </w:style>
  <w:style w:type="paragraph" w:styleId="TOC1">
    <w:name w:val="toc 1"/>
    <w:basedOn w:val="TOCBase"/>
    <w:next w:val="Normal"/>
    <w:rsid w:val="005C2D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2D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2DAB"/>
    <w:rPr>
      <w:rFonts w:ascii="Times New Roman" w:eastAsia="Times New Roman" w:hAnsi="Times New Roman" w:cs="Times New Roman"/>
      <w:sz w:val="16"/>
      <w:lang w:eastAsia="en-US"/>
    </w:rPr>
  </w:style>
  <w:style w:type="paragraph" w:styleId="Title">
    <w:name w:val="Title"/>
    <w:basedOn w:val="HeadingBase"/>
    <w:link w:val="TitleChar"/>
    <w:qFormat/>
    <w:rsid w:val="005C2DAB"/>
    <w:pPr>
      <w:spacing w:before="5040"/>
      <w:jc w:val="center"/>
    </w:pPr>
    <w:rPr>
      <w:sz w:val="48"/>
      <w:szCs w:val="72"/>
      <w:lang w:val="en-US"/>
    </w:rPr>
  </w:style>
  <w:style w:type="character" w:customStyle="1" w:styleId="TitleChar">
    <w:name w:val="Title Char"/>
    <w:basedOn w:val="DefaultParagraphFont"/>
    <w:link w:val="Title"/>
    <w:rsid w:val="005C2D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2DAB"/>
    <w:pPr>
      <w:tabs>
        <w:tab w:val="left" w:pos="3600"/>
        <w:tab w:val="left" w:pos="3958"/>
      </w:tabs>
    </w:pPr>
  </w:style>
  <w:style w:type="paragraph" w:styleId="List">
    <w:name w:val="List"/>
    <w:basedOn w:val="BodyText"/>
    <w:next w:val="BodyText"/>
    <w:rsid w:val="005C2DAB"/>
    <w:pPr>
      <w:tabs>
        <w:tab w:val="left" w:pos="340"/>
      </w:tabs>
      <w:spacing w:before="60" w:after="60"/>
      <w:ind w:left="340" w:hanging="340"/>
    </w:pPr>
  </w:style>
  <w:style w:type="paragraph" w:customStyle="1" w:styleId="Note">
    <w:name w:val="Note"/>
    <w:basedOn w:val="BodyText"/>
    <w:rsid w:val="005C2D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2DAB"/>
    <w:pPr>
      <w:framePr w:wrap="auto" w:hAnchor="text" w:y="6049"/>
    </w:pPr>
    <w:rPr>
      <w:color w:val="000000"/>
      <w:sz w:val="40"/>
    </w:rPr>
  </w:style>
  <w:style w:type="paragraph" w:customStyle="1" w:styleId="TOCTitle">
    <w:name w:val="TOCTitle"/>
    <w:basedOn w:val="Heading1"/>
    <w:rsid w:val="005C2DAB"/>
    <w:pPr>
      <w:spacing w:after="240"/>
      <w:jc w:val="center"/>
      <w:outlineLvl w:val="9"/>
    </w:pPr>
    <w:rPr>
      <w:caps/>
    </w:rPr>
  </w:style>
  <w:style w:type="paragraph" w:customStyle="1" w:styleId="Version">
    <w:name w:val="Version"/>
    <w:rsid w:val="005C2D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C2DAB"/>
    <w:pPr>
      <w:keepNext w:val="0"/>
      <w:tabs>
        <w:tab w:val="right" w:pos="4176"/>
      </w:tabs>
      <w:ind w:left="198" w:hanging="198"/>
    </w:pPr>
    <w:rPr>
      <w:rFonts w:ascii="Garamond" w:hAnsi="Garamond"/>
    </w:rPr>
  </w:style>
  <w:style w:type="paragraph" w:styleId="IndexHeading">
    <w:name w:val="index heading"/>
    <w:basedOn w:val="Normal"/>
    <w:next w:val="Index1"/>
    <w:semiHidden/>
    <w:rsid w:val="005C2DAB"/>
    <w:pPr>
      <w:spacing w:before="120" w:after="120"/>
    </w:pPr>
    <w:rPr>
      <w:rFonts w:ascii="Arial" w:hAnsi="Arial"/>
      <w:b/>
      <w:color w:val="918585"/>
      <w:sz w:val="24"/>
    </w:rPr>
  </w:style>
  <w:style w:type="paragraph" w:styleId="Header">
    <w:name w:val="header"/>
    <w:basedOn w:val="Normal"/>
    <w:link w:val="HeaderChar"/>
    <w:rsid w:val="005C2D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2DAB"/>
    <w:rPr>
      <w:rFonts w:ascii="Times New Roman" w:eastAsia="Times New Roman" w:hAnsi="Times New Roman" w:cs="Times New Roman"/>
      <w:sz w:val="16"/>
      <w:szCs w:val="20"/>
      <w:lang w:val="en-GB" w:eastAsia="en-US"/>
    </w:rPr>
  </w:style>
  <w:style w:type="paragraph" w:customStyle="1" w:styleId="Chapter">
    <w:name w:val="Chapter"/>
    <w:basedOn w:val="Normal"/>
    <w:rsid w:val="005C2DAB"/>
    <w:pPr>
      <w:spacing w:before="240"/>
    </w:pPr>
    <w:rPr>
      <w:rFonts w:ascii="Times New Roman" w:hAnsi="Times New Roman"/>
      <w:smallCaps/>
      <w:spacing w:val="80"/>
      <w:sz w:val="28"/>
    </w:rPr>
  </w:style>
  <w:style w:type="paragraph" w:customStyle="1" w:styleId="InChapter">
    <w:name w:val="InChapter"/>
    <w:basedOn w:val="Heading3"/>
    <w:rsid w:val="005C2DAB"/>
    <w:pPr>
      <w:spacing w:after="240"/>
      <w:outlineLvl w:val="9"/>
    </w:pPr>
    <w:rPr>
      <w:noProof/>
    </w:rPr>
  </w:style>
  <w:style w:type="paragraph" w:styleId="Index2">
    <w:name w:val="index 2"/>
    <w:basedOn w:val="Normal"/>
    <w:next w:val="Normal"/>
    <w:semiHidden/>
    <w:rsid w:val="005C2DAB"/>
    <w:pPr>
      <w:tabs>
        <w:tab w:val="right" w:pos="4176"/>
      </w:tabs>
      <w:ind w:left="568" w:hanging="284"/>
    </w:pPr>
    <w:rPr>
      <w:rFonts w:ascii="Garamond" w:hAnsi="Garamond"/>
    </w:rPr>
  </w:style>
  <w:style w:type="paragraph" w:customStyle="1" w:styleId="Byline">
    <w:name w:val="Byline"/>
    <w:rsid w:val="005C2D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2DAB"/>
    <w:pPr>
      <w:tabs>
        <w:tab w:val="clear" w:pos="3600"/>
        <w:tab w:val="clear" w:pos="3958"/>
      </w:tabs>
      <w:jc w:val="right"/>
    </w:pPr>
  </w:style>
  <w:style w:type="paragraph" w:styleId="Caption">
    <w:name w:val="caption"/>
    <w:basedOn w:val="BodyText"/>
    <w:next w:val="Normal"/>
    <w:qFormat/>
    <w:rsid w:val="005C2DAB"/>
    <w:pPr>
      <w:framePr w:w="2268" w:hSpace="181" w:vSpace="181" w:wrap="around" w:vAnchor="text" w:hAnchor="page" w:x="1135" w:y="285" w:anchorLock="1"/>
    </w:pPr>
    <w:rPr>
      <w:i/>
    </w:rPr>
  </w:style>
  <w:style w:type="paragraph" w:customStyle="1" w:styleId="MiniTOCTitle">
    <w:name w:val="MiniTOCTitle"/>
    <w:basedOn w:val="Heading4"/>
    <w:rsid w:val="005C2DAB"/>
    <w:pPr>
      <w:spacing w:before="240"/>
      <w:outlineLvl w:val="9"/>
    </w:pPr>
    <w:rPr>
      <w:noProof/>
      <w:sz w:val="24"/>
    </w:rPr>
  </w:style>
  <w:style w:type="paragraph" w:customStyle="1" w:styleId="MiniTOCItem">
    <w:name w:val="MiniTOCItem"/>
    <w:basedOn w:val="ListBullet"/>
    <w:rsid w:val="005C2DAB"/>
    <w:pPr>
      <w:numPr>
        <w:numId w:val="0"/>
      </w:numPr>
      <w:tabs>
        <w:tab w:val="right" w:leader="dot" w:pos="6521"/>
      </w:tabs>
      <w:spacing w:before="0" w:after="0"/>
    </w:pPr>
  </w:style>
  <w:style w:type="paragraph" w:customStyle="1" w:styleId="TOFTitle">
    <w:name w:val="TOFTitle"/>
    <w:basedOn w:val="TOCTitle"/>
    <w:rsid w:val="005C2DAB"/>
  </w:style>
  <w:style w:type="paragraph" w:styleId="TableofFigures">
    <w:name w:val="table of figures"/>
    <w:basedOn w:val="Normal"/>
    <w:next w:val="Normal"/>
    <w:semiHidden/>
    <w:rsid w:val="005C2DAB"/>
    <w:pPr>
      <w:tabs>
        <w:tab w:val="right" w:leader="dot" w:pos="9072"/>
      </w:tabs>
      <w:ind w:left="970" w:hanging="403"/>
    </w:pPr>
    <w:rPr>
      <w:rFonts w:ascii="Times New Roman" w:hAnsi="Times New Roman"/>
      <w:b/>
    </w:rPr>
  </w:style>
  <w:style w:type="paragraph" w:styleId="ListNumber">
    <w:name w:val="List Number"/>
    <w:basedOn w:val="List"/>
    <w:rsid w:val="005C2DAB"/>
    <w:pPr>
      <w:numPr>
        <w:numId w:val="15"/>
      </w:numPr>
      <w:tabs>
        <w:tab w:val="clear" w:pos="340"/>
      </w:tabs>
    </w:pPr>
  </w:style>
  <w:style w:type="character" w:customStyle="1" w:styleId="WingdingSymbols">
    <w:name w:val="Wingding Symbols"/>
    <w:rsid w:val="005C2DAB"/>
    <w:rPr>
      <w:rFonts w:ascii="Wingdings" w:hAnsi="Wingdings"/>
    </w:rPr>
  </w:style>
  <w:style w:type="paragraph" w:customStyle="1" w:styleId="TableHeading">
    <w:name w:val="Table Heading"/>
    <w:basedOn w:val="HeadingBase"/>
    <w:rsid w:val="005C2DAB"/>
    <w:pPr>
      <w:keepLines/>
      <w:pBdr>
        <w:bottom w:val="single" w:sz="6" w:space="1" w:color="918585"/>
      </w:pBdr>
      <w:spacing w:before="240"/>
    </w:pPr>
  </w:style>
  <w:style w:type="character" w:customStyle="1" w:styleId="HotSpot">
    <w:name w:val="HotSpot"/>
    <w:rsid w:val="005C2DAB"/>
    <w:rPr>
      <w:color w:val="0033CC"/>
      <w:u w:val="none"/>
    </w:rPr>
  </w:style>
  <w:style w:type="paragraph" w:customStyle="1" w:styleId="BodyTextRight">
    <w:name w:val="Body Text Right"/>
    <w:basedOn w:val="BodyText"/>
    <w:rsid w:val="005C2DAB"/>
    <w:pPr>
      <w:spacing w:before="0" w:after="0"/>
      <w:jc w:val="right"/>
    </w:pPr>
  </w:style>
  <w:style w:type="paragraph" w:styleId="Index3">
    <w:name w:val="index 3"/>
    <w:basedOn w:val="ListNumber2"/>
    <w:next w:val="Normal"/>
    <w:semiHidden/>
    <w:rsid w:val="005C2DAB"/>
    <w:pPr>
      <w:numPr>
        <w:numId w:val="0"/>
      </w:numPr>
      <w:tabs>
        <w:tab w:val="right" w:leader="dot" w:pos="4176"/>
      </w:tabs>
    </w:pPr>
  </w:style>
  <w:style w:type="paragraph" w:styleId="ListNumber2">
    <w:name w:val="List Number 2"/>
    <w:basedOn w:val="List2"/>
    <w:rsid w:val="005C2DAB"/>
    <w:pPr>
      <w:numPr>
        <w:numId w:val="10"/>
      </w:numPr>
      <w:tabs>
        <w:tab w:val="clear" w:pos="1060"/>
      </w:tabs>
    </w:pPr>
  </w:style>
  <w:style w:type="paragraph" w:customStyle="1" w:styleId="MarginNote">
    <w:name w:val="Margin Note"/>
    <w:basedOn w:val="BodyText"/>
    <w:rsid w:val="005C2D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2D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2D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2DAB"/>
    <w:rPr>
      <w:sz w:val="32"/>
    </w:rPr>
  </w:style>
  <w:style w:type="paragraph" w:customStyle="1" w:styleId="HeadingProcedure">
    <w:name w:val="Heading Procedure"/>
    <w:basedOn w:val="HeadingBase"/>
    <w:next w:val="Normal"/>
    <w:rsid w:val="005C2DAB"/>
    <w:pPr>
      <w:tabs>
        <w:tab w:val="left" w:pos="0"/>
      </w:tabs>
      <w:spacing w:before="120" w:after="60"/>
    </w:pPr>
    <w:rPr>
      <w:i/>
      <w:color w:val="918585"/>
      <w:sz w:val="22"/>
    </w:rPr>
  </w:style>
  <w:style w:type="paragraph" w:customStyle="1" w:styleId="TableBodyText">
    <w:name w:val="Table Body Text"/>
    <w:basedOn w:val="BodyText"/>
    <w:rsid w:val="005C2DAB"/>
    <w:pPr>
      <w:spacing w:before="60" w:after="60"/>
    </w:pPr>
  </w:style>
  <w:style w:type="paragraph" w:styleId="ListContinue">
    <w:name w:val="List Continue"/>
    <w:basedOn w:val="List"/>
    <w:rsid w:val="005C2DAB"/>
    <w:pPr>
      <w:ind w:firstLine="0"/>
    </w:pPr>
  </w:style>
  <w:style w:type="paragraph" w:customStyle="1" w:styleId="ListNote">
    <w:name w:val="List Note"/>
    <w:basedOn w:val="List"/>
    <w:rsid w:val="005C2DAB"/>
    <w:pPr>
      <w:pBdr>
        <w:top w:val="single" w:sz="6" w:space="2" w:color="918585"/>
        <w:bottom w:val="single" w:sz="6" w:space="2" w:color="918585"/>
      </w:pBdr>
      <w:tabs>
        <w:tab w:val="left" w:pos="1021"/>
      </w:tabs>
      <w:ind w:firstLine="0"/>
    </w:pPr>
  </w:style>
  <w:style w:type="paragraph" w:customStyle="1" w:styleId="Warning">
    <w:name w:val="Warning"/>
    <w:basedOn w:val="BodyText"/>
    <w:rsid w:val="005C2DAB"/>
    <w:pPr>
      <w:shd w:val="clear" w:color="auto" w:fill="D9D9D9"/>
      <w:tabs>
        <w:tab w:val="left" w:pos="992"/>
      </w:tabs>
      <w:ind w:left="119" w:right="119"/>
    </w:pPr>
    <w:rPr>
      <w:sz w:val="20"/>
    </w:rPr>
  </w:style>
  <w:style w:type="paragraph" w:customStyle="1" w:styleId="MarginIcons">
    <w:name w:val="Margin Icons"/>
    <w:basedOn w:val="BodyText"/>
    <w:rsid w:val="005C2D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2DAB"/>
    <w:rPr>
      <w:rFonts w:ascii="Courier New" w:hAnsi="Courier New"/>
    </w:rPr>
  </w:style>
  <w:style w:type="paragraph" w:customStyle="1" w:styleId="NoteBullet">
    <w:name w:val="Note Bullet"/>
    <w:basedOn w:val="Note"/>
    <w:rsid w:val="005C2DAB"/>
    <w:pPr>
      <w:tabs>
        <w:tab w:val="clear" w:pos="680"/>
      </w:tabs>
      <w:spacing w:before="60" w:after="60"/>
    </w:pPr>
  </w:style>
  <w:style w:type="paragraph" w:customStyle="1" w:styleId="SubHeading2">
    <w:name w:val="SubHeading2"/>
    <w:basedOn w:val="HeadingBase"/>
    <w:rsid w:val="005C2DAB"/>
    <w:pPr>
      <w:spacing w:before="240" w:after="60"/>
    </w:pPr>
    <w:rPr>
      <w:sz w:val="20"/>
    </w:rPr>
  </w:style>
  <w:style w:type="paragraph" w:customStyle="1" w:styleId="SubHeading1">
    <w:name w:val="SubHeading1"/>
    <w:basedOn w:val="HeadingBase"/>
    <w:rsid w:val="005C2DAB"/>
    <w:pPr>
      <w:spacing w:before="240" w:after="60"/>
    </w:pPr>
    <w:rPr>
      <w:color w:val="918585"/>
      <w:sz w:val="22"/>
    </w:rPr>
  </w:style>
  <w:style w:type="paragraph" w:customStyle="1" w:styleId="SideHeading">
    <w:name w:val="Side Heading"/>
    <w:basedOn w:val="HeadingBase"/>
    <w:rsid w:val="005C2D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2DAB"/>
    <w:pPr>
      <w:tabs>
        <w:tab w:val="num" w:pos="360"/>
      </w:tabs>
    </w:pPr>
  </w:style>
  <w:style w:type="paragraph" w:styleId="PlainText">
    <w:name w:val="Plain Text"/>
    <w:basedOn w:val="Normal"/>
    <w:link w:val="PlainTextChar"/>
    <w:rsid w:val="005C2DAB"/>
    <w:rPr>
      <w:sz w:val="20"/>
    </w:rPr>
  </w:style>
  <w:style w:type="character" w:customStyle="1" w:styleId="PlainTextChar">
    <w:name w:val="Plain Text Char"/>
    <w:basedOn w:val="DefaultParagraphFont"/>
    <w:link w:val="PlainText"/>
    <w:rsid w:val="005C2DAB"/>
    <w:rPr>
      <w:rFonts w:ascii="Courier New" w:eastAsia="Times New Roman" w:hAnsi="Courier New" w:cs="Times New Roman"/>
      <w:sz w:val="20"/>
      <w:szCs w:val="20"/>
      <w:lang w:eastAsia="en-US"/>
    </w:rPr>
  </w:style>
  <w:style w:type="character" w:customStyle="1" w:styleId="MenuOption">
    <w:name w:val="Menu Option"/>
    <w:basedOn w:val="DefaultParagraphFont"/>
    <w:rsid w:val="005C2DAB"/>
    <w:rPr>
      <w:b/>
      <w:smallCaps/>
    </w:rPr>
  </w:style>
  <w:style w:type="paragraph" w:customStyle="1" w:styleId="TableListNumber">
    <w:name w:val="Table List Number"/>
    <w:basedOn w:val="ListNumber"/>
    <w:rsid w:val="005C2DAB"/>
    <w:pPr>
      <w:numPr>
        <w:numId w:val="0"/>
      </w:numPr>
    </w:pPr>
  </w:style>
  <w:style w:type="paragraph" w:styleId="TOC4">
    <w:name w:val="toc 4"/>
    <w:basedOn w:val="TOCBase"/>
    <w:next w:val="Normal"/>
    <w:semiHidden/>
    <w:rsid w:val="005C2DAB"/>
    <w:pPr>
      <w:tabs>
        <w:tab w:val="right" w:leader="dot" w:pos="9071"/>
      </w:tabs>
      <w:ind w:left="1701"/>
    </w:pPr>
  </w:style>
  <w:style w:type="paragraph" w:customStyle="1" w:styleId="ListAlpha">
    <w:name w:val="List Alpha"/>
    <w:basedOn w:val="List"/>
    <w:rsid w:val="005C2DAB"/>
    <w:pPr>
      <w:numPr>
        <w:numId w:val="9"/>
      </w:numPr>
    </w:pPr>
  </w:style>
  <w:style w:type="paragraph" w:customStyle="1" w:styleId="ListAlpha2">
    <w:name w:val="List Alpha 2"/>
    <w:basedOn w:val="List2"/>
    <w:rsid w:val="005C2DAB"/>
    <w:pPr>
      <w:numPr>
        <w:numId w:val="8"/>
      </w:numPr>
    </w:pPr>
  </w:style>
  <w:style w:type="paragraph" w:styleId="List2">
    <w:name w:val="List 2"/>
    <w:basedOn w:val="BodyText"/>
    <w:rsid w:val="005C2DAB"/>
    <w:pPr>
      <w:tabs>
        <w:tab w:val="left" w:pos="680"/>
      </w:tabs>
      <w:spacing w:before="60" w:after="60"/>
      <w:ind w:left="680" w:hanging="340"/>
    </w:pPr>
  </w:style>
  <w:style w:type="paragraph" w:styleId="List3">
    <w:name w:val="List 3"/>
    <w:basedOn w:val="BodyText"/>
    <w:rsid w:val="005C2DAB"/>
    <w:pPr>
      <w:tabs>
        <w:tab w:val="left" w:pos="1021"/>
      </w:tabs>
      <w:spacing w:before="60" w:after="60"/>
      <w:ind w:left="1020" w:hanging="340"/>
    </w:pPr>
  </w:style>
  <w:style w:type="paragraph" w:styleId="List4">
    <w:name w:val="List 4"/>
    <w:basedOn w:val="BodyText"/>
    <w:rsid w:val="005C2DAB"/>
    <w:pPr>
      <w:tabs>
        <w:tab w:val="left" w:pos="1361"/>
      </w:tabs>
      <w:spacing w:before="60" w:after="60"/>
      <w:ind w:left="1361" w:hanging="340"/>
    </w:pPr>
  </w:style>
  <w:style w:type="paragraph" w:styleId="List5">
    <w:name w:val="List 5"/>
    <w:basedOn w:val="BodyText"/>
    <w:rsid w:val="005C2DAB"/>
    <w:pPr>
      <w:tabs>
        <w:tab w:val="left" w:pos="1701"/>
      </w:tabs>
      <w:spacing w:before="60" w:after="60"/>
      <w:ind w:left="1701" w:hanging="340"/>
    </w:pPr>
  </w:style>
  <w:style w:type="paragraph" w:styleId="ListBullet3">
    <w:name w:val="List Bullet 3"/>
    <w:basedOn w:val="List3"/>
    <w:rsid w:val="005C2DAB"/>
    <w:pPr>
      <w:numPr>
        <w:numId w:val="14"/>
      </w:numPr>
      <w:tabs>
        <w:tab w:val="clear" w:pos="1021"/>
      </w:tabs>
      <w:ind w:left="1037" w:hanging="357"/>
    </w:pPr>
  </w:style>
  <w:style w:type="paragraph" w:styleId="ListBullet4">
    <w:name w:val="List Bullet 4"/>
    <w:basedOn w:val="List4"/>
    <w:rsid w:val="005C2DAB"/>
    <w:pPr>
      <w:numPr>
        <w:numId w:val="3"/>
      </w:numPr>
      <w:tabs>
        <w:tab w:val="clear" w:pos="1361"/>
      </w:tabs>
    </w:pPr>
  </w:style>
  <w:style w:type="paragraph" w:styleId="ListBullet5">
    <w:name w:val="List Bullet 5"/>
    <w:basedOn w:val="List5"/>
    <w:rsid w:val="005C2DAB"/>
    <w:pPr>
      <w:numPr>
        <w:numId w:val="4"/>
      </w:numPr>
    </w:pPr>
  </w:style>
  <w:style w:type="paragraph" w:styleId="ListContinue2">
    <w:name w:val="List Continue 2"/>
    <w:basedOn w:val="List2"/>
    <w:rsid w:val="005C2DAB"/>
    <w:pPr>
      <w:ind w:firstLine="0"/>
    </w:pPr>
  </w:style>
  <w:style w:type="paragraph" w:styleId="ListContinue3">
    <w:name w:val="List Continue 3"/>
    <w:basedOn w:val="List3"/>
    <w:rsid w:val="005C2DAB"/>
    <w:pPr>
      <w:ind w:left="1021" w:firstLine="0"/>
    </w:pPr>
  </w:style>
  <w:style w:type="paragraph" w:styleId="ListContinue4">
    <w:name w:val="List Continue 4"/>
    <w:basedOn w:val="List4"/>
    <w:rsid w:val="005C2DAB"/>
    <w:pPr>
      <w:ind w:firstLine="0"/>
    </w:pPr>
  </w:style>
  <w:style w:type="paragraph" w:styleId="ListContinue5">
    <w:name w:val="List Continue 5"/>
    <w:basedOn w:val="List5"/>
    <w:rsid w:val="005C2DAB"/>
    <w:pPr>
      <w:ind w:firstLine="0"/>
    </w:pPr>
  </w:style>
  <w:style w:type="paragraph" w:styleId="ListNumber3">
    <w:name w:val="List Number 3"/>
    <w:basedOn w:val="List3"/>
    <w:rsid w:val="005C2DAB"/>
    <w:pPr>
      <w:numPr>
        <w:numId w:val="5"/>
      </w:numPr>
    </w:pPr>
  </w:style>
  <w:style w:type="paragraph" w:styleId="ListNumber4">
    <w:name w:val="List Number 4"/>
    <w:basedOn w:val="List4"/>
    <w:rsid w:val="005C2DAB"/>
    <w:pPr>
      <w:numPr>
        <w:numId w:val="6"/>
      </w:numPr>
    </w:pPr>
  </w:style>
  <w:style w:type="paragraph" w:styleId="ListNumber5">
    <w:name w:val="List Number 5"/>
    <w:basedOn w:val="List5"/>
    <w:rsid w:val="005C2DAB"/>
    <w:pPr>
      <w:numPr>
        <w:numId w:val="7"/>
      </w:numPr>
    </w:pPr>
  </w:style>
  <w:style w:type="paragraph" w:styleId="BlockText">
    <w:name w:val="Block Text"/>
    <w:basedOn w:val="Normal"/>
    <w:rsid w:val="005C2DAB"/>
    <w:pPr>
      <w:spacing w:after="120"/>
      <w:ind w:left="1440" w:right="1440"/>
    </w:pPr>
  </w:style>
  <w:style w:type="character" w:customStyle="1" w:styleId="Subscript">
    <w:name w:val="Subscript"/>
    <w:basedOn w:val="DefaultParagraphFont"/>
    <w:rsid w:val="005C2DAB"/>
    <w:rPr>
      <w:sz w:val="16"/>
      <w:vertAlign w:val="subscript"/>
    </w:rPr>
  </w:style>
  <w:style w:type="character" w:customStyle="1" w:styleId="Superscript">
    <w:name w:val="Superscript"/>
    <w:basedOn w:val="DefaultParagraphFont"/>
    <w:rsid w:val="005C2DAB"/>
    <w:rPr>
      <w:sz w:val="16"/>
      <w:vertAlign w:val="superscript"/>
    </w:rPr>
  </w:style>
  <w:style w:type="character" w:customStyle="1" w:styleId="Symbols">
    <w:name w:val="Symbols"/>
    <w:basedOn w:val="DefaultParagraphFont"/>
    <w:rsid w:val="005C2DAB"/>
    <w:rPr>
      <w:rFonts w:ascii="Symbol" w:hAnsi="Symbol"/>
    </w:rPr>
  </w:style>
  <w:style w:type="character" w:customStyle="1" w:styleId="MenuOptions">
    <w:name w:val="Menu Options"/>
    <w:basedOn w:val="DefaultParagraphFont"/>
    <w:rsid w:val="005C2DAB"/>
    <w:rPr>
      <w:rFonts w:ascii="Arial Narrow" w:hAnsi="Arial Narrow"/>
      <w:smallCaps/>
    </w:rPr>
  </w:style>
  <w:style w:type="character" w:customStyle="1" w:styleId="Buttons">
    <w:name w:val="Buttons"/>
    <w:basedOn w:val="DefaultParagraphFont"/>
    <w:rsid w:val="005C2DAB"/>
    <w:rPr>
      <w:b/>
    </w:rPr>
  </w:style>
  <w:style w:type="character" w:customStyle="1" w:styleId="Underlined">
    <w:name w:val="Underlined"/>
    <w:basedOn w:val="DefaultParagraphFont"/>
    <w:rsid w:val="005C2DAB"/>
    <w:rPr>
      <w:u w:val="single"/>
    </w:rPr>
  </w:style>
  <w:style w:type="paragraph" w:customStyle="1" w:styleId="TableBodyTextRight">
    <w:name w:val="Table Body Text Right"/>
    <w:basedOn w:val="TableBodyText"/>
    <w:rsid w:val="005C2DAB"/>
    <w:pPr>
      <w:widowControl w:val="0"/>
      <w:autoSpaceDE w:val="0"/>
      <w:autoSpaceDN w:val="0"/>
      <w:adjustRightInd w:val="0"/>
      <w:jc w:val="right"/>
    </w:pPr>
    <w:rPr>
      <w:rFonts w:cs="Arial"/>
      <w:szCs w:val="18"/>
    </w:rPr>
  </w:style>
  <w:style w:type="paragraph" w:customStyle="1" w:styleId="CopyrightText">
    <w:name w:val="Copyright Text"/>
    <w:basedOn w:val="BodyText"/>
    <w:rsid w:val="005C2DAB"/>
    <w:rPr>
      <w:sz w:val="18"/>
    </w:rPr>
  </w:style>
  <w:style w:type="paragraph" w:customStyle="1" w:styleId="BodySmallRight">
    <w:name w:val="Body Small Right"/>
    <w:basedOn w:val="BodyTextRight"/>
    <w:rsid w:val="005C2DAB"/>
    <w:rPr>
      <w:sz w:val="18"/>
      <w:szCs w:val="18"/>
    </w:rPr>
  </w:style>
  <w:style w:type="paragraph" w:customStyle="1" w:styleId="MarginEdition">
    <w:name w:val="Margin Edition"/>
    <w:basedOn w:val="MarginNote"/>
    <w:rsid w:val="005C2DAB"/>
    <w:pPr>
      <w:spacing w:before="0" w:after="0"/>
    </w:pPr>
    <w:rPr>
      <w:rFonts w:ascii="Times New Roman" w:hAnsi="Times New Roman"/>
      <w:color w:val="999999"/>
    </w:rPr>
  </w:style>
  <w:style w:type="paragraph" w:customStyle="1" w:styleId="Spacer">
    <w:name w:val="Spacer"/>
    <w:basedOn w:val="Normal"/>
    <w:rsid w:val="005C2DAB"/>
    <w:rPr>
      <w:sz w:val="2"/>
      <w:szCs w:val="2"/>
    </w:rPr>
  </w:style>
  <w:style w:type="character" w:customStyle="1" w:styleId="Small">
    <w:name w:val="Small"/>
    <w:basedOn w:val="DefaultParagraphFont"/>
    <w:rsid w:val="005C2DAB"/>
    <w:rPr>
      <w:sz w:val="16"/>
    </w:rPr>
  </w:style>
  <w:style w:type="paragraph" w:customStyle="1" w:styleId="WideTable">
    <w:name w:val="Wide Table"/>
    <w:basedOn w:val="Normal"/>
    <w:rsid w:val="005C2DAB"/>
    <w:pPr>
      <w:ind w:left="-1418"/>
    </w:pPr>
    <w:rPr>
      <w:sz w:val="2"/>
      <w:szCs w:val="2"/>
    </w:rPr>
  </w:style>
  <w:style w:type="character" w:styleId="PageNumber">
    <w:name w:val="page number"/>
    <w:basedOn w:val="DefaultParagraphFont"/>
    <w:rsid w:val="005C2DAB"/>
  </w:style>
  <w:style w:type="paragraph" w:styleId="Quote">
    <w:name w:val="Quote"/>
    <w:basedOn w:val="Heading1"/>
    <w:link w:val="QuoteChar"/>
    <w:qFormat/>
    <w:rsid w:val="005C2DAB"/>
    <w:rPr>
      <w:b w:val="0"/>
      <w:sz w:val="72"/>
      <w:szCs w:val="72"/>
      <w:lang w:val="en-NZ"/>
    </w:rPr>
  </w:style>
  <w:style w:type="character" w:customStyle="1" w:styleId="QuoteChar">
    <w:name w:val="Quote Char"/>
    <w:basedOn w:val="DefaultParagraphFont"/>
    <w:link w:val="Quote"/>
    <w:rsid w:val="005C2D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2DAB"/>
    <w:pPr>
      <w:pageBreakBefore/>
    </w:pPr>
  </w:style>
  <w:style w:type="paragraph" w:customStyle="1" w:styleId="Border">
    <w:name w:val="Border"/>
    <w:basedOn w:val="Normal"/>
    <w:qFormat/>
    <w:rsid w:val="005C2D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2DAB"/>
    <w:rPr>
      <w:b/>
      <w:bCs/>
      <w:i/>
      <w:iCs/>
      <w:color w:val="auto"/>
    </w:rPr>
  </w:style>
  <w:style w:type="paragraph" w:styleId="IntenseQuote">
    <w:name w:val="Intense Quote"/>
    <w:basedOn w:val="Normal"/>
    <w:next w:val="Normal"/>
    <w:link w:val="IntenseQuoteChar"/>
    <w:uiPriority w:val="30"/>
    <w:qFormat/>
    <w:rsid w:val="005C2D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2D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2DAB"/>
    <w:rPr>
      <w:smallCaps/>
      <w:color w:val="auto"/>
      <w:u w:val="single"/>
    </w:rPr>
  </w:style>
  <w:style w:type="character" w:styleId="IntenseReference">
    <w:name w:val="Intense Reference"/>
    <w:basedOn w:val="DefaultParagraphFont"/>
    <w:uiPriority w:val="32"/>
    <w:qFormat/>
    <w:rsid w:val="005C2DAB"/>
    <w:rPr>
      <w:b/>
      <w:bCs/>
      <w:smallCaps/>
      <w:color w:val="auto"/>
      <w:spacing w:val="5"/>
      <w:u w:val="single"/>
    </w:rPr>
  </w:style>
  <w:style w:type="paragraph" w:customStyle="1" w:styleId="2ColumnHeading">
    <w:name w:val="2Column Heading"/>
    <w:basedOn w:val="BodyText"/>
    <w:qFormat/>
    <w:rsid w:val="005C2DAB"/>
    <w:pPr>
      <w:spacing w:after="60"/>
      <w:ind w:left="-2268"/>
    </w:pPr>
    <w:rPr>
      <w:b/>
    </w:rPr>
  </w:style>
  <w:style w:type="paragraph" w:customStyle="1" w:styleId="Heading1TOC">
    <w:name w:val="Heading1 TOC"/>
    <w:basedOn w:val="Normal"/>
    <w:qFormat/>
    <w:rsid w:val="005C2DAB"/>
    <w:pPr>
      <w:spacing w:before="240" w:after="120"/>
    </w:pPr>
    <w:rPr>
      <w:rFonts w:ascii="Times New Roman" w:hAnsi="Times New Roman"/>
      <w:b/>
      <w:sz w:val="32"/>
    </w:rPr>
  </w:style>
  <w:style w:type="paragraph" w:customStyle="1" w:styleId="Heading2TOC">
    <w:name w:val="Heading2 TOC"/>
    <w:basedOn w:val="Normal"/>
    <w:qFormat/>
    <w:rsid w:val="005C2DAB"/>
    <w:pPr>
      <w:spacing w:before="240" w:after="60"/>
    </w:pPr>
    <w:rPr>
      <w:rFonts w:ascii="Times New Roman" w:hAnsi="Times New Roman"/>
      <w:b/>
      <w:sz w:val="28"/>
    </w:rPr>
  </w:style>
  <w:style w:type="character" w:customStyle="1" w:styleId="Underline">
    <w:name w:val="Underline"/>
    <w:basedOn w:val="DefaultParagraphFont"/>
    <w:qFormat/>
    <w:rsid w:val="005C2DAB"/>
    <w:rPr>
      <w:u w:val="single"/>
    </w:rPr>
  </w:style>
  <w:style w:type="character" w:customStyle="1" w:styleId="BoldandItalics">
    <w:name w:val="Bold and Italics"/>
    <w:qFormat/>
    <w:rsid w:val="005C2DAB"/>
    <w:rPr>
      <w:b/>
      <w:i/>
      <w:u w:val="none"/>
    </w:rPr>
  </w:style>
  <w:style w:type="paragraph" w:styleId="BalloonText">
    <w:name w:val="Balloon Text"/>
    <w:basedOn w:val="Normal"/>
    <w:link w:val="BalloonTextChar"/>
    <w:rsid w:val="005C2DAB"/>
    <w:rPr>
      <w:rFonts w:ascii="Tahoma" w:hAnsi="Tahoma" w:cs="Tahoma"/>
      <w:sz w:val="16"/>
      <w:szCs w:val="16"/>
    </w:rPr>
  </w:style>
  <w:style w:type="character" w:customStyle="1" w:styleId="BalloonTextChar">
    <w:name w:val="Balloon Text Char"/>
    <w:basedOn w:val="DefaultParagraphFont"/>
    <w:link w:val="BalloonText"/>
    <w:rsid w:val="005C2D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2D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2D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2DAB"/>
    <w:rPr>
      <w:b/>
      <w:color w:val="660033"/>
      <w:spacing w:val="0"/>
    </w:rPr>
  </w:style>
  <w:style w:type="paragraph" w:customStyle="1" w:styleId="Nameditemlist">
    <w:name w:val="Named item list"/>
    <w:basedOn w:val="BodyText"/>
    <w:qFormat/>
    <w:rsid w:val="005C2DAB"/>
    <w:pPr>
      <w:tabs>
        <w:tab w:val="left" w:pos="2835"/>
      </w:tabs>
      <w:ind w:left="2835" w:hanging="2835"/>
    </w:pPr>
  </w:style>
  <w:style w:type="paragraph" w:customStyle="1" w:styleId="BodyTextnopadding">
    <w:name w:val="Body Text no padding"/>
    <w:basedOn w:val="BodyText"/>
    <w:qFormat/>
    <w:rsid w:val="005C2DAB"/>
    <w:pPr>
      <w:spacing w:before="0" w:after="0"/>
    </w:pPr>
  </w:style>
  <w:style w:type="paragraph" w:customStyle="1" w:styleId="BodyTextBold">
    <w:name w:val="Body Text Bold"/>
    <w:basedOn w:val="BodyText"/>
    <w:qFormat/>
    <w:rsid w:val="005C2DAB"/>
    <w:rPr>
      <w:b/>
    </w:rPr>
  </w:style>
  <w:style w:type="character" w:styleId="Hyperlink">
    <w:name w:val="Hyperlink"/>
    <w:basedOn w:val="DefaultParagraphFont"/>
    <w:uiPriority w:val="99"/>
    <w:unhideWhenUsed/>
    <w:rsid w:val="000608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2119</Words>
  <Characters>13249</Characters>
  <Application>Microsoft Office Word</Application>
  <DocSecurity>0</DocSecurity>
  <Lines>441</Lines>
  <Paragraphs>256</Paragraphs>
  <ScaleCrop>false</ScaleCrop>
  <Company>Author-it Software Corporation Ltd.</Company>
  <LinksUpToDate>false</LinksUpToDate>
  <CharactersWithSpaces>15112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MARO009 Maintain a safe navigational watch</dc:title>
  <dc:subject>Approved</dc:subject>
  <dc:creator>Industry Skills Australia</dc:creator>
  <cp:keywords>Release: 2</cp:keywords>
  <dc:description>Review Date: 12 April 2008</dc:description>
  <cp:lastModifiedBy>HSD_TPCMSd.prod</cp:lastModifiedBy>
  <cp:revision>3</cp:revision>
  <dcterms:created xsi:type="dcterms:W3CDTF">2025-03-01T18:56:00Z</dcterms:created>
  <dcterms:modified xsi:type="dcterms:W3CDTF">2025-03-01T18:56:00Z</dcterms:modified>
</cp:coreProperties>
</file>