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1A6F" w:rsidP="00EA1A6F">
      <w:pPr>
        <w:pStyle w:val="Title"/>
      </w:pPr>
      <w:r>
        <w:fldChar w:fldCharType="begin"/>
      </w:r>
      <w:r>
        <w:instrText xml:space="preserve"> TITLE   \* MERGEFORMAT </w:instrText>
      </w:r>
      <w:r>
        <w:fldChar w:fldCharType="separate"/>
      </w:r>
      <w:r>
        <w:t>MARO007 Contribute to monitoring and controlling a safe engine watch</w:t>
      </w:r>
      <w:r>
        <w:fldChar w:fldCharType="end"/>
      </w:r>
    </w:p>
    <w:p w:rsidR="00EA1A6F" w:rsidP="00EA1A6F">
      <w:pPr>
        <w:pStyle w:val="Version"/>
        <w:sectPr w:rsidSect="001E70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70A5" w:rsidP="001E70A5">
      <w:pPr>
        <w:pStyle w:val="SuperHeading"/>
      </w:pPr>
      <w:r w:rsidRPr="001E70A5">
        <w:t>MARO007 Contribute to monitoring and controlling a safe engine watch</w:t>
      </w:r>
    </w:p>
    <w:p w:rsidR="00000000" w:rsidRPr="001E70A5" w:rsidP="001E70A5">
      <w:pPr>
        <w:pStyle w:val="Heading1"/>
      </w:pPr>
      <w:bookmarkStart w:id="1" w:name="O_1088375"/>
      <w:bookmarkEnd w:id="1"/>
      <w:r w:rsidRPr="001E70A5">
        <w:t>Modification History</w:t>
      </w:r>
    </w:p>
    <w:tbl>
      <w:tblPr>
        <w:tblW w:w="9497" w:type="dxa"/>
        <w:tblLayout w:type="fixed"/>
        <w:tblCellMar>
          <w:left w:w="62" w:type="dxa"/>
          <w:right w:w="62" w:type="dxa"/>
        </w:tblCellMar>
        <w:tblLook w:val="0000"/>
      </w:tblPr>
      <w:tblGrid>
        <w:gridCol w:w="9497"/>
      </w:tblGrid>
      <w:tr w:rsidTr="001E70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70A5" w:rsidP="001E70A5">
            <w:pPr>
              <w:pStyle w:val="BodyText"/>
            </w:pPr>
            <w:r w:rsidRPr="001E70A5">
              <w:t>Release 1. This is the first release of this unit of competency in the MAR Maritime Training Package.</w:t>
            </w:r>
          </w:p>
        </w:tc>
      </w:tr>
    </w:tbl>
    <w:p w:rsidR="00000000" w:rsidRPr="001E70A5" w:rsidP="001E70A5">
      <w:pPr>
        <w:pStyle w:val="NoPaddingFontSize1"/>
      </w:pPr>
    </w:p>
    <w:p w:rsidR="00000000" w:rsidRPr="001E70A5" w:rsidP="001E70A5">
      <w:pPr>
        <w:pStyle w:val="AllowPageBreak"/>
      </w:pPr>
    </w:p>
    <w:p w:rsidR="00000000" w:rsidRPr="001E70A5" w:rsidP="001E70A5">
      <w:pPr>
        <w:pStyle w:val="Heading1"/>
      </w:pPr>
      <w:bookmarkStart w:id="2" w:name="O_1088376"/>
      <w:bookmarkEnd w:id="2"/>
      <w:r w:rsidRPr="001E70A5">
        <w:t>Application</w:t>
      </w:r>
    </w:p>
    <w:tbl>
      <w:tblPr>
        <w:tblW w:w="9497" w:type="dxa"/>
        <w:tblLayout w:type="fixed"/>
        <w:tblCellMar>
          <w:left w:w="62" w:type="dxa"/>
          <w:right w:w="62" w:type="dxa"/>
        </w:tblCellMar>
        <w:tblLook w:val="0000"/>
      </w:tblPr>
      <w:tblGrid>
        <w:gridCol w:w="9497"/>
      </w:tblGrid>
      <w:tr w:rsidTr="001E70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70A5" w:rsidP="001E70A5">
            <w:pPr>
              <w:pStyle w:val="BodyText"/>
            </w:pPr>
            <w:r w:rsidRPr="001E70A5">
              <w:t>This unit involves the skills and knowledge required to contribute to a safe engine watch on a vessel while under the direction of the officer in charge of the engineering watch.</w:t>
            </w:r>
          </w:p>
          <w:p w:rsidR="00000000" w:rsidRPr="001E70A5" w:rsidP="001E70A5">
            <w:pPr>
              <w:pStyle w:val="BodyText"/>
            </w:pPr>
            <w:r w:rsidRPr="001E70A5">
              <w:t xml:space="preserve">This unit applies to people working in the maritime industry in the capacity </w:t>
            </w:r>
            <w:r w:rsidRPr="001E70A5">
              <w:t>of:</w:t>
            </w:r>
          </w:p>
          <w:p w:rsidR="00000000" w:rsidRPr="001E70A5" w:rsidP="001E70A5">
            <w:pPr>
              <w:pStyle w:val="ListBullet"/>
            </w:pPr>
            <w:r w:rsidRPr="001E70A5">
              <w:t>Able Seafarer - Engine or Integrated Rating who assists, under the direction of the officer in charge of the engineering watch, in performing engine watchkeeping duties</w:t>
            </w:r>
          </w:p>
          <w:p w:rsidR="00000000" w:rsidRPr="001E70A5" w:rsidP="001E70A5">
            <w:pPr>
              <w:pStyle w:val="ListBullet"/>
            </w:pPr>
            <w:r w:rsidRPr="001E70A5">
              <w:t>Navigational Watch - Deck/Engine.</w:t>
            </w:r>
          </w:p>
          <w:p w:rsidR="00000000" w:rsidRPr="001E70A5" w:rsidP="001E70A5">
            <w:pPr>
              <w:pStyle w:val="BodyText"/>
            </w:pPr>
            <w:r w:rsidRPr="001E70A5">
              <w:rPr>
                <w:rStyle w:val="SpecialBold"/>
              </w:rPr>
              <w:t>Licensing/Regulatory Information</w:t>
            </w:r>
          </w:p>
          <w:p w:rsidR="00000000" w:rsidRPr="001E70A5" w:rsidP="001E70A5">
            <w:pPr>
              <w:pStyle w:val="BodyText"/>
            </w:pPr>
            <w:r w:rsidRPr="001E70A5">
              <w:t>Legislative and</w:t>
            </w:r>
            <w:r w:rsidRPr="001E70A5">
              <w:t xml:space="preserve"> regulatory requirements are applicable to this unit.</w:t>
            </w:r>
          </w:p>
          <w:p w:rsidR="00000000" w:rsidRPr="001E70A5" w:rsidP="001E70A5">
            <w:pPr>
              <w:pStyle w:val="ListBullet"/>
            </w:pPr>
            <w:r w:rsidRPr="001E70A5">
              <w:t xml:space="preserve">This unit is one of the requirements to obtain Australian Maritime Safety Authority (AMSA) certification as an Able Seafarer – Engine, Integrated Rating or Navigational Watch - Deck/Engine and to meet </w:t>
            </w:r>
            <w:r w:rsidRPr="001E70A5">
              <w:t>regulatory requirements this unit must be delivered consistent with Marine Orders and with the relevant sections of the International Convention on Standards of Training, Certification and Watchkeeping for Seafarers (STCW).</w:t>
            </w:r>
          </w:p>
          <w:p w:rsidR="00000000" w:rsidRPr="001E70A5" w:rsidP="001E70A5">
            <w:pPr>
              <w:pStyle w:val="ListBullet"/>
            </w:pPr>
            <w:r w:rsidRPr="001E70A5">
              <w:t>Those regulatory requirements in</w:t>
            </w:r>
            <w:r w:rsidRPr="001E70A5">
              <w:t>clude STCW International Maritime Organization (IMO) model course competencies and areas of knowledge, understanding and proficiency, together with the estimated total hours required for lectures and practical exercises. Teaching staff should note that tim</w:t>
            </w:r>
            <w:r w:rsidRPr="001E70A5">
              <w:t>ings are suggestions only and should be adapted to suit individual groups of trainees depending on their experience, ability, equipment and staff available for training.</w:t>
            </w:r>
          </w:p>
        </w:tc>
      </w:tr>
    </w:tbl>
    <w:p w:rsidR="00000000" w:rsidRPr="001E70A5" w:rsidP="001E70A5">
      <w:pPr>
        <w:pStyle w:val="NoPaddingFontSize1"/>
      </w:pPr>
    </w:p>
    <w:p w:rsidR="00000000" w:rsidRPr="001E70A5" w:rsidP="001E70A5">
      <w:pPr>
        <w:pStyle w:val="AllowPageBreak"/>
      </w:pPr>
    </w:p>
    <w:p w:rsidR="00000000" w:rsidRPr="001E70A5" w:rsidP="001E70A5">
      <w:pPr>
        <w:pStyle w:val="Heading1"/>
      </w:pPr>
      <w:bookmarkStart w:id="3" w:name="O_1088377"/>
      <w:bookmarkEnd w:id="3"/>
      <w:r w:rsidRPr="001E70A5">
        <w:t>Pre-requisite Unit</w:t>
      </w:r>
    </w:p>
    <w:tbl>
      <w:tblPr>
        <w:tblW w:w="9497" w:type="dxa"/>
        <w:tblLayout w:type="fixed"/>
        <w:tblCellMar>
          <w:left w:w="62" w:type="dxa"/>
          <w:right w:w="62" w:type="dxa"/>
        </w:tblCellMar>
        <w:tblLook w:val="0000"/>
      </w:tblPr>
      <w:tblGrid>
        <w:gridCol w:w="9497"/>
      </w:tblGrid>
      <w:tr w:rsidTr="001E70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70A5" w:rsidP="001E70A5">
            <w:pPr>
              <w:pStyle w:val="BodyText"/>
            </w:pPr>
            <w:r w:rsidRPr="001E70A5">
              <w:t>Not applicable.</w:t>
            </w:r>
          </w:p>
        </w:tc>
      </w:tr>
    </w:tbl>
    <w:p w:rsidR="00000000" w:rsidRPr="001E70A5" w:rsidP="001E70A5">
      <w:pPr>
        <w:pStyle w:val="NoPaddingFontSize1"/>
      </w:pPr>
    </w:p>
    <w:p w:rsidR="00000000" w:rsidRPr="001E70A5" w:rsidP="001E70A5">
      <w:pPr>
        <w:pStyle w:val="AllowPageBreak"/>
      </w:pPr>
    </w:p>
    <w:p w:rsidR="00000000" w:rsidRPr="001E70A5" w:rsidP="001E70A5">
      <w:pPr>
        <w:pStyle w:val="Heading1"/>
      </w:pPr>
      <w:bookmarkStart w:id="4" w:name="O_1088378"/>
      <w:bookmarkEnd w:id="4"/>
      <w:r w:rsidRPr="001E70A5">
        <w:t>Competency Field</w:t>
      </w:r>
    </w:p>
    <w:tbl>
      <w:tblPr>
        <w:tblW w:w="9497" w:type="dxa"/>
        <w:tblLayout w:type="fixed"/>
        <w:tblCellMar>
          <w:left w:w="62" w:type="dxa"/>
          <w:right w:w="62" w:type="dxa"/>
        </w:tblCellMar>
        <w:tblLook w:val="0000"/>
      </w:tblPr>
      <w:tblGrid>
        <w:gridCol w:w="9497"/>
      </w:tblGrid>
      <w:tr w:rsidTr="001E70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70A5" w:rsidP="001E70A5">
            <w:pPr>
              <w:pStyle w:val="BodyText"/>
            </w:pPr>
            <w:r w:rsidRPr="001E70A5">
              <w:t>O – Watchkeeping</w:t>
            </w:r>
          </w:p>
        </w:tc>
      </w:tr>
    </w:tbl>
    <w:p w:rsidR="00000000" w:rsidRPr="001E70A5" w:rsidP="001E70A5">
      <w:pPr>
        <w:pStyle w:val="NoPaddingFontSize1"/>
      </w:pPr>
    </w:p>
    <w:p w:rsidR="00000000" w:rsidRPr="001E70A5" w:rsidP="001E70A5">
      <w:pPr>
        <w:pStyle w:val="AllowPageBreak"/>
      </w:pPr>
    </w:p>
    <w:p w:rsidR="00000000" w:rsidRPr="001E70A5" w:rsidP="001E70A5">
      <w:pPr>
        <w:pStyle w:val="Heading1"/>
      </w:pPr>
      <w:bookmarkStart w:id="5" w:name="O_1088379"/>
      <w:bookmarkEnd w:id="5"/>
      <w:r w:rsidRPr="001E70A5">
        <w:t>Unit Sector</w:t>
      </w:r>
    </w:p>
    <w:tbl>
      <w:tblPr>
        <w:tblW w:w="9497" w:type="dxa"/>
        <w:tblLayout w:type="fixed"/>
        <w:tblCellMar>
          <w:left w:w="62" w:type="dxa"/>
          <w:right w:w="62" w:type="dxa"/>
        </w:tblCellMar>
        <w:tblLook w:val="0000"/>
      </w:tblPr>
      <w:tblGrid>
        <w:gridCol w:w="9497"/>
      </w:tblGrid>
      <w:tr w:rsidTr="001E70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70A5" w:rsidP="001E70A5">
            <w:pPr>
              <w:pStyle w:val="BodyText"/>
            </w:pPr>
            <w:r w:rsidRPr="001E70A5">
              <w:t>Not applicable.</w:t>
            </w:r>
          </w:p>
        </w:tc>
      </w:tr>
    </w:tbl>
    <w:p w:rsidR="00000000" w:rsidRPr="001E70A5" w:rsidP="001E70A5">
      <w:pPr>
        <w:pStyle w:val="NoPaddingFontSize1"/>
      </w:pPr>
    </w:p>
    <w:p w:rsidR="00000000" w:rsidRPr="001E70A5" w:rsidP="001E70A5">
      <w:pPr>
        <w:pStyle w:val="AllowPageBreak"/>
      </w:pPr>
    </w:p>
    <w:p w:rsidR="00000000" w:rsidRPr="001E70A5" w:rsidP="001E70A5">
      <w:pPr>
        <w:pStyle w:val="Heading1"/>
      </w:pPr>
      <w:bookmarkStart w:id="6" w:name="O_1088380"/>
      <w:bookmarkEnd w:id="6"/>
      <w:r w:rsidRPr="001E70A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E70A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E70A5" w:rsidP="001E70A5">
            <w:pPr>
              <w:pStyle w:val="BodyText"/>
            </w:pPr>
            <w:r w:rsidRPr="001E70A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E70A5">
            <w:pPr>
              <w:pStyle w:val="BodyText"/>
              <w:rPr>
                <w:lang w:val="en-NZ"/>
              </w:rPr>
            </w:pPr>
            <w:r w:rsidRPr="001E70A5">
              <w:rPr>
                <w:rStyle w:val="SpecialBold"/>
              </w:rPr>
              <w:t>PERFORMANCE CRITERIA</w:t>
            </w:r>
          </w:p>
        </w:tc>
      </w:tr>
      <w:tr w:rsidTr="001E70A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E70A5">
            <w:pPr>
              <w:pStyle w:val="BodyText"/>
              <w:rPr>
                <w:lang w:val="en-NZ"/>
              </w:rPr>
            </w:pPr>
            <w:r w:rsidRPr="001E70A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E70A5">
            <w:pPr>
              <w:pStyle w:val="BodyText"/>
              <w:rPr>
                <w:lang w:val="en-NZ"/>
              </w:rPr>
            </w:pPr>
            <w:r w:rsidRPr="001E70A5">
              <w:t>Performance criteria describe the performance needed to demonstrate achievement of the element.</w:t>
            </w:r>
          </w:p>
        </w:tc>
      </w:tr>
      <w:tr w:rsidTr="001E70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E70A5" w:rsidP="001E70A5">
            <w:pPr>
              <w:pStyle w:val="BodyText"/>
            </w:pPr>
            <w:r w:rsidRPr="001E70A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E70A5" w:rsidP="001E70A5">
            <w:pPr>
              <w:pStyle w:val="BodyText"/>
            </w:pPr>
            <w:r w:rsidRPr="001E70A5">
              <w:rPr>
                <w:rStyle w:val="SpecialBold"/>
              </w:rPr>
              <w:t>Follow instructions to monitor engine room machinery and equipment</w:t>
            </w:r>
          </w:p>
        </w:tc>
        <w:tc>
          <w:tcPr>
            <w:tcW w:w="697" w:type="dxa"/>
            <w:tcBorders>
              <w:top w:val="nil"/>
              <w:left w:val="nil"/>
              <w:bottom w:val="nil"/>
              <w:right w:val="nil"/>
            </w:tcBorders>
            <w:tcMar>
              <w:top w:w="0" w:type="dxa"/>
              <w:left w:w="62" w:type="dxa"/>
              <w:bottom w:w="0" w:type="dxa"/>
              <w:right w:w="62" w:type="dxa"/>
            </w:tcMar>
          </w:tcPr>
          <w:p w:rsidR="00000000" w:rsidP="001E70A5">
            <w:pPr>
              <w:pStyle w:val="BodyText"/>
              <w:rPr>
                <w:lang w:val="en-NZ"/>
              </w:rPr>
            </w:pPr>
            <w:r w:rsidRPr="001E70A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E70A5">
            <w:pPr>
              <w:pStyle w:val="BodyText"/>
              <w:rPr>
                <w:lang w:val="en-NZ"/>
              </w:rPr>
            </w:pPr>
            <w:r w:rsidRPr="001E70A5">
              <w:t>Unsafe conditions and potent</w:t>
            </w:r>
            <w:r w:rsidRPr="001E70A5">
              <w:t>ial hazards are recognised, and risk is assessed and reported according to workplace procedures</w:t>
            </w:r>
          </w:p>
        </w:tc>
      </w:tr>
      <w:tr w:rsidTr="001E70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E70A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70A5">
            <w:pPr>
              <w:pStyle w:val="BodyText"/>
              <w:rPr>
                <w:lang w:val="en-NZ"/>
              </w:rPr>
            </w:pPr>
            <w:r w:rsidRPr="001E70A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E70A5">
            <w:pPr>
              <w:pStyle w:val="BodyText"/>
              <w:rPr>
                <w:lang w:val="en-NZ"/>
              </w:rPr>
            </w:pPr>
            <w:r w:rsidRPr="001E70A5">
              <w:t>Unsafe conditions and hazards are rectified according to workplace procedures</w:t>
            </w:r>
          </w:p>
        </w:tc>
      </w:tr>
      <w:tr w:rsidTr="001E70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E70A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70A5">
            <w:pPr>
              <w:pStyle w:val="BodyText"/>
              <w:rPr>
                <w:lang w:val="en-NZ"/>
              </w:rPr>
            </w:pPr>
            <w:r w:rsidRPr="001E70A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E70A5">
            <w:pPr>
              <w:pStyle w:val="BodyText"/>
              <w:rPr>
                <w:lang w:val="en-NZ"/>
              </w:rPr>
            </w:pPr>
            <w:r w:rsidRPr="001E70A5">
              <w:t xml:space="preserve">Effective communication is maintained with the officer in charge of </w:t>
            </w:r>
            <w:r w:rsidRPr="001E70A5">
              <w:t>the engineering watch about matters relevant to the safety and integrity of the vessel</w:t>
            </w:r>
          </w:p>
        </w:tc>
      </w:tr>
      <w:tr w:rsidTr="001E70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E70A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70A5">
            <w:pPr>
              <w:pStyle w:val="BodyText"/>
              <w:rPr>
                <w:lang w:val="en-NZ"/>
              </w:rPr>
            </w:pPr>
            <w:r w:rsidRPr="001E70A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E70A5">
            <w:pPr>
              <w:pStyle w:val="BodyText"/>
              <w:rPr>
                <w:lang w:val="en-NZ"/>
              </w:rPr>
            </w:pPr>
            <w:r w:rsidRPr="001E70A5">
              <w:t>Procedures for relief, maintenance and handover of a watch are followed</w:t>
            </w:r>
          </w:p>
        </w:tc>
      </w:tr>
      <w:tr w:rsidTr="001E70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E70A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70A5">
            <w:pPr>
              <w:pStyle w:val="BodyText"/>
              <w:rPr>
                <w:lang w:val="en-NZ"/>
              </w:rPr>
            </w:pPr>
            <w:r w:rsidRPr="001E70A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E70A5">
            <w:pPr>
              <w:pStyle w:val="BodyText"/>
              <w:rPr>
                <w:lang w:val="en-NZ"/>
              </w:rPr>
            </w:pPr>
            <w:r w:rsidRPr="001E70A5">
              <w:t>Emergency situations are promptly reported to the officer in charge of the engineering watch</w:t>
            </w:r>
          </w:p>
        </w:tc>
      </w:tr>
      <w:tr w:rsidTr="001E70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E70A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70A5">
            <w:pPr>
              <w:pStyle w:val="BodyText"/>
              <w:rPr>
                <w:lang w:val="en-NZ"/>
              </w:rPr>
            </w:pPr>
            <w:r w:rsidRPr="001E70A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E70A5">
            <w:pPr>
              <w:pStyle w:val="BodyText"/>
              <w:rPr>
                <w:lang w:val="en-NZ"/>
              </w:rPr>
            </w:pPr>
            <w:r w:rsidRPr="001E70A5">
              <w:t>Alarms are recognised and reported</w:t>
            </w:r>
          </w:p>
        </w:tc>
      </w:tr>
      <w:tr w:rsidTr="001E70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E70A5" w:rsidP="001E70A5">
            <w:pPr>
              <w:pStyle w:val="BodyText"/>
            </w:pPr>
            <w:r w:rsidRPr="001E70A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E70A5" w:rsidP="001E70A5">
            <w:pPr>
              <w:pStyle w:val="BodyText"/>
            </w:pPr>
            <w:r w:rsidRPr="001E70A5">
              <w:rPr>
                <w:rStyle w:val="SpecialBold"/>
              </w:rPr>
              <w:t>Respond to potential emergency situations</w:t>
            </w:r>
          </w:p>
        </w:tc>
        <w:tc>
          <w:tcPr>
            <w:tcW w:w="697" w:type="dxa"/>
            <w:tcBorders>
              <w:top w:val="nil"/>
              <w:left w:val="nil"/>
              <w:bottom w:val="nil"/>
              <w:right w:val="nil"/>
            </w:tcBorders>
            <w:tcMar>
              <w:top w:w="0" w:type="dxa"/>
              <w:left w:w="62" w:type="dxa"/>
              <w:bottom w:w="0" w:type="dxa"/>
              <w:right w:w="62" w:type="dxa"/>
            </w:tcMar>
          </w:tcPr>
          <w:p w:rsidR="00000000" w:rsidP="001E70A5">
            <w:pPr>
              <w:pStyle w:val="BodyText"/>
              <w:rPr>
                <w:lang w:val="en-NZ"/>
              </w:rPr>
            </w:pPr>
            <w:r w:rsidRPr="001E70A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E70A5">
            <w:pPr>
              <w:pStyle w:val="BodyText"/>
              <w:rPr>
                <w:lang w:val="en-NZ"/>
              </w:rPr>
            </w:pPr>
            <w:r w:rsidRPr="001E70A5">
              <w:t>Control measures to minimise a potential emergency are implemented</w:t>
            </w:r>
          </w:p>
        </w:tc>
      </w:tr>
      <w:tr w:rsidTr="001E70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E70A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70A5">
            <w:pPr>
              <w:pStyle w:val="BodyText"/>
              <w:rPr>
                <w:lang w:val="en-NZ"/>
              </w:rPr>
            </w:pPr>
            <w:r w:rsidRPr="001E70A5">
              <w:rPr>
                <w:rStyle w:val="SpecialBold"/>
              </w:rPr>
              <w:t>2.</w:t>
            </w:r>
            <w:r w:rsidRPr="001E70A5">
              <w:rPr>
                <w:rStyle w:val="SpecialBold"/>
              </w:rPr>
              <w:t>2</w:t>
            </w:r>
          </w:p>
        </w:tc>
        <w:tc>
          <w:tcPr>
            <w:tcW w:w="5592" w:type="dxa"/>
            <w:tcBorders>
              <w:top w:val="nil"/>
              <w:left w:val="nil"/>
              <w:bottom w:val="nil"/>
              <w:right w:val="nil"/>
            </w:tcBorders>
            <w:tcMar>
              <w:top w:w="0" w:type="dxa"/>
              <w:left w:w="62" w:type="dxa"/>
              <w:bottom w:w="0" w:type="dxa"/>
              <w:right w:w="62" w:type="dxa"/>
            </w:tcMar>
          </w:tcPr>
          <w:p w:rsidR="00000000" w:rsidP="001E70A5">
            <w:pPr>
              <w:pStyle w:val="BodyText"/>
              <w:rPr>
                <w:lang w:val="en-NZ"/>
              </w:rPr>
            </w:pPr>
            <w:r w:rsidRPr="001E70A5">
              <w:t>Containment procedures are applied as required</w:t>
            </w:r>
          </w:p>
        </w:tc>
      </w:tr>
      <w:tr w:rsidTr="001E70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E70A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70A5">
            <w:pPr>
              <w:pStyle w:val="BodyText"/>
              <w:rPr>
                <w:lang w:val="en-NZ"/>
              </w:rPr>
            </w:pPr>
            <w:r w:rsidRPr="001E70A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E70A5">
            <w:pPr>
              <w:pStyle w:val="BodyText"/>
              <w:rPr>
                <w:lang w:val="en-NZ"/>
              </w:rPr>
            </w:pPr>
            <w:r w:rsidRPr="001E70A5">
              <w:t>Appropriate safety procedures are followed, and personal protective equipment (PPE) is used according to workplace procedures</w:t>
            </w:r>
          </w:p>
        </w:tc>
      </w:tr>
      <w:tr w:rsidTr="001E70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E70A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70A5">
            <w:pPr>
              <w:pStyle w:val="BodyText"/>
              <w:rPr>
                <w:lang w:val="en-NZ"/>
              </w:rPr>
            </w:pPr>
            <w:r w:rsidRPr="001E70A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E70A5">
            <w:pPr>
              <w:pStyle w:val="BodyText"/>
              <w:rPr>
                <w:lang w:val="en-NZ"/>
              </w:rPr>
            </w:pPr>
            <w:r w:rsidRPr="001E70A5">
              <w:t>Emergency is eliminated where possible or actions are taken to control the emergency</w:t>
            </w:r>
          </w:p>
        </w:tc>
      </w:tr>
      <w:tr w:rsidTr="001E70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E70A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70A5">
            <w:pPr>
              <w:pStyle w:val="BodyText"/>
              <w:rPr>
                <w:lang w:val="en-NZ"/>
              </w:rPr>
            </w:pPr>
            <w:r w:rsidRPr="001E70A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E70A5">
            <w:pPr>
              <w:pStyle w:val="BodyText"/>
              <w:rPr>
                <w:lang w:val="en-NZ"/>
              </w:rPr>
            </w:pPr>
            <w:r w:rsidRPr="001E70A5">
              <w:t>Appropriate firefighting equipment is identified to carry out firefighting operations</w:t>
            </w:r>
          </w:p>
        </w:tc>
      </w:tr>
      <w:tr w:rsidTr="001E70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E70A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70A5">
            <w:pPr>
              <w:pStyle w:val="BodyText"/>
              <w:rPr>
                <w:lang w:val="en-NZ"/>
              </w:rPr>
            </w:pPr>
            <w:r w:rsidRPr="001E70A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E70A5">
            <w:pPr>
              <w:pStyle w:val="BodyText"/>
              <w:rPr>
                <w:lang w:val="en-NZ"/>
              </w:rPr>
            </w:pPr>
            <w:r w:rsidRPr="001E70A5">
              <w:t>Unsafe conditions and potential hazards are recognised, and risk is assessed and reported to the officer in charge of the engineering watch according to workplace procedures</w:t>
            </w:r>
          </w:p>
        </w:tc>
      </w:tr>
      <w:tr w:rsidTr="001E70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E70A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70A5">
            <w:pPr>
              <w:pStyle w:val="BodyText"/>
              <w:rPr>
                <w:lang w:val="en-NZ"/>
              </w:rPr>
            </w:pPr>
            <w:r w:rsidRPr="001E70A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RPr="001E70A5" w:rsidP="001E70A5">
            <w:pPr>
              <w:pStyle w:val="BodyText"/>
            </w:pPr>
            <w:r w:rsidRPr="001E70A5">
              <w:t>Unsafe conditions and hazards are rectified according to workplace procedur</w:t>
            </w:r>
            <w:r w:rsidRPr="001E70A5">
              <w:t>es</w:t>
            </w:r>
          </w:p>
        </w:tc>
      </w:tr>
    </w:tbl>
    <w:p w:rsidR="00000000" w:rsidRPr="001E70A5" w:rsidP="001E70A5">
      <w:pPr>
        <w:pStyle w:val="NoPaddingFontSize1"/>
      </w:pPr>
    </w:p>
    <w:p w:rsidR="00000000" w:rsidRPr="001E70A5" w:rsidP="001E70A5">
      <w:pPr>
        <w:pStyle w:val="AllowPageBreak"/>
      </w:pPr>
    </w:p>
    <w:p w:rsidR="00000000" w:rsidRPr="001E70A5" w:rsidP="001E70A5">
      <w:pPr>
        <w:pStyle w:val="Heading1"/>
      </w:pPr>
      <w:bookmarkStart w:id="7" w:name="O_1088381"/>
      <w:bookmarkEnd w:id="7"/>
      <w:r w:rsidRPr="001E70A5">
        <w:t>Foundation Skills</w:t>
      </w:r>
    </w:p>
    <w:tbl>
      <w:tblPr>
        <w:tblW w:w="9497" w:type="dxa"/>
        <w:tblLayout w:type="fixed"/>
        <w:tblCellMar>
          <w:left w:w="62" w:type="dxa"/>
          <w:right w:w="62" w:type="dxa"/>
        </w:tblCellMar>
        <w:tblLook w:val="0000"/>
      </w:tblPr>
      <w:tblGrid>
        <w:gridCol w:w="9497"/>
      </w:tblGrid>
      <w:tr w:rsidTr="001E70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70A5" w:rsidP="001E70A5">
            <w:pPr>
              <w:pStyle w:val="BodyText"/>
            </w:pPr>
            <w:r w:rsidRPr="001E70A5">
              <w:t>Foundation skills essential to performance are explicit in the performance criteria of this unit of competency.</w:t>
            </w:r>
          </w:p>
        </w:tc>
      </w:tr>
    </w:tbl>
    <w:p w:rsidR="00000000" w:rsidRPr="001E70A5" w:rsidP="001E70A5">
      <w:pPr>
        <w:pStyle w:val="NoPaddingFontSize1"/>
      </w:pPr>
    </w:p>
    <w:p w:rsidR="00000000" w:rsidRPr="001E70A5" w:rsidP="001E70A5">
      <w:pPr>
        <w:pStyle w:val="AllowPageBreak"/>
      </w:pPr>
    </w:p>
    <w:p w:rsidR="00000000" w:rsidRPr="001E70A5" w:rsidP="001E70A5">
      <w:pPr>
        <w:pStyle w:val="Heading1"/>
      </w:pPr>
      <w:bookmarkStart w:id="8" w:name="O_1088382"/>
      <w:bookmarkEnd w:id="8"/>
      <w:r w:rsidRPr="001E70A5">
        <w:t>Range of Conditions</w:t>
      </w:r>
    </w:p>
    <w:tbl>
      <w:tblPr>
        <w:tblW w:w="9497" w:type="dxa"/>
        <w:tblLayout w:type="fixed"/>
        <w:tblCellMar>
          <w:left w:w="62" w:type="dxa"/>
          <w:right w:w="62" w:type="dxa"/>
        </w:tblCellMar>
        <w:tblLook w:val="0000"/>
      </w:tblPr>
      <w:tblGrid>
        <w:gridCol w:w="9497"/>
      </w:tblGrid>
      <w:tr w:rsidTr="001E70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70A5" w:rsidP="001E70A5">
            <w:pPr>
              <w:pStyle w:val="BodyText"/>
            </w:pPr>
            <w:r w:rsidRPr="001E70A5">
              <w:t>Range is restricted to essential operating conditions and any other variables essential to the work environment.</w:t>
            </w:r>
          </w:p>
        </w:tc>
      </w:tr>
    </w:tbl>
    <w:p w:rsidR="00000000" w:rsidRPr="001E70A5" w:rsidP="001E70A5">
      <w:pPr>
        <w:pStyle w:val="NoPaddingFontSize1"/>
      </w:pPr>
    </w:p>
    <w:p w:rsidR="00000000" w:rsidRPr="001E70A5" w:rsidP="001E70A5">
      <w:pPr>
        <w:pStyle w:val="AllowPageBreak"/>
      </w:pPr>
    </w:p>
    <w:p w:rsidR="00000000" w:rsidRPr="001E70A5" w:rsidP="001E70A5">
      <w:pPr>
        <w:pStyle w:val="Heading1"/>
      </w:pPr>
      <w:bookmarkStart w:id="9" w:name="O_1088383"/>
      <w:bookmarkEnd w:id="9"/>
      <w:r w:rsidRPr="001E70A5">
        <w:t>Unit Mapping Information</w:t>
      </w:r>
    </w:p>
    <w:tbl>
      <w:tblPr>
        <w:tblW w:w="9497" w:type="dxa"/>
        <w:tblLayout w:type="fixed"/>
        <w:tblCellMar>
          <w:left w:w="62" w:type="dxa"/>
          <w:right w:w="62" w:type="dxa"/>
        </w:tblCellMar>
        <w:tblLook w:val="0000"/>
      </w:tblPr>
      <w:tblGrid>
        <w:gridCol w:w="9497"/>
      </w:tblGrid>
      <w:tr w:rsidTr="001E70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70A5" w:rsidP="001E70A5">
            <w:pPr>
              <w:pStyle w:val="BodyText"/>
            </w:pPr>
            <w:r w:rsidRPr="001E70A5">
              <w:t>This unit replaces and is equivalent to MARO005 Contribute to monitoring and controlling a safe e</w:t>
            </w:r>
            <w:r w:rsidRPr="001E70A5">
              <w:t>ngine watch.</w:t>
            </w:r>
          </w:p>
        </w:tc>
      </w:tr>
    </w:tbl>
    <w:p w:rsidR="00000000" w:rsidRPr="001E70A5" w:rsidP="001E70A5">
      <w:pPr>
        <w:pStyle w:val="NoPaddingFontSize1"/>
      </w:pPr>
    </w:p>
    <w:p w:rsidR="00000000" w:rsidRPr="001E70A5" w:rsidP="001E70A5">
      <w:pPr>
        <w:pStyle w:val="AllowPageBreak"/>
      </w:pPr>
    </w:p>
    <w:p w:rsidR="00000000" w:rsidRPr="001E70A5" w:rsidP="001E70A5">
      <w:pPr>
        <w:pStyle w:val="Heading1"/>
      </w:pPr>
      <w:bookmarkStart w:id="10" w:name="O_1088390"/>
      <w:bookmarkEnd w:id="10"/>
      <w:r w:rsidRPr="001E70A5">
        <w:t>Links</w:t>
      </w:r>
    </w:p>
    <w:p w:rsidR="00000000" w:rsidRPr="001E70A5" w:rsidP="00EA1A6F">
      <w:pPr>
        <w:pStyle w:val="BodyText"/>
      </w:pPr>
      <w:r w:rsidRPr="001E70A5">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18686E">
        <w:rPr>
          <w:rStyle w:val="Hyperlink"/>
        </w:rPr>
        <w:t>https://vetnet.gov.au/Pages/TrainingDocs.aspx?q=772efb7b-4cce-47fe-9bbd-ee3b1d1eb4c2</w:t>
      </w:r>
      <w:r>
        <w:fldChar w:fldCharType="end"/>
      </w:r>
    </w:p>
    <w:p w:rsidR="00000000" w:rsidRPr="001E70A5" w:rsidP="001E70A5"/>
    <w:sectPr w:rsidSect="001E70A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0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0A5" w:rsidRPr="00EA1A6F" w:rsidP="00EA1A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0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A6F" w:rsidP="001E70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1A6F" w:rsidP="001E70A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EA1A6F" w:rsidP="001E70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0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A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70A5" w:rsidRPr="00EA1A6F" w:rsidP="00EA1A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0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A6F" w:rsidRPr="002D2AF8" w:rsidP="001E70A5">
    <w:pPr>
      <w:pStyle w:val="Header"/>
      <w:framePr w:wrap="around"/>
    </w:pPr>
    <w:r>
      <w:fldChar w:fldCharType="begin"/>
    </w:r>
    <w:r>
      <w:instrText xml:space="preserve"> TITLE   \* MERGEFORMAT </w:instrText>
    </w:r>
    <w:r>
      <w:fldChar w:fldCharType="separate"/>
    </w:r>
    <w:r>
      <w:t>MARO007 Contribute to monitoring and controlling a safe engine watch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EA1A6F" w:rsidP="001E70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FED0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A04A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0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70A5"/>
    <w:pPr>
      <w:spacing w:before="360" w:after="60"/>
      <w:outlineLvl w:val="0"/>
    </w:pPr>
    <w:rPr>
      <w:sz w:val="32"/>
    </w:rPr>
  </w:style>
  <w:style w:type="paragraph" w:styleId="Heading2">
    <w:name w:val="heading 2"/>
    <w:basedOn w:val="HeadingBase"/>
    <w:next w:val="BodyText"/>
    <w:link w:val="Heading2Char"/>
    <w:qFormat/>
    <w:rsid w:val="001E70A5"/>
    <w:pPr>
      <w:keepLines/>
      <w:spacing w:before="240" w:after="120"/>
      <w:outlineLvl w:val="1"/>
    </w:pPr>
    <w:rPr>
      <w:sz w:val="28"/>
      <w:szCs w:val="40"/>
    </w:rPr>
  </w:style>
  <w:style w:type="paragraph" w:styleId="Heading3">
    <w:name w:val="heading 3"/>
    <w:basedOn w:val="HeadingBase"/>
    <w:next w:val="BodyText"/>
    <w:link w:val="Heading3Char"/>
    <w:qFormat/>
    <w:rsid w:val="001E70A5"/>
    <w:pPr>
      <w:spacing w:before="180" w:after="120"/>
      <w:outlineLvl w:val="2"/>
    </w:pPr>
    <w:rPr>
      <w:spacing w:val="-10"/>
      <w:kern w:val="32"/>
    </w:rPr>
  </w:style>
  <w:style w:type="paragraph" w:styleId="Heading4">
    <w:name w:val="heading 4"/>
    <w:basedOn w:val="HeadingBase"/>
    <w:next w:val="BodyText"/>
    <w:link w:val="Heading4Char"/>
    <w:qFormat/>
    <w:rsid w:val="001E70A5"/>
    <w:pPr>
      <w:spacing w:before="160" w:after="120"/>
      <w:outlineLvl w:val="3"/>
    </w:pPr>
    <w:rPr>
      <w:sz w:val="22"/>
    </w:rPr>
  </w:style>
  <w:style w:type="paragraph" w:styleId="Heading5">
    <w:name w:val="heading 5"/>
    <w:basedOn w:val="HeadingBase"/>
    <w:next w:val="Normal"/>
    <w:link w:val="Heading5Char"/>
    <w:qFormat/>
    <w:rsid w:val="001E70A5"/>
    <w:pPr>
      <w:spacing w:before="80"/>
      <w:outlineLvl w:val="4"/>
    </w:pPr>
    <w:rPr>
      <w:color w:val="918585"/>
      <w:sz w:val="20"/>
    </w:rPr>
  </w:style>
  <w:style w:type="paragraph" w:styleId="Heading6">
    <w:name w:val="heading 6"/>
    <w:basedOn w:val="HeadingBase"/>
    <w:next w:val="Normal"/>
    <w:link w:val="Heading6Char"/>
    <w:qFormat/>
    <w:rsid w:val="001E70A5"/>
    <w:pPr>
      <w:spacing w:before="60"/>
      <w:outlineLvl w:val="5"/>
    </w:pPr>
    <w:rPr>
      <w:color w:val="918585"/>
      <w:sz w:val="20"/>
    </w:rPr>
  </w:style>
  <w:style w:type="paragraph" w:styleId="Heading7">
    <w:name w:val="heading 7"/>
    <w:basedOn w:val="Normal"/>
    <w:next w:val="Normal"/>
    <w:link w:val="Heading7Char"/>
    <w:qFormat/>
    <w:rsid w:val="001E70A5"/>
    <w:pPr>
      <w:ind w:left="720"/>
      <w:outlineLvl w:val="6"/>
    </w:pPr>
    <w:rPr>
      <w:i/>
    </w:rPr>
  </w:style>
  <w:style w:type="paragraph" w:styleId="Heading8">
    <w:name w:val="heading 8"/>
    <w:basedOn w:val="Normal"/>
    <w:next w:val="Normal"/>
    <w:link w:val="Heading8Char"/>
    <w:qFormat/>
    <w:rsid w:val="001E70A5"/>
    <w:pPr>
      <w:ind w:left="720"/>
      <w:outlineLvl w:val="7"/>
    </w:pPr>
    <w:rPr>
      <w:i/>
    </w:rPr>
  </w:style>
  <w:style w:type="paragraph" w:styleId="Heading9">
    <w:name w:val="heading 9"/>
    <w:basedOn w:val="Normal"/>
    <w:next w:val="Normal"/>
    <w:link w:val="Heading9Char"/>
    <w:qFormat/>
    <w:rsid w:val="001E70A5"/>
    <w:pPr>
      <w:ind w:left="720"/>
      <w:outlineLvl w:val="8"/>
    </w:pPr>
    <w:rPr>
      <w:i/>
    </w:rPr>
  </w:style>
  <w:style w:type="character" w:default="1" w:styleId="DefaultParagraphFont">
    <w:name w:val="Default Paragraph Font"/>
    <w:uiPriority w:val="1"/>
    <w:unhideWhenUsed/>
    <w:rsid w:val="001E70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70A5"/>
  </w:style>
  <w:style w:type="character" w:customStyle="1" w:styleId="Heading1Char">
    <w:name w:val="Heading 1 Char"/>
    <w:basedOn w:val="DefaultParagraphFont"/>
    <w:link w:val="Heading1"/>
    <w:rsid w:val="001E70A5"/>
    <w:rPr>
      <w:rFonts w:ascii="Times New Roman" w:eastAsia="Times New Roman" w:hAnsi="Times New Roman" w:cs="Times New Roman"/>
      <w:b/>
      <w:sz w:val="32"/>
      <w:szCs w:val="20"/>
      <w:lang w:eastAsia="en-US"/>
    </w:rPr>
  </w:style>
  <w:style w:type="paragraph" w:styleId="BodyText">
    <w:name w:val="Body Text"/>
    <w:basedOn w:val="Normal"/>
    <w:link w:val="BodyTextChar"/>
    <w:rsid w:val="001E70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70A5"/>
    <w:rPr>
      <w:rFonts w:ascii="Times New Roman" w:eastAsia="Times New Roman" w:hAnsi="Times New Roman" w:cs="Times New Roman"/>
      <w:sz w:val="24"/>
      <w:lang w:eastAsia="en-US"/>
    </w:rPr>
  </w:style>
  <w:style w:type="paragraph" w:styleId="ListBullet">
    <w:name w:val="List Bullet"/>
    <w:basedOn w:val="List"/>
    <w:rsid w:val="001E70A5"/>
    <w:pPr>
      <w:numPr>
        <w:numId w:val="11"/>
      </w:numPr>
      <w:tabs>
        <w:tab w:val="clear" w:pos="340"/>
      </w:tabs>
      <w:spacing w:before="40" w:after="40"/>
    </w:pPr>
  </w:style>
  <w:style w:type="character" w:customStyle="1" w:styleId="SpecialBold">
    <w:name w:val="Special Bold"/>
    <w:basedOn w:val="DefaultParagraphFont"/>
    <w:rsid w:val="001E70A5"/>
    <w:rPr>
      <w:b/>
      <w:spacing w:val="0"/>
    </w:rPr>
  </w:style>
  <w:style w:type="paragraph" w:customStyle="1" w:styleId="SuperHeading">
    <w:name w:val="SuperHeading"/>
    <w:basedOn w:val="Normal"/>
    <w:rsid w:val="001E70A5"/>
    <w:pPr>
      <w:spacing w:before="240" w:after="120"/>
      <w:outlineLvl w:val="0"/>
    </w:pPr>
    <w:rPr>
      <w:rFonts w:ascii="Times New Roman" w:hAnsi="Times New Roman"/>
      <w:b/>
      <w:sz w:val="32"/>
    </w:rPr>
  </w:style>
  <w:style w:type="paragraph" w:customStyle="1" w:styleId="AllowPageBreak">
    <w:name w:val="AllowPageBreak"/>
    <w:rsid w:val="001E70A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E70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70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70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70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70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70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70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70A5"/>
    <w:rPr>
      <w:rFonts w:ascii="Courier New" w:eastAsia="Times New Roman" w:hAnsi="Courier New" w:cs="Times New Roman"/>
      <w:i/>
      <w:szCs w:val="20"/>
      <w:lang w:eastAsia="en-US"/>
    </w:rPr>
  </w:style>
  <w:style w:type="paragraph" w:customStyle="1" w:styleId="HeadingBase">
    <w:name w:val="Heading Base"/>
    <w:rsid w:val="001E70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70A5"/>
    <w:pPr>
      <w:tabs>
        <w:tab w:val="right" w:leader="dot" w:pos="9072"/>
      </w:tabs>
      <w:ind w:left="567"/>
    </w:pPr>
    <w:rPr>
      <w:szCs w:val="22"/>
    </w:rPr>
  </w:style>
  <w:style w:type="paragraph" w:customStyle="1" w:styleId="TOCBase">
    <w:name w:val="TOC Base"/>
    <w:rsid w:val="001E70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70A5"/>
    <w:pPr>
      <w:tabs>
        <w:tab w:val="right" w:leader="dot" w:pos="9072"/>
      </w:tabs>
      <w:spacing w:before="40" w:after="40"/>
      <w:ind w:left="284"/>
    </w:pPr>
    <w:rPr>
      <w:rFonts w:ascii="Times New Roman" w:hAnsi="Times New Roman"/>
    </w:rPr>
  </w:style>
  <w:style w:type="paragraph" w:styleId="TOC1">
    <w:name w:val="toc 1"/>
    <w:basedOn w:val="TOCBase"/>
    <w:next w:val="Normal"/>
    <w:rsid w:val="001E70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70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70A5"/>
    <w:rPr>
      <w:rFonts w:ascii="Times New Roman" w:eastAsia="Times New Roman" w:hAnsi="Times New Roman" w:cs="Times New Roman"/>
      <w:sz w:val="16"/>
      <w:lang w:eastAsia="en-US"/>
    </w:rPr>
  </w:style>
  <w:style w:type="paragraph" w:styleId="Title">
    <w:name w:val="Title"/>
    <w:basedOn w:val="HeadingBase"/>
    <w:link w:val="TitleChar"/>
    <w:qFormat/>
    <w:rsid w:val="001E70A5"/>
    <w:pPr>
      <w:spacing w:before="5040"/>
      <w:jc w:val="center"/>
    </w:pPr>
    <w:rPr>
      <w:sz w:val="48"/>
      <w:szCs w:val="72"/>
      <w:lang w:val="en-US"/>
    </w:rPr>
  </w:style>
  <w:style w:type="character" w:customStyle="1" w:styleId="TitleChar">
    <w:name w:val="Title Char"/>
    <w:basedOn w:val="DefaultParagraphFont"/>
    <w:link w:val="Title"/>
    <w:rsid w:val="001E70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70A5"/>
    <w:pPr>
      <w:tabs>
        <w:tab w:val="left" w:pos="3600"/>
        <w:tab w:val="left" w:pos="3958"/>
      </w:tabs>
    </w:pPr>
  </w:style>
  <w:style w:type="paragraph" w:styleId="List">
    <w:name w:val="List"/>
    <w:basedOn w:val="BodyText"/>
    <w:next w:val="BodyText"/>
    <w:rsid w:val="001E70A5"/>
    <w:pPr>
      <w:tabs>
        <w:tab w:val="left" w:pos="340"/>
      </w:tabs>
      <w:spacing w:before="60" w:after="60"/>
      <w:ind w:left="340" w:hanging="340"/>
    </w:pPr>
  </w:style>
  <w:style w:type="paragraph" w:customStyle="1" w:styleId="Note">
    <w:name w:val="Note"/>
    <w:basedOn w:val="BodyText"/>
    <w:rsid w:val="001E70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70A5"/>
    <w:pPr>
      <w:framePr w:wrap="auto" w:hAnchor="text" w:y="6049"/>
    </w:pPr>
    <w:rPr>
      <w:color w:val="000000"/>
      <w:sz w:val="40"/>
    </w:rPr>
  </w:style>
  <w:style w:type="paragraph" w:customStyle="1" w:styleId="TOCTitle">
    <w:name w:val="TOCTitle"/>
    <w:basedOn w:val="Heading1"/>
    <w:rsid w:val="001E70A5"/>
    <w:pPr>
      <w:spacing w:after="240"/>
      <w:jc w:val="center"/>
      <w:outlineLvl w:val="9"/>
    </w:pPr>
    <w:rPr>
      <w:caps/>
    </w:rPr>
  </w:style>
  <w:style w:type="paragraph" w:customStyle="1" w:styleId="Version">
    <w:name w:val="Version"/>
    <w:rsid w:val="001E70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70A5"/>
    <w:pPr>
      <w:numPr>
        <w:numId w:val="12"/>
      </w:numPr>
      <w:tabs>
        <w:tab w:val="clear" w:pos="680"/>
      </w:tabs>
    </w:pPr>
  </w:style>
  <w:style w:type="paragraph" w:styleId="Index1">
    <w:name w:val="index 1"/>
    <w:basedOn w:val="Normal"/>
    <w:next w:val="Normal"/>
    <w:semiHidden/>
    <w:rsid w:val="001E70A5"/>
    <w:pPr>
      <w:keepNext w:val="0"/>
      <w:tabs>
        <w:tab w:val="right" w:pos="4176"/>
      </w:tabs>
      <w:ind w:left="198" w:hanging="198"/>
    </w:pPr>
    <w:rPr>
      <w:rFonts w:ascii="Garamond" w:hAnsi="Garamond"/>
    </w:rPr>
  </w:style>
  <w:style w:type="paragraph" w:styleId="IndexHeading">
    <w:name w:val="index heading"/>
    <w:basedOn w:val="Normal"/>
    <w:next w:val="Index1"/>
    <w:semiHidden/>
    <w:rsid w:val="001E70A5"/>
    <w:pPr>
      <w:spacing w:before="120" w:after="120"/>
    </w:pPr>
    <w:rPr>
      <w:rFonts w:ascii="Arial" w:hAnsi="Arial"/>
      <w:b/>
      <w:color w:val="918585"/>
      <w:sz w:val="24"/>
    </w:rPr>
  </w:style>
  <w:style w:type="paragraph" w:styleId="Header">
    <w:name w:val="header"/>
    <w:basedOn w:val="Normal"/>
    <w:link w:val="HeaderChar"/>
    <w:rsid w:val="001E70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70A5"/>
    <w:rPr>
      <w:rFonts w:ascii="Times New Roman" w:eastAsia="Times New Roman" w:hAnsi="Times New Roman" w:cs="Times New Roman"/>
      <w:sz w:val="16"/>
      <w:szCs w:val="20"/>
      <w:lang w:val="en-GB" w:eastAsia="en-US"/>
    </w:rPr>
  </w:style>
  <w:style w:type="paragraph" w:customStyle="1" w:styleId="Chapter">
    <w:name w:val="Chapter"/>
    <w:basedOn w:val="Normal"/>
    <w:rsid w:val="001E70A5"/>
    <w:pPr>
      <w:spacing w:before="240"/>
    </w:pPr>
    <w:rPr>
      <w:rFonts w:ascii="Times New Roman" w:hAnsi="Times New Roman"/>
      <w:smallCaps/>
      <w:spacing w:val="80"/>
      <w:sz w:val="28"/>
    </w:rPr>
  </w:style>
  <w:style w:type="paragraph" w:customStyle="1" w:styleId="InChapter">
    <w:name w:val="InChapter"/>
    <w:basedOn w:val="Heading3"/>
    <w:rsid w:val="001E70A5"/>
    <w:pPr>
      <w:spacing w:after="240"/>
      <w:outlineLvl w:val="9"/>
    </w:pPr>
    <w:rPr>
      <w:noProof/>
    </w:rPr>
  </w:style>
  <w:style w:type="paragraph" w:styleId="Index2">
    <w:name w:val="index 2"/>
    <w:basedOn w:val="Normal"/>
    <w:next w:val="Normal"/>
    <w:semiHidden/>
    <w:rsid w:val="001E70A5"/>
    <w:pPr>
      <w:tabs>
        <w:tab w:val="right" w:pos="4176"/>
      </w:tabs>
      <w:ind w:left="568" w:hanging="284"/>
    </w:pPr>
    <w:rPr>
      <w:rFonts w:ascii="Garamond" w:hAnsi="Garamond"/>
    </w:rPr>
  </w:style>
  <w:style w:type="paragraph" w:customStyle="1" w:styleId="Byline">
    <w:name w:val="Byline"/>
    <w:rsid w:val="001E70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70A5"/>
    <w:pPr>
      <w:tabs>
        <w:tab w:val="clear" w:pos="3600"/>
        <w:tab w:val="clear" w:pos="3958"/>
      </w:tabs>
      <w:jc w:val="right"/>
    </w:pPr>
  </w:style>
  <w:style w:type="character" w:styleId="Emphasis">
    <w:name w:val="Emphasis"/>
    <w:basedOn w:val="DefaultParagraphFont"/>
    <w:qFormat/>
    <w:rsid w:val="001E70A5"/>
    <w:rPr>
      <w:i/>
    </w:rPr>
  </w:style>
  <w:style w:type="paragraph" w:styleId="Caption">
    <w:name w:val="caption"/>
    <w:basedOn w:val="BodyText"/>
    <w:next w:val="Normal"/>
    <w:qFormat/>
    <w:rsid w:val="001E70A5"/>
    <w:pPr>
      <w:framePr w:w="2268" w:hSpace="181" w:vSpace="181" w:wrap="around" w:vAnchor="text" w:hAnchor="page" w:x="1135" w:y="285" w:anchorLock="1"/>
    </w:pPr>
    <w:rPr>
      <w:i/>
    </w:rPr>
  </w:style>
  <w:style w:type="paragraph" w:customStyle="1" w:styleId="MiniTOCTitle">
    <w:name w:val="MiniTOCTitle"/>
    <w:basedOn w:val="Heading4"/>
    <w:rsid w:val="001E70A5"/>
    <w:pPr>
      <w:spacing w:before="240"/>
      <w:outlineLvl w:val="9"/>
    </w:pPr>
    <w:rPr>
      <w:noProof/>
      <w:sz w:val="24"/>
    </w:rPr>
  </w:style>
  <w:style w:type="paragraph" w:customStyle="1" w:styleId="MiniTOCItem">
    <w:name w:val="MiniTOCItem"/>
    <w:basedOn w:val="ListBullet"/>
    <w:rsid w:val="001E70A5"/>
    <w:pPr>
      <w:numPr>
        <w:numId w:val="0"/>
      </w:numPr>
      <w:tabs>
        <w:tab w:val="right" w:leader="dot" w:pos="6521"/>
      </w:tabs>
      <w:spacing w:before="0" w:after="0"/>
    </w:pPr>
  </w:style>
  <w:style w:type="paragraph" w:customStyle="1" w:styleId="TOFTitle">
    <w:name w:val="TOFTitle"/>
    <w:basedOn w:val="TOCTitle"/>
    <w:rsid w:val="001E70A5"/>
  </w:style>
  <w:style w:type="paragraph" w:styleId="TableofFigures">
    <w:name w:val="table of figures"/>
    <w:basedOn w:val="Normal"/>
    <w:next w:val="Normal"/>
    <w:semiHidden/>
    <w:rsid w:val="001E70A5"/>
    <w:pPr>
      <w:tabs>
        <w:tab w:val="right" w:leader="dot" w:pos="9072"/>
      </w:tabs>
      <w:ind w:left="970" w:hanging="403"/>
    </w:pPr>
    <w:rPr>
      <w:rFonts w:ascii="Times New Roman" w:hAnsi="Times New Roman"/>
      <w:b/>
    </w:rPr>
  </w:style>
  <w:style w:type="paragraph" w:styleId="ListNumber">
    <w:name w:val="List Number"/>
    <w:basedOn w:val="List"/>
    <w:rsid w:val="001E70A5"/>
    <w:pPr>
      <w:numPr>
        <w:numId w:val="14"/>
      </w:numPr>
      <w:tabs>
        <w:tab w:val="clear" w:pos="340"/>
      </w:tabs>
    </w:pPr>
  </w:style>
  <w:style w:type="character" w:customStyle="1" w:styleId="WingdingSymbols">
    <w:name w:val="Wingding Symbols"/>
    <w:rsid w:val="001E70A5"/>
    <w:rPr>
      <w:rFonts w:ascii="Wingdings" w:hAnsi="Wingdings"/>
    </w:rPr>
  </w:style>
  <w:style w:type="paragraph" w:customStyle="1" w:styleId="TableHeading">
    <w:name w:val="Table Heading"/>
    <w:basedOn w:val="HeadingBase"/>
    <w:rsid w:val="001E70A5"/>
    <w:pPr>
      <w:keepLines/>
      <w:pBdr>
        <w:bottom w:val="single" w:sz="6" w:space="1" w:color="918585"/>
      </w:pBdr>
      <w:spacing w:before="240"/>
    </w:pPr>
  </w:style>
  <w:style w:type="character" w:customStyle="1" w:styleId="HotSpot">
    <w:name w:val="HotSpot"/>
    <w:rsid w:val="001E70A5"/>
    <w:rPr>
      <w:color w:val="0033CC"/>
      <w:u w:val="none"/>
    </w:rPr>
  </w:style>
  <w:style w:type="paragraph" w:customStyle="1" w:styleId="BodyTextRight">
    <w:name w:val="Body Text Right"/>
    <w:basedOn w:val="BodyText"/>
    <w:rsid w:val="001E70A5"/>
    <w:pPr>
      <w:spacing w:before="0" w:after="0"/>
      <w:jc w:val="right"/>
    </w:pPr>
  </w:style>
  <w:style w:type="paragraph" w:styleId="Index3">
    <w:name w:val="index 3"/>
    <w:basedOn w:val="ListNumber2"/>
    <w:next w:val="Normal"/>
    <w:semiHidden/>
    <w:rsid w:val="001E70A5"/>
    <w:pPr>
      <w:numPr>
        <w:numId w:val="0"/>
      </w:numPr>
      <w:tabs>
        <w:tab w:val="right" w:leader="dot" w:pos="4176"/>
      </w:tabs>
    </w:pPr>
  </w:style>
  <w:style w:type="paragraph" w:styleId="ListNumber2">
    <w:name w:val="List Number 2"/>
    <w:basedOn w:val="List2"/>
    <w:rsid w:val="001E70A5"/>
    <w:pPr>
      <w:numPr>
        <w:numId w:val="9"/>
      </w:numPr>
      <w:tabs>
        <w:tab w:val="clear" w:pos="1060"/>
      </w:tabs>
    </w:pPr>
  </w:style>
  <w:style w:type="paragraph" w:customStyle="1" w:styleId="MarginNote">
    <w:name w:val="Margin Note"/>
    <w:basedOn w:val="BodyText"/>
    <w:rsid w:val="001E70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70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70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70A5"/>
    <w:rPr>
      <w:sz w:val="32"/>
    </w:rPr>
  </w:style>
  <w:style w:type="paragraph" w:customStyle="1" w:styleId="HeadingProcedure">
    <w:name w:val="Heading Procedure"/>
    <w:basedOn w:val="HeadingBase"/>
    <w:next w:val="Normal"/>
    <w:rsid w:val="001E70A5"/>
    <w:pPr>
      <w:tabs>
        <w:tab w:val="left" w:pos="0"/>
      </w:tabs>
      <w:spacing w:before="120" w:after="60"/>
    </w:pPr>
    <w:rPr>
      <w:i/>
      <w:color w:val="918585"/>
      <w:sz w:val="22"/>
    </w:rPr>
  </w:style>
  <w:style w:type="paragraph" w:customStyle="1" w:styleId="TableBodyText">
    <w:name w:val="Table Body Text"/>
    <w:basedOn w:val="BodyText"/>
    <w:rsid w:val="001E70A5"/>
    <w:pPr>
      <w:spacing w:before="60" w:after="60"/>
    </w:pPr>
  </w:style>
  <w:style w:type="paragraph" w:styleId="ListContinue">
    <w:name w:val="List Continue"/>
    <w:basedOn w:val="List"/>
    <w:rsid w:val="001E70A5"/>
    <w:pPr>
      <w:ind w:firstLine="0"/>
    </w:pPr>
  </w:style>
  <w:style w:type="paragraph" w:customStyle="1" w:styleId="ListNote">
    <w:name w:val="List Note"/>
    <w:basedOn w:val="List"/>
    <w:rsid w:val="001E70A5"/>
    <w:pPr>
      <w:pBdr>
        <w:top w:val="single" w:sz="6" w:space="2" w:color="918585"/>
        <w:bottom w:val="single" w:sz="6" w:space="2" w:color="918585"/>
      </w:pBdr>
      <w:tabs>
        <w:tab w:val="left" w:pos="1021"/>
      </w:tabs>
      <w:ind w:firstLine="0"/>
    </w:pPr>
  </w:style>
  <w:style w:type="paragraph" w:customStyle="1" w:styleId="Warning">
    <w:name w:val="Warning"/>
    <w:basedOn w:val="BodyText"/>
    <w:rsid w:val="001E70A5"/>
    <w:pPr>
      <w:shd w:val="clear" w:color="auto" w:fill="D9D9D9"/>
      <w:tabs>
        <w:tab w:val="left" w:pos="992"/>
      </w:tabs>
      <w:ind w:left="119" w:right="119"/>
    </w:pPr>
    <w:rPr>
      <w:sz w:val="20"/>
    </w:rPr>
  </w:style>
  <w:style w:type="paragraph" w:customStyle="1" w:styleId="MarginIcons">
    <w:name w:val="Margin Icons"/>
    <w:basedOn w:val="BodyText"/>
    <w:rsid w:val="001E70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70A5"/>
    <w:rPr>
      <w:rFonts w:ascii="Courier New" w:hAnsi="Courier New"/>
    </w:rPr>
  </w:style>
  <w:style w:type="paragraph" w:customStyle="1" w:styleId="NoteBullet">
    <w:name w:val="Note Bullet"/>
    <w:basedOn w:val="Note"/>
    <w:rsid w:val="001E70A5"/>
    <w:pPr>
      <w:tabs>
        <w:tab w:val="clear" w:pos="680"/>
      </w:tabs>
      <w:spacing w:before="60" w:after="60"/>
    </w:pPr>
  </w:style>
  <w:style w:type="paragraph" w:customStyle="1" w:styleId="SubHeading2">
    <w:name w:val="SubHeading2"/>
    <w:basedOn w:val="HeadingBase"/>
    <w:rsid w:val="001E70A5"/>
    <w:pPr>
      <w:spacing w:before="240" w:after="60"/>
    </w:pPr>
    <w:rPr>
      <w:sz w:val="20"/>
    </w:rPr>
  </w:style>
  <w:style w:type="paragraph" w:customStyle="1" w:styleId="SubHeading1">
    <w:name w:val="SubHeading1"/>
    <w:basedOn w:val="HeadingBase"/>
    <w:rsid w:val="001E70A5"/>
    <w:pPr>
      <w:spacing w:before="240" w:after="60"/>
    </w:pPr>
    <w:rPr>
      <w:color w:val="918585"/>
      <w:sz w:val="22"/>
    </w:rPr>
  </w:style>
  <w:style w:type="paragraph" w:customStyle="1" w:styleId="SideHeading">
    <w:name w:val="Side Heading"/>
    <w:basedOn w:val="HeadingBase"/>
    <w:rsid w:val="001E70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70A5"/>
    <w:pPr>
      <w:numPr>
        <w:numId w:val="10"/>
      </w:numPr>
    </w:pPr>
  </w:style>
  <w:style w:type="paragraph" w:styleId="PlainText">
    <w:name w:val="Plain Text"/>
    <w:basedOn w:val="Normal"/>
    <w:link w:val="PlainTextChar"/>
    <w:rsid w:val="001E70A5"/>
    <w:rPr>
      <w:sz w:val="20"/>
    </w:rPr>
  </w:style>
  <w:style w:type="character" w:customStyle="1" w:styleId="PlainTextChar">
    <w:name w:val="Plain Text Char"/>
    <w:basedOn w:val="DefaultParagraphFont"/>
    <w:link w:val="PlainText"/>
    <w:rsid w:val="001E70A5"/>
    <w:rPr>
      <w:rFonts w:ascii="Courier New" w:eastAsia="Times New Roman" w:hAnsi="Courier New" w:cs="Times New Roman"/>
      <w:sz w:val="20"/>
      <w:szCs w:val="20"/>
      <w:lang w:eastAsia="en-US"/>
    </w:rPr>
  </w:style>
  <w:style w:type="character" w:customStyle="1" w:styleId="MenuOption">
    <w:name w:val="Menu Option"/>
    <w:basedOn w:val="DefaultParagraphFont"/>
    <w:rsid w:val="001E70A5"/>
    <w:rPr>
      <w:b/>
      <w:smallCaps/>
    </w:rPr>
  </w:style>
  <w:style w:type="paragraph" w:customStyle="1" w:styleId="TableListNumber">
    <w:name w:val="Table List Number"/>
    <w:basedOn w:val="ListNumber"/>
    <w:rsid w:val="001E70A5"/>
    <w:pPr>
      <w:numPr>
        <w:numId w:val="0"/>
      </w:numPr>
    </w:pPr>
  </w:style>
  <w:style w:type="paragraph" w:styleId="TOC4">
    <w:name w:val="toc 4"/>
    <w:basedOn w:val="TOCBase"/>
    <w:next w:val="Normal"/>
    <w:semiHidden/>
    <w:rsid w:val="001E70A5"/>
    <w:pPr>
      <w:tabs>
        <w:tab w:val="right" w:leader="dot" w:pos="9071"/>
      </w:tabs>
      <w:ind w:left="1701"/>
    </w:pPr>
  </w:style>
  <w:style w:type="paragraph" w:customStyle="1" w:styleId="ListAlpha">
    <w:name w:val="List Alpha"/>
    <w:basedOn w:val="List"/>
    <w:rsid w:val="001E70A5"/>
    <w:pPr>
      <w:numPr>
        <w:numId w:val="8"/>
      </w:numPr>
    </w:pPr>
  </w:style>
  <w:style w:type="paragraph" w:customStyle="1" w:styleId="ListAlpha2">
    <w:name w:val="List Alpha 2"/>
    <w:basedOn w:val="List2"/>
    <w:rsid w:val="001E70A5"/>
    <w:pPr>
      <w:numPr>
        <w:numId w:val="7"/>
      </w:numPr>
    </w:pPr>
  </w:style>
  <w:style w:type="paragraph" w:styleId="List2">
    <w:name w:val="List 2"/>
    <w:basedOn w:val="BodyText"/>
    <w:rsid w:val="001E70A5"/>
    <w:pPr>
      <w:tabs>
        <w:tab w:val="left" w:pos="680"/>
      </w:tabs>
      <w:spacing w:before="60" w:after="60"/>
      <w:ind w:left="680" w:hanging="340"/>
    </w:pPr>
  </w:style>
  <w:style w:type="paragraph" w:styleId="List3">
    <w:name w:val="List 3"/>
    <w:basedOn w:val="BodyText"/>
    <w:rsid w:val="001E70A5"/>
    <w:pPr>
      <w:tabs>
        <w:tab w:val="left" w:pos="1021"/>
      </w:tabs>
      <w:spacing w:before="60" w:after="60"/>
      <w:ind w:left="1020" w:hanging="340"/>
    </w:pPr>
  </w:style>
  <w:style w:type="paragraph" w:styleId="List4">
    <w:name w:val="List 4"/>
    <w:basedOn w:val="BodyText"/>
    <w:rsid w:val="001E70A5"/>
    <w:pPr>
      <w:tabs>
        <w:tab w:val="left" w:pos="1361"/>
      </w:tabs>
      <w:spacing w:before="60" w:after="60"/>
      <w:ind w:left="1361" w:hanging="340"/>
    </w:pPr>
  </w:style>
  <w:style w:type="paragraph" w:styleId="List5">
    <w:name w:val="List 5"/>
    <w:basedOn w:val="BodyText"/>
    <w:rsid w:val="001E70A5"/>
    <w:pPr>
      <w:tabs>
        <w:tab w:val="left" w:pos="1701"/>
      </w:tabs>
      <w:spacing w:before="60" w:after="60"/>
      <w:ind w:left="1701" w:hanging="340"/>
    </w:pPr>
  </w:style>
  <w:style w:type="paragraph" w:styleId="ListBullet3">
    <w:name w:val="List Bullet 3"/>
    <w:basedOn w:val="List3"/>
    <w:rsid w:val="001E70A5"/>
    <w:pPr>
      <w:numPr>
        <w:numId w:val="13"/>
      </w:numPr>
      <w:tabs>
        <w:tab w:val="clear" w:pos="1021"/>
      </w:tabs>
      <w:ind w:left="1037" w:hanging="357"/>
    </w:pPr>
  </w:style>
  <w:style w:type="paragraph" w:styleId="ListBullet4">
    <w:name w:val="List Bullet 4"/>
    <w:basedOn w:val="List4"/>
    <w:rsid w:val="001E70A5"/>
    <w:pPr>
      <w:numPr>
        <w:numId w:val="2"/>
      </w:numPr>
      <w:tabs>
        <w:tab w:val="clear" w:pos="1361"/>
      </w:tabs>
    </w:pPr>
  </w:style>
  <w:style w:type="paragraph" w:styleId="ListBullet5">
    <w:name w:val="List Bullet 5"/>
    <w:basedOn w:val="List5"/>
    <w:rsid w:val="001E70A5"/>
    <w:pPr>
      <w:numPr>
        <w:numId w:val="3"/>
      </w:numPr>
    </w:pPr>
  </w:style>
  <w:style w:type="paragraph" w:styleId="ListContinue2">
    <w:name w:val="List Continue 2"/>
    <w:basedOn w:val="List2"/>
    <w:rsid w:val="001E70A5"/>
    <w:pPr>
      <w:ind w:firstLine="0"/>
    </w:pPr>
  </w:style>
  <w:style w:type="paragraph" w:styleId="ListContinue3">
    <w:name w:val="List Continue 3"/>
    <w:basedOn w:val="List3"/>
    <w:rsid w:val="001E70A5"/>
    <w:pPr>
      <w:ind w:left="1021" w:firstLine="0"/>
    </w:pPr>
  </w:style>
  <w:style w:type="paragraph" w:styleId="ListContinue4">
    <w:name w:val="List Continue 4"/>
    <w:basedOn w:val="List4"/>
    <w:rsid w:val="001E70A5"/>
    <w:pPr>
      <w:ind w:firstLine="0"/>
    </w:pPr>
  </w:style>
  <w:style w:type="paragraph" w:styleId="ListContinue5">
    <w:name w:val="List Continue 5"/>
    <w:basedOn w:val="List5"/>
    <w:rsid w:val="001E70A5"/>
    <w:pPr>
      <w:ind w:firstLine="0"/>
    </w:pPr>
  </w:style>
  <w:style w:type="paragraph" w:styleId="ListNumber3">
    <w:name w:val="List Number 3"/>
    <w:basedOn w:val="List3"/>
    <w:rsid w:val="001E70A5"/>
    <w:pPr>
      <w:numPr>
        <w:numId w:val="4"/>
      </w:numPr>
    </w:pPr>
  </w:style>
  <w:style w:type="paragraph" w:styleId="ListNumber4">
    <w:name w:val="List Number 4"/>
    <w:basedOn w:val="List4"/>
    <w:rsid w:val="001E70A5"/>
    <w:pPr>
      <w:numPr>
        <w:numId w:val="5"/>
      </w:numPr>
    </w:pPr>
  </w:style>
  <w:style w:type="paragraph" w:styleId="ListNumber5">
    <w:name w:val="List Number 5"/>
    <w:basedOn w:val="List5"/>
    <w:rsid w:val="001E70A5"/>
    <w:pPr>
      <w:numPr>
        <w:numId w:val="6"/>
      </w:numPr>
    </w:pPr>
  </w:style>
  <w:style w:type="paragraph" w:styleId="BlockText">
    <w:name w:val="Block Text"/>
    <w:basedOn w:val="Normal"/>
    <w:rsid w:val="001E70A5"/>
    <w:pPr>
      <w:spacing w:after="120"/>
      <w:ind w:left="1440" w:right="1440"/>
    </w:pPr>
  </w:style>
  <w:style w:type="character" w:customStyle="1" w:styleId="Subscript">
    <w:name w:val="Subscript"/>
    <w:basedOn w:val="DefaultParagraphFont"/>
    <w:rsid w:val="001E70A5"/>
    <w:rPr>
      <w:sz w:val="16"/>
      <w:vertAlign w:val="subscript"/>
    </w:rPr>
  </w:style>
  <w:style w:type="character" w:customStyle="1" w:styleId="Superscript">
    <w:name w:val="Superscript"/>
    <w:basedOn w:val="DefaultParagraphFont"/>
    <w:rsid w:val="001E70A5"/>
    <w:rPr>
      <w:sz w:val="16"/>
      <w:vertAlign w:val="superscript"/>
    </w:rPr>
  </w:style>
  <w:style w:type="character" w:customStyle="1" w:styleId="Symbols">
    <w:name w:val="Symbols"/>
    <w:basedOn w:val="DefaultParagraphFont"/>
    <w:rsid w:val="001E70A5"/>
    <w:rPr>
      <w:rFonts w:ascii="Symbol" w:hAnsi="Symbol"/>
    </w:rPr>
  </w:style>
  <w:style w:type="character" w:customStyle="1" w:styleId="MenuOptions">
    <w:name w:val="Menu Options"/>
    <w:basedOn w:val="DefaultParagraphFont"/>
    <w:rsid w:val="001E70A5"/>
    <w:rPr>
      <w:rFonts w:ascii="Arial Narrow" w:hAnsi="Arial Narrow"/>
      <w:smallCaps/>
    </w:rPr>
  </w:style>
  <w:style w:type="character" w:customStyle="1" w:styleId="Buttons">
    <w:name w:val="Buttons"/>
    <w:basedOn w:val="DefaultParagraphFont"/>
    <w:rsid w:val="001E70A5"/>
    <w:rPr>
      <w:b/>
    </w:rPr>
  </w:style>
  <w:style w:type="character" w:customStyle="1" w:styleId="Underlined">
    <w:name w:val="Underlined"/>
    <w:basedOn w:val="DefaultParagraphFont"/>
    <w:rsid w:val="001E70A5"/>
    <w:rPr>
      <w:u w:val="single"/>
    </w:rPr>
  </w:style>
  <w:style w:type="paragraph" w:customStyle="1" w:styleId="TableBodyTextRight">
    <w:name w:val="Table Body Text Right"/>
    <w:basedOn w:val="TableBodyText"/>
    <w:rsid w:val="001E70A5"/>
    <w:pPr>
      <w:widowControl w:val="0"/>
      <w:autoSpaceDE w:val="0"/>
      <w:autoSpaceDN w:val="0"/>
      <w:adjustRightInd w:val="0"/>
      <w:jc w:val="right"/>
    </w:pPr>
    <w:rPr>
      <w:rFonts w:cs="Arial"/>
      <w:szCs w:val="18"/>
    </w:rPr>
  </w:style>
  <w:style w:type="paragraph" w:customStyle="1" w:styleId="CopyrightText">
    <w:name w:val="Copyright Text"/>
    <w:basedOn w:val="BodyText"/>
    <w:rsid w:val="001E70A5"/>
    <w:rPr>
      <w:sz w:val="18"/>
    </w:rPr>
  </w:style>
  <w:style w:type="paragraph" w:customStyle="1" w:styleId="BodySmallRight">
    <w:name w:val="Body Small Right"/>
    <w:basedOn w:val="BodyTextRight"/>
    <w:rsid w:val="001E70A5"/>
    <w:rPr>
      <w:sz w:val="18"/>
      <w:szCs w:val="18"/>
    </w:rPr>
  </w:style>
  <w:style w:type="paragraph" w:customStyle="1" w:styleId="MarginEdition">
    <w:name w:val="Margin Edition"/>
    <w:basedOn w:val="MarginNote"/>
    <w:rsid w:val="001E70A5"/>
    <w:pPr>
      <w:spacing w:before="0" w:after="0"/>
    </w:pPr>
    <w:rPr>
      <w:rFonts w:ascii="Times New Roman" w:hAnsi="Times New Roman"/>
      <w:color w:val="999999"/>
    </w:rPr>
  </w:style>
  <w:style w:type="paragraph" w:customStyle="1" w:styleId="Spacer">
    <w:name w:val="Spacer"/>
    <w:basedOn w:val="Normal"/>
    <w:rsid w:val="001E70A5"/>
    <w:rPr>
      <w:sz w:val="2"/>
      <w:szCs w:val="2"/>
    </w:rPr>
  </w:style>
  <w:style w:type="character" w:customStyle="1" w:styleId="Small">
    <w:name w:val="Small"/>
    <w:basedOn w:val="DefaultParagraphFont"/>
    <w:rsid w:val="001E70A5"/>
    <w:rPr>
      <w:sz w:val="16"/>
    </w:rPr>
  </w:style>
  <w:style w:type="paragraph" w:customStyle="1" w:styleId="WideTable">
    <w:name w:val="Wide Table"/>
    <w:basedOn w:val="Normal"/>
    <w:rsid w:val="001E70A5"/>
    <w:pPr>
      <w:ind w:left="-1418"/>
    </w:pPr>
    <w:rPr>
      <w:sz w:val="2"/>
      <w:szCs w:val="2"/>
    </w:rPr>
  </w:style>
  <w:style w:type="character" w:styleId="PageNumber">
    <w:name w:val="page number"/>
    <w:basedOn w:val="DefaultParagraphFont"/>
    <w:rsid w:val="001E70A5"/>
  </w:style>
  <w:style w:type="paragraph" w:styleId="Quote">
    <w:name w:val="Quote"/>
    <w:basedOn w:val="Heading1"/>
    <w:link w:val="QuoteChar"/>
    <w:qFormat/>
    <w:rsid w:val="001E70A5"/>
    <w:rPr>
      <w:b w:val="0"/>
      <w:sz w:val="72"/>
      <w:szCs w:val="72"/>
      <w:lang w:val="en-NZ"/>
    </w:rPr>
  </w:style>
  <w:style w:type="character" w:customStyle="1" w:styleId="QuoteChar">
    <w:name w:val="Quote Char"/>
    <w:basedOn w:val="DefaultParagraphFont"/>
    <w:link w:val="Quote"/>
    <w:rsid w:val="001E70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70A5"/>
    <w:pPr>
      <w:pageBreakBefore/>
    </w:pPr>
  </w:style>
  <w:style w:type="paragraph" w:customStyle="1" w:styleId="Border">
    <w:name w:val="Border"/>
    <w:basedOn w:val="Normal"/>
    <w:qFormat/>
    <w:rsid w:val="001E70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70A5"/>
    <w:rPr>
      <w:b/>
      <w:bCs/>
      <w:i/>
      <w:iCs/>
      <w:color w:val="auto"/>
    </w:rPr>
  </w:style>
  <w:style w:type="paragraph" w:styleId="IntenseQuote">
    <w:name w:val="Intense Quote"/>
    <w:basedOn w:val="Normal"/>
    <w:next w:val="Normal"/>
    <w:link w:val="IntenseQuoteChar"/>
    <w:uiPriority w:val="30"/>
    <w:qFormat/>
    <w:rsid w:val="001E70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70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70A5"/>
    <w:rPr>
      <w:smallCaps/>
      <w:color w:val="auto"/>
      <w:u w:val="single"/>
    </w:rPr>
  </w:style>
  <w:style w:type="character" w:styleId="IntenseReference">
    <w:name w:val="Intense Reference"/>
    <w:basedOn w:val="DefaultParagraphFont"/>
    <w:uiPriority w:val="32"/>
    <w:qFormat/>
    <w:rsid w:val="001E70A5"/>
    <w:rPr>
      <w:b/>
      <w:bCs/>
      <w:smallCaps/>
      <w:color w:val="auto"/>
      <w:spacing w:val="5"/>
      <w:u w:val="single"/>
    </w:rPr>
  </w:style>
  <w:style w:type="paragraph" w:customStyle="1" w:styleId="2ColumnHeading">
    <w:name w:val="2Column Heading"/>
    <w:basedOn w:val="BodyText"/>
    <w:qFormat/>
    <w:rsid w:val="001E70A5"/>
    <w:pPr>
      <w:spacing w:after="60"/>
      <w:ind w:left="-2268"/>
    </w:pPr>
    <w:rPr>
      <w:b/>
    </w:rPr>
  </w:style>
  <w:style w:type="paragraph" w:customStyle="1" w:styleId="Heading1TOC">
    <w:name w:val="Heading1 TOC"/>
    <w:basedOn w:val="Normal"/>
    <w:qFormat/>
    <w:rsid w:val="001E70A5"/>
    <w:pPr>
      <w:spacing w:before="240" w:after="120"/>
    </w:pPr>
    <w:rPr>
      <w:rFonts w:ascii="Times New Roman" w:hAnsi="Times New Roman"/>
      <w:b/>
      <w:sz w:val="32"/>
    </w:rPr>
  </w:style>
  <w:style w:type="paragraph" w:customStyle="1" w:styleId="Heading2TOC">
    <w:name w:val="Heading2 TOC"/>
    <w:basedOn w:val="Normal"/>
    <w:qFormat/>
    <w:rsid w:val="001E70A5"/>
    <w:pPr>
      <w:spacing w:before="240" w:after="60"/>
    </w:pPr>
    <w:rPr>
      <w:rFonts w:ascii="Times New Roman" w:hAnsi="Times New Roman"/>
      <w:b/>
      <w:sz w:val="28"/>
    </w:rPr>
  </w:style>
  <w:style w:type="character" w:customStyle="1" w:styleId="Underline">
    <w:name w:val="Underline"/>
    <w:basedOn w:val="DefaultParagraphFont"/>
    <w:qFormat/>
    <w:rsid w:val="001E70A5"/>
    <w:rPr>
      <w:u w:val="single"/>
    </w:rPr>
  </w:style>
  <w:style w:type="character" w:customStyle="1" w:styleId="BoldandItalics">
    <w:name w:val="Bold and Italics"/>
    <w:qFormat/>
    <w:rsid w:val="001E70A5"/>
    <w:rPr>
      <w:b/>
      <w:i/>
      <w:u w:val="none"/>
    </w:rPr>
  </w:style>
  <w:style w:type="paragraph" w:styleId="BalloonText">
    <w:name w:val="Balloon Text"/>
    <w:basedOn w:val="Normal"/>
    <w:link w:val="BalloonTextChar"/>
    <w:rsid w:val="001E70A5"/>
    <w:rPr>
      <w:rFonts w:ascii="Tahoma" w:hAnsi="Tahoma" w:cs="Tahoma"/>
      <w:sz w:val="16"/>
      <w:szCs w:val="16"/>
    </w:rPr>
  </w:style>
  <w:style w:type="character" w:customStyle="1" w:styleId="BalloonTextChar">
    <w:name w:val="Balloon Text Char"/>
    <w:basedOn w:val="DefaultParagraphFont"/>
    <w:link w:val="BalloonText"/>
    <w:rsid w:val="001E70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70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70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70A5"/>
    <w:rPr>
      <w:b/>
      <w:color w:val="660033"/>
      <w:spacing w:val="0"/>
    </w:rPr>
  </w:style>
  <w:style w:type="paragraph" w:customStyle="1" w:styleId="Nameditemlist">
    <w:name w:val="Named item list"/>
    <w:basedOn w:val="BodyText"/>
    <w:qFormat/>
    <w:rsid w:val="001E70A5"/>
    <w:pPr>
      <w:tabs>
        <w:tab w:val="left" w:pos="2835"/>
      </w:tabs>
      <w:ind w:left="2835" w:hanging="2835"/>
    </w:pPr>
  </w:style>
  <w:style w:type="paragraph" w:customStyle="1" w:styleId="BodyTextnopadding">
    <w:name w:val="Body Text no padding"/>
    <w:basedOn w:val="BodyText"/>
    <w:qFormat/>
    <w:rsid w:val="001E70A5"/>
    <w:pPr>
      <w:spacing w:before="0" w:after="0"/>
    </w:pPr>
  </w:style>
  <w:style w:type="paragraph" w:customStyle="1" w:styleId="BodyTextBold">
    <w:name w:val="Body Text Bold"/>
    <w:basedOn w:val="BodyText"/>
    <w:qFormat/>
    <w:rsid w:val="001E70A5"/>
    <w:rPr>
      <w:b/>
    </w:rPr>
  </w:style>
  <w:style w:type="character" w:styleId="Hyperlink">
    <w:name w:val="Hyperlink"/>
    <w:basedOn w:val="DefaultParagraphFont"/>
    <w:uiPriority w:val="99"/>
    <w:unhideWhenUsed/>
    <w:rsid w:val="00EA1A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587</Words>
  <Characters>3616</Characters>
  <Application>Microsoft Office Word</Application>
  <DocSecurity>0</DocSecurity>
  <Lines>157</Lines>
  <Paragraphs>76</Paragraphs>
  <ScaleCrop>false</ScaleCrop>
  <Company>Author-it Software Corporation Ltd.</Company>
  <LinksUpToDate>false</LinksUpToDate>
  <CharactersWithSpaces>4127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MARO007 Contribute to monitoring and controlling a safe engine watch</dc:title>
  <dc:subject>Approved</dc:subject>
  <dc:creator>Industry Skills Australia</dc:creator>
  <cp:keywords>Release: 1</cp:keywords>
  <dc:description>Review Date: 12 April 2008</dc:description>
  <cp:lastModifiedBy>HSD_TPCMSd.prod</cp:lastModifiedBy>
  <cp:revision>3</cp:revision>
  <dcterms:created xsi:type="dcterms:W3CDTF">2024-11-22T08:00:00Z</dcterms:created>
  <dcterms:modified xsi:type="dcterms:W3CDTF">2024-11-22T08:00:00Z</dcterms:modified>
</cp:coreProperties>
</file>