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546D" w:rsidP="0013546D">
      <w:pPr>
        <w:pStyle w:val="Title"/>
      </w:pPr>
      <w:r>
        <w:fldChar w:fldCharType="begin"/>
      </w:r>
      <w:r>
        <w:instrText xml:space="preserve"> TITLE   \* MERGEFORMAT </w:instrText>
      </w:r>
      <w:r>
        <w:fldChar w:fldCharType="separate"/>
      </w:r>
      <w:r>
        <w:t>Assessment Requirements for MARO007 Contribute to monitoring and controlling a safe engine watch</w:t>
      </w:r>
      <w:r>
        <w:fldChar w:fldCharType="end"/>
      </w:r>
    </w:p>
    <w:p w:rsidR="0013546D" w:rsidP="0013546D">
      <w:pPr>
        <w:pStyle w:val="Version"/>
        <w:sectPr w:rsidSect="00305D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5DE2" w:rsidP="00305DE2">
      <w:pPr>
        <w:pStyle w:val="SuperHeading"/>
      </w:pPr>
      <w:r w:rsidRPr="00305DE2">
        <w:t>Assessment Requirements for MARO007 Contribute to monitoring and controlling a safe engine watch</w:t>
      </w:r>
    </w:p>
    <w:p w:rsidR="00000000" w:rsidRPr="00305DE2" w:rsidP="00305DE2">
      <w:pPr>
        <w:pStyle w:val="Heading1"/>
      </w:pPr>
      <w:bookmarkStart w:id="1" w:name="O_1088385"/>
      <w:bookmarkEnd w:id="1"/>
      <w:r w:rsidRPr="00305DE2">
        <w:t>Modification History</w:t>
      </w:r>
    </w:p>
    <w:tbl>
      <w:tblPr>
        <w:tblW w:w="9497" w:type="dxa"/>
        <w:tblLayout w:type="fixed"/>
        <w:tblCellMar>
          <w:left w:w="62" w:type="dxa"/>
          <w:right w:w="62" w:type="dxa"/>
        </w:tblCellMar>
        <w:tblLook w:val="0000"/>
      </w:tblPr>
      <w:tblGrid>
        <w:gridCol w:w="9497"/>
      </w:tblGrid>
      <w:tr w:rsidTr="00305D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5DE2" w:rsidP="00305DE2">
            <w:pPr>
              <w:pStyle w:val="BodyText"/>
            </w:pPr>
            <w:r w:rsidRPr="00305DE2">
              <w:t>Release 1. This is the first release of this unit of competency in the MAR Maritime Training Package.</w:t>
            </w:r>
          </w:p>
        </w:tc>
      </w:tr>
    </w:tbl>
    <w:p w:rsidR="00000000" w:rsidRPr="00305DE2" w:rsidP="00305DE2">
      <w:pPr>
        <w:pStyle w:val="NoPaddingFontSize1"/>
      </w:pPr>
    </w:p>
    <w:p w:rsidR="00000000" w:rsidRPr="00305DE2" w:rsidP="00305DE2">
      <w:pPr>
        <w:pStyle w:val="AllowPageBreak"/>
      </w:pPr>
    </w:p>
    <w:p w:rsidR="00000000" w:rsidRPr="00305DE2" w:rsidP="00305DE2">
      <w:pPr>
        <w:pStyle w:val="Heading1"/>
      </w:pPr>
      <w:bookmarkStart w:id="2" w:name="O_1088386"/>
      <w:bookmarkEnd w:id="2"/>
      <w:r w:rsidRPr="00305DE2">
        <w:t>Performance Evidence</w:t>
      </w:r>
    </w:p>
    <w:tbl>
      <w:tblPr>
        <w:tblW w:w="9497" w:type="dxa"/>
        <w:tblLayout w:type="fixed"/>
        <w:tblCellMar>
          <w:left w:w="62" w:type="dxa"/>
          <w:right w:w="62" w:type="dxa"/>
        </w:tblCellMar>
        <w:tblLook w:val="0000"/>
      </w:tblPr>
      <w:tblGrid>
        <w:gridCol w:w="9497"/>
      </w:tblGrid>
      <w:tr w:rsidTr="00305D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5DE2" w:rsidP="00305DE2">
            <w:pPr>
              <w:pStyle w:val="BodyText"/>
            </w:pPr>
            <w:r w:rsidRPr="00305DE2">
              <w:t>Evidence required to demonstrate competence in this unit must be relevant to and satisfy all of the requirements of the elements and performance criteria on at least one occasion and include:</w:t>
            </w:r>
          </w:p>
          <w:p w:rsidR="00000000" w:rsidRPr="00305DE2" w:rsidP="00305DE2">
            <w:pPr>
              <w:pStyle w:val="ListBullet"/>
            </w:pPr>
            <w:r w:rsidRPr="00305DE2">
              <w:t>applying relevant work health and</w:t>
            </w:r>
            <w:r w:rsidRPr="00305DE2">
              <w:t xml:space="preserve"> safety (WHS)/occupational health and safety (OHS) requirements and work practices</w:t>
            </w:r>
          </w:p>
          <w:p w:rsidR="00000000" w:rsidRPr="00305DE2" w:rsidP="00305DE2">
            <w:pPr>
              <w:pStyle w:val="ListBullet"/>
            </w:pPr>
            <w:r w:rsidRPr="00305DE2">
              <w:t>communicating clearly and concisely, and acknowledging orders in a seamanlike manner</w:t>
            </w:r>
          </w:p>
          <w:p w:rsidR="00000000" w:rsidRPr="00305DE2" w:rsidP="00305DE2">
            <w:pPr>
              <w:pStyle w:val="ListBullet"/>
            </w:pPr>
            <w:r w:rsidRPr="00305DE2">
              <w:t>communicating effectively with the officer in charge of the engineering watch about matt</w:t>
            </w:r>
            <w:r w:rsidRPr="00305DE2">
              <w:t>ers relevant to watchkeeping duties</w:t>
            </w:r>
          </w:p>
          <w:p w:rsidR="00000000" w:rsidRPr="00305DE2" w:rsidP="00305DE2">
            <w:pPr>
              <w:pStyle w:val="ListBullet"/>
            </w:pPr>
            <w:r w:rsidRPr="00305DE2">
              <w:t>conforming to accepted practices, principles and procedures in the maintenance, handover and relief of the watch</w:t>
            </w:r>
          </w:p>
          <w:p w:rsidR="00000000" w:rsidRPr="00305DE2" w:rsidP="00305DE2">
            <w:pPr>
              <w:pStyle w:val="ListBullet"/>
            </w:pPr>
            <w:r w:rsidRPr="00305DE2">
              <w:t>conforming to established procedures and practices in taking initial action in the event of an emergency or</w:t>
            </w:r>
            <w:r w:rsidRPr="00305DE2">
              <w:t xml:space="preserve"> abnormal situation</w:t>
            </w:r>
          </w:p>
          <w:p w:rsidR="00000000" w:rsidRPr="00305DE2" w:rsidP="00305DE2">
            <w:pPr>
              <w:pStyle w:val="ListBullet"/>
            </w:pPr>
            <w:r w:rsidRPr="00305DE2">
              <w:t>maintaining the integrity of emergency alarm systems at all times</w:t>
            </w:r>
          </w:p>
          <w:p w:rsidR="00000000" w:rsidRPr="00305DE2" w:rsidP="00305DE2">
            <w:pPr>
              <w:pStyle w:val="ListBullet"/>
            </w:pPr>
            <w:r w:rsidRPr="00305DE2">
              <w:t>monitoring and anticipating hazards and risks that may arise during engine watchkeeping duties</w:t>
            </w:r>
          </w:p>
          <w:p w:rsidR="00000000" w:rsidRPr="00305DE2" w:rsidP="00305DE2">
            <w:pPr>
              <w:pStyle w:val="ListBullet"/>
            </w:pPr>
            <w:r w:rsidRPr="00305DE2">
              <w:t>monitoring engine room machinery and equipment, including:</w:t>
            </w:r>
          </w:p>
          <w:p w:rsidR="00000000" w:rsidRPr="00305DE2" w:rsidP="00305DE2">
            <w:pPr>
              <w:pStyle w:val="ListBullet2"/>
            </w:pPr>
            <w:r w:rsidRPr="00305DE2">
              <w:t>boiler water levels and steam pressure</w:t>
            </w:r>
          </w:p>
          <w:p w:rsidR="00000000" w:rsidRPr="00305DE2" w:rsidP="00305DE2">
            <w:pPr>
              <w:pStyle w:val="ListBullet2"/>
            </w:pPr>
            <w:r w:rsidRPr="00305DE2">
              <w:t>temperatures</w:t>
            </w:r>
          </w:p>
          <w:p w:rsidR="00000000" w:rsidRPr="00305DE2" w:rsidP="00305DE2">
            <w:pPr>
              <w:pStyle w:val="ListBullet2"/>
            </w:pPr>
            <w:r w:rsidRPr="00305DE2">
              <w:t>oil levels</w:t>
            </w:r>
          </w:p>
          <w:p w:rsidR="00000000" w:rsidRPr="00305DE2" w:rsidP="00305DE2">
            <w:pPr>
              <w:pStyle w:val="ListBullet"/>
            </w:pPr>
            <w:r w:rsidRPr="00305DE2">
              <w:t>monitoring propulsion and auxiliary machinery according to instructions during watchkeeping duties</w:t>
            </w:r>
          </w:p>
          <w:p w:rsidR="00000000" w:rsidRPr="00305DE2" w:rsidP="00305DE2">
            <w:pPr>
              <w:pStyle w:val="ListBullet"/>
            </w:pPr>
            <w:r w:rsidRPr="00305DE2">
              <w:t>performing basic engine watchkeeping duties under the direction of the officer in charge of t</w:t>
            </w:r>
            <w:r w:rsidRPr="00305DE2">
              <w:t>he engineering watch on a vessel moored, at anchor or under way</w:t>
            </w:r>
          </w:p>
          <w:p w:rsidR="00000000" w:rsidRPr="00305DE2" w:rsidP="00305DE2">
            <w:pPr>
              <w:pStyle w:val="ListBullet"/>
            </w:pPr>
            <w:r w:rsidRPr="00305DE2">
              <w:t>recognising potential hazards, assessing risks and reporting them to the officer of the watch</w:t>
            </w:r>
          </w:p>
          <w:p w:rsidR="00000000" w:rsidRPr="00305DE2" w:rsidP="00305DE2">
            <w:pPr>
              <w:pStyle w:val="ListBullet"/>
            </w:pPr>
            <w:r w:rsidRPr="00305DE2">
              <w:t>responding to engine orders given by the officer in charge of the engineering watch</w:t>
            </w:r>
          </w:p>
          <w:p w:rsidR="00000000" w:rsidRPr="00305DE2" w:rsidP="00305DE2">
            <w:pPr>
              <w:pStyle w:val="ListBullet"/>
            </w:pPr>
            <w:r w:rsidRPr="00305DE2">
              <w:t>seeking advice</w:t>
            </w:r>
            <w:r w:rsidRPr="00305DE2">
              <w:t>/clarification from the officer in charge of the engineering watch where watch information or instructions are not clearly understood</w:t>
            </w:r>
          </w:p>
          <w:p w:rsidR="00000000" w:rsidRPr="00305DE2" w:rsidP="00305DE2">
            <w:pPr>
              <w:pStyle w:val="ListBullet"/>
            </w:pPr>
            <w:r w:rsidRPr="00305DE2">
              <w:t>using internal communications and alarm systems.</w:t>
            </w:r>
          </w:p>
        </w:tc>
      </w:tr>
    </w:tbl>
    <w:p w:rsidR="00000000" w:rsidRPr="00305DE2" w:rsidP="00305DE2">
      <w:pPr>
        <w:pStyle w:val="NoPaddingFontSize1"/>
      </w:pPr>
    </w:p>
    <w:p w:rsidR="00000000" w:rsidRPr="00305DE2" w:rsidP="00305DE2">
      <w:pPr>
        <w:pStyle w:val="AllowPageBreak"/>
      </w:pPr>
    </w:p>
    <w:p w:rsidR="00000000" w:rsidRPr="00305DE2" w:rsidP="00305DE2">
      <w:pPr>
        <w:pStyle w:val="Heading1"/>
      </w:pPr>
      <w:bookmarkStart w:id="3" w:name="O_1088387"/>
      <w:bookmarkEnd w:id="3"/>
      <w:r w:rsidRPr="00305DE2">
        <w:t>Knowledge Evidence</w:t>
      </w:r>
    </w:p>
    <w:tbl>
      <w:tblPr>
        <w:tblW w:w="9497" w:type="dxa"/>
        <w:tblLayout w:type="fixed"/>
        <w:tblCellMar>
          <w:left w:w="62" w:type="dxa"/>
          <w:right w:w="62" w:type="dxa"/>
        </w:tblCellMar>
        <w:tblLook w:val="0000"/>
      </w:tblPr>
      <w:tblGrid>
        <w:gridCol w:w="9497"/>
      </w:tblGrid>
      <w:tr w:rsidTr="00305D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5DE2" w:rsidP="00305DE2">
            <w:pPr>
              <w:pStyle w:val="BodyText"/>
            </w:pPr>
            <w:r w:rsidRPr="00305DE2">
              <w:t xml:space="preserve">Evidence required to demonstrate competence in this unit must be relevant to and satisfy all of </w:t>
            </w:r>
            <w:r w:rsidRPr="00305DE2">
              <w:t>the requirements of the elements and performance criteria and include knowledge of:</w:t>
            </w:r>
          </w:p>
          <w:p w:rsidR="00000000" w:rsidRPr="00305DE2" w:rsidP="00305DE2">
            <w:pPr>
              <w:pStyle w:val="ListBullet"/>
            </w:pPr>
            <w:r w:rsidRPr="00305DE2">
              <w:t>alarms associated with engine room machinery and their meaning</w:t>
            </w:r>
          </w:p>
          <w:p w:rsidR="00000000" w:rsidRPr="00305DE2" w:rsidP="00305DE2">
            <w:pPr>
              <w:pStyle w:val="ListBullet"/>
            </w:pPr>
            <w:r w:rsidRPr="00305DE2">
              <w:t xml:space="preserve">appropriate </w:t>
            </w:r>
            <w:r w:rsidRPr="00305DE2">
              <w:t>selection and use of personal protective equipment (PPE)</w:t>
            </w:r>
          </w:p>
          <w:p w:rsidR="00000000" w:rsidRPr="00305DE2" w:rsidP="00305DE2">
            <w:pPr>
              <w:pStyle w:val="ListBullet"/>
            </w:pPr>
            <w:r w:rsidRPr="00305DE2">
              <w:t>correct use of monitoring equipment used in the engine room</w:t>
            </w:r>
          </w:p>
          <w:p w:rsidR="00000000" w:rsidRPr="00305DE2" w:rsidP="00305DE2">
            <w:pPr>
              <w:pStyle w:val="ListBullet"/>
            </w:pPr>
            <w:r w:rsidRPr="00305DE2">
              <w:t>emergency duties and alarm signals and response to emergency situations, including:</w:t>
            </w:r>
          </w:p>
          <w:p w:rsidR="00000000" w:rsidRPr="00305DE2" w:rsidP="00305DE2">
            <w:pPr>
              <w:pStyle w:val="ListBullet2"/>
            </w:pPr>
            <w:r w:rsidRPr="00305DE2">
              <w:t>crankcase and gearbox explosions</w:t>
            </w:r>
          </w:p>
          <w:p w:rsidR="00000000" w:rsidRPr="00305DE2" w:rsidP="00305DE2">
            <w:pPr>
              <w:pStyle w:val="ListBullet2"/>
            </w:pPr>
            <w:r w:rsidRPr="00305DE2">
              <w:t>fire, including engine room scavenge fires</w:t>
            </w:r>
          </w:p>
          <w:p w:rsidR="00000000" w:rsidRPr="00305DE2" w:rsidP="00305DE2">
            <w:pPr>
              <w:pStyle w:val="ListBullet2"/>
            </w:pPr>
            <w:r w:rsidRPr="00305DE2">
              <w:t>gearbox failure</w:t>
            </w:r>
          </w:p>
          <w:p w:rsidR="00000000" w:rsidRPr="00305DE2" w:rsidP="00305DE2">
            <w:pPr>
              <w:pStyle w:val="ListBullet2"/>
            </w:pPr>
            <w:r w:rsidRPr="00305DE2">
              <w:t>generator failure</w:t>
            </w:r>
          </w:p>
          <w:p w:rsidR="00000000" w:rsidRPr="00305DE2" w:rsidP="00305DE2">
            <w:pPr>
              <w:pStyle w:val="ListBullet2"/>
            </w:pPr>
            <w:r w:rsidRPr="00305DE2">
              <w:t>loss of engine cooling water</w:t>
            </w:r>
          </w:p>
          <w:p w:rsidR="00000000" w:rsidRPr="00305DE2" w:rsidP="00305DE2">
            <w:pPr>
              <w:pStyle w:val="ListBullet2"/>
            </w:pPr>
            <w:r w:rsidRPr="00305DE2">
              <w:t>starting air line</w:t>
            </w:r>
          </w:p>
          <w:p w:rsidR="00000000" w:rsidRPr="00305DE2" w:rsidP="00305DE2">
            <w:pPr>
              <w:pStyle w:val="ListBullet"/>
            </w:pPr>
            <w:r w:rsidRPr="00305DE2">
              <w:t>engine room alarm systems and the difference between the various alarms, including fire-extinguisher gas alarms</w:t>
            </w:r>
          </w:p>
          <w:p w:rsidR="00000000" w:rsidRPr="00305DE2" w:rsidP="00305DE2">
            <w:pPr>
              <w:pStyle w:val="ListBullet"/>
            </w:pPr>
            <w:r w:rsidRPr="00305DE2">
              <w:t>engine room emergen</w:t>
            </w:r>
            <w:r w:rsidRPr="00305DE2">
              <w:t>cy situations, and appropriate actions and solutions</w:t>
            </w:r>
          </w:p>
          <w:p w:rsidR="00000000" w:rsidRPr="00305DE2" w:rsidP="00305DE2">
            <w:pPr>
              <w:pStyle w:val="ListBullet"/>
            </w:pPr>
            <w:r w:rsidRPr="00305DE2">
              <w:t>escape routes from machinery spaces</w:t>
            </w:r>
          </w:p>
          <w:p w:rsidR="00000000" w:rsidRPr="00305DE2" w:rsidP="00305DE2">
            <w:pPr>
              <w:pStyle w:val="ListBullet"/>
            </w:pPr>
            <w:r w:rsidRPr="00305DE2">
              <w:t>function and operation of main propulsion and auxiliary machinery</w:t>
            </w:r>
          </w:p>
          <w:p w:rsidR="00000000" w:rsidRPr="00305DE2" w:rsidP="00305DE2">
            <w:pPr>
              <w:pStyle w:val="ListBullet"/>
            </w:pPr>
            <w:r w:rsidRPr="00305DE2">
              <w:t>information required to maintain a safe engine watch</w:t>
            </w:r>
          </w:p>
          <w:p w:rsidR="00000000" w:rsidRPr="00305DE2" w:rsidP="00305DE2">
            <w:pPr>
              <w:pStyle w:val="ListBullet"/>
            </w:pPr>
            <w:r w:rsidRPr="00305DE2">
              <w:t>location and use of firefighting equipment</w:t>
            </w:r>
          </w:p>
          <w:p w:rsidR="00000000" w:rsidRPr="00305DE2" w:rsidP="00305DE2">
            <w:pPr>
              <w:pStyle w:val="ListBullet"/>
            </w:pPr>
            <w:r w:rsidRPr="00305DE2">
              <w:t>monit</w:t>
            </w:r>
            <w:r w:rsidRPr="00305DE2">
              <w:t>oring equipment used in the engine room</w:t>
            </w:r>
          </w:p>
          <w:p w:rsidR="00000000" w:rsidRPr="00305DE2" w:rsidP="00305DE2">
            <w:pPr>
              <w:pStyle w:val="ListBullet"/>
            </w:pPr>
            <w:r w:rsidRPr="00305DE2">
              <w:t>orders as they relate to watchkeeping provided by the officer in charge of the engineering watch</w:t>
            </w:r>
          </w:p>
          <w:p w:rsidR="00000000" w:rsidRPr="00305DE2" w:rsidP="00305DE2">
            <w:pPr>
              <w:pStyle w:val="ListBullet"/>
            </w:pPr>
            <w:r w:rsidRPr="00305DE2">
              <w:t>procedures for the relief, maintenance and handover of a watch</w:t>
            </w:r>
          </w:p>
          <w:p w:rsidR="00000000" w:rsidRPr="00305DE2" w:rsidP="00305DE2">
            <w:pPr>
              <w:pStyle w:val="ListBullet"/>
            </w:pPr>
            <w:r w:rsidRPr="00305DE2">
              <w:t>relevant WHS/OHS requirements, work practices and pollution control regulation and policies, including shipboard oil pollution emergency plan (SOPEP)</w:t>
            </w:r>
          </w:p>
          <w:p w:rsidR="00000000" w:rsidRPr="00305DE2" w:rsidP="00305DE2">
            <w:pPr>
              <w:pStyle w:val="ListBullet"/>
            </w:pPr>
            <w:r w:rsidRPr="00305DE2">
              <w:t>requirements for the safe operation of boilers</w:t>
            </w:r>
          </w:p>
          <w:p w:rsidR="00000000" w:rsidRPr="00305DE2" w:rsidP="00305DE2">
            <w:pPr>
              <w:pStyle w:val="ListBullet"/>
            </w:pPr>
            <w:r w:rsidRPr="00305DE2">
              <w:t>shipboard terms and definitions</w:t>
            </w:r>
          </w:p>
          <w:p w:rsidR="00000000" w:rsidRPr="00305DE2" w:rsidP="00305DE2">
            <w:pPr>
              <w:pStyle w:val="ListBullet"/>
            </w:pPr>
            <w:r w:rsidRPr="00305DE2">
              <w:t>terms used in machinery spa</w:t>
            </w:r>
            <w:r w:rsidRPr="00305DE2">
              <w:t>ces, and names of machinery and equipment.</w:t>
            </w:r>
          </w:p>
        </w:tc>
      </w:tr>
    </w:tbl>
    <w:p w:rsidR="00000000" w:rsidRPr="00305DE2" w:rsidP="00305DE2">
      <w:pPr>
        <w:pStyle w:val="NoPaddingFontSize1"/>
      </w:pPr>
    </w:p>
    <w:p w:rsidR="00000000" w:rsidRPr="00305DE2" w:rsidP="00305DE2">
      <w:pPr>
        <w:pStyle w:val="AllowPageBreak"/>
      </w:pPr>
    </w:p>
    <w:p w:rsidR="00000000" w:rsidRPr="00305DE2" w:rsidP="00305DE2">
      <w:pPr>
        <w:pStyle w:val="Heading1"/>
      </w:pPr>
      <w:bookmarkStart w:id="4" w:name="O_1088388"/>
      <w:bookmarkEnd w:id="4"/>
      <w:r w:rsidRPr="00305DE2">
        <w:t>Assessment Conditions</w:t>
      </w:r>
    </w:p>
    <w:tbl>
      <w:tblPr>
        <w:tblW w:w="9497" w:type="dxa"/>
        <w:tblLayout w:type="fixed"/>
        <w:tblCellMar>
          <w:left w:w="62" w:type="dxa"/>
          <w:right w:w="62" w:type="dxa"/>
        </w:tblCellMar>
        <w:tblLook w:val="0000"/>
      </w:tblPr>
      <w:tblGrid>
        <w:gridCol w:w="9497"/>
      </w:tblGrid>
      <w:tr w:rsidTr="00305D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5DE2" w:rsidP="00305DE2">
            <w:pPr>
              <w:pStyle w:val="BodyText"/>
            </w:pPr>
            <w:r w:rsidRPr="00305DE2">
              <w:t xml:space="preserve">Assessors must hold credentials specified within the Standards for Registered Training Organisations current at the time of assessment. </w:t>
            </w:r>
          </w:p>
          <w:p w:rsidR="00000000" w:rsidRPr="00305DE2" w:rsidP="00305DE2">
            <w:pPr>
              <w:pStyle w:val="BodyText"/>
            </w:pPr>
            <w:r w:rsidRPr="00305DE2">
              <w:t>Assessment must satisfy the Princ</w:t>
            </w:r>
            <w:r w:rsidRPr="00305DE2">
              <w:t>iples of Assessment and Rules of Evidence and all regulatory requirements included within the Standards for Registered Training Organisations current at the time of assessment.</w:t>
            </w:r>
          </w:p>
          <w:p w:rsidR="00000000" w:rsidRPr="00305DE2" w:rsidP="00305DE2">
            <w:pPr>
              <w:pStyle w:val="BodyText"/>
            </w:pPr>
            <w:r w:rsidRPr="00305DE2">
              <w:t>Assessment processes and techniques must be appropriate to the language, litera</w:t>
            </w:r>
            <w:r w:rsidRPr="00305DE2">
              <w:t>cy and numeracy requirements of the work being performed and the needs of the candidate.</w:t>
            </w:r>
          </w:p>
          <w:p w:rsidR="00000000" w:rsidRPr="00305DE2" w:rsidP="00305DE2">
            <w:pPr>
              <w:pStyle w:val="BodyText"/>
            </w:pPr>
            <w:r w:rsidRPr="00305DE2">
              <w:t xml:space="preserve">Practical assessment must occur in a workplace, or realistic simulated workplace, under the normal range of workplace conditions. </w:t>
            </w:r>
          </w:p>
          <w:p w:rsidR="00000000" w:rsidRPr="00305DE2" w:rsidP="00305DE2">
            <w:pPr>
              <w:pStyle w:val="BodyText"/>
            </w:pPr>
            <w:r w:rsidRPr="00305DE2">
              <w:t>Simulations and scenarios may be use</w:t>
            </w:r>
            <w:r w:rsidRPr="00305DE2">
              <w:t xml:space="preserve">d where situations cannot be provided in the workplace or may occur only rarely, in particular for situations relating to emergency procedures and adverse weather conditions where assessment would be unsafe, impractical or may lead to environmental </w:t>
            </w:r>
            <w:r w:rsidRPr="00305DE2">
              <w:t>damage.</w:t>
            </w:r>
          </w:p>
          <w:p w:rsidR="00000000" w:rsidRPr="00305DE2" w:rsidP="00305DE2">
            <w:pPr>
              <w:pStyle w:val="BodyText"/>
            </w:pPr>
            <w:r w:rsidRPr="00305DE2">
              <w:t>Resources for assessment must include access to:</w:t>
            </w:r>
          </w:p>
          <w:p w:rsidR="00000000" w:rsidRPr="00305DE2" w:rsidP="00305DE2">
            <w:pPr>
              <w:pStyle w:val="ListBullet2"/>
            </w:pPr>
            <w:r w:rsidRPr="00305DE2">
              <w:t>applicable documentation, such as legislation, regulations, codes of practice, workplace procedures and operational manuals</w:t>
            </w:r>
          </w:p>
          <w:p w:rsidR="00000000" w:rsidRPr="00305DE2" w:rsidP="00305DE2">
            <w:pPr>
              <w:pStyle w:val="ListBullet2"/>
            </w:pPr>
            <w:r w:rsidRPr="00305DE2">
              <w:t>tools, equipment, machinery, materials and relevant personal protective equipment (PPE) currently used in industry.</w:t>
            </w:r>
          </w:p>
        </w:tc>
      </w:tr>
    </w:tbl>
    <w:p w:rsidR="00000000" w:rsidRPr="00305DE2" w:rsidP="00305DE2">
      <w:pPr>
        <w:pStyle w:val="NoPaddingFontSize1"/>
      </w:pPr>
    </w:p>
    <w:p w:rsidR="00000000" w:rsidRPr="00305DE2" w:rsidP="00305DE2">
      <w:pPr>
        <w:pStyle w:val="AllowPageBreak"/>
      </w:pPr>
    </w:p>
    <w:p w:rsidR="00000000" w:rsidRPr="00305DE2" w:rsidP="00305DE2">
      <w:pPr>
        <w:pStyle w:val="Heading1"/>
      </w:pPr>
      <w:bookmarkStart w:id="5" w:name="O_1088391"/>
      <w:bookmarkEnd w:id="5"/>
      <w:r w:rsidRPr="00305DE2">
        <w:t>Links</w:t>
      </w:r>
    </w:p>
    <w:p w:rsidR="00000000" w:rsidRPr="00305DE2" w:rsidP="0013546D">
      <w:pPr>
        <w:pStyle w:val="BodyText"/>
      </w:pPr>
      <w:r w:rsidRPr="00305DE2">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FD2444">
        <w:rPr>
          <w:rStyle w:val="Hyperlink"/>
        </w:rPr>
        <w:t>https://vetnet.gov.au/Pages/TrainingDocs.aspx?q=772efb7b-4cce-47fe-9bbd-ee3b1d1eb4c2</w:t>
      </w:r>
      <w:r>
        <w:fldChar w:fldCharType="end"/>
      </w:r>
    </w:p>
    <w:p w:rsidR="00000000" w:rsidRPr="00305DE2" w:rsidP="00305DE2"/>
    <w:sectPr w:rsidSect="00305DE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D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DE2" w:rsidRPr="0013546D" w:rsidP="001354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D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46D" w:rsidP="00305D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546D" w:rsidP="00305DE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13546D" w:rsidP="00305D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D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4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5DE2" w:rsidRPr="0013546D" w:rsidP="001354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D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46D" w:rsidRPr="002D2AF8" w:rsidP="00305DE2">
    <w:pPr>
      <w:pStyle w:val="Header"/>
      <w:framePr w:wrap="around"/>
    </w:pPr>
    <w:r>
      <w:fldChar w:fldCharType="begin"/>
    </w:r>
    <w:r>
      <w:instrText xml:space="preserve"> TITLE   \* MERGEFORMAT </w:instrText>
    </w:r>
    <w:r>
      <w:fldChar w:fldCharType="separate"/>
    </w:r>
    <w:r>
      <w:t>Assessment Requirements for MARO007 Contribute to monitoring and controlling a safe engine watch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13546D" w:rsidP="00305D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8263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487B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702D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5D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5DE2"/>
    <w:pPr>
      <w:spacing w:before="360" w:after="60"/>
      <w:outlineLvl w:val="0"/>
    </w:pPr>
    <w:rPr>
      <w:sz w:val="32"/>
    </w:rPr>
  </w:style>
  <w:style w:type="paragraph" w:styleId="Heading2">
    <w:name w:val="heading 2"/>
    <w:basedOn w:val="HeadingBase"/>
    <w:next w:val="BodyText"/>
    <w:link w:val="Heading2Char"/>
    <w:qFormat/>
    <w:rsid w:val="00305DE2"/>
    <w:pPr>
      <w:keepLines/>
      <w:spacing w:before="240" w:after="120"/>
      <w:outlineLvl w:val="1"/>
    </w:pPr>
    <w:rPr>
      <w:sz w:val="28"/>
      <w:szCs w:val="40"/>
    </w:rPr>
  </w:style>
  <w:style w:type="paragraph" w:styleId="Heading3">
    <w:name w:val="heading 3"/>
    <w:basedOn w:val="HeadingBase"/>
    <w:next w:val="BodyText"/>
    <w:link w:val="Heading3Char"/>
    <w:qFormat/>
    <w:rsid w:val="00305DE2"/>
    <w:pPr>
      <w:spacing w:before="180" w:after="120"/>
      <w:outlineLvl w:val="2"/>
    </w:pPr>
    <w:rPr>
      <w:spacing w:val="-10"/>
      <w:kern w:val="32"/>
    </w:rPr>
  </w:style>
  <w:style w:type="paragraph" w:styleId="Heading4">
    <w:name w:val="heading 4"/>
    <w:basedOn w:val="HeadingBase"/>
    <w:next w:val="BodyText"/>
    <w:link w:val="Heading4Char"/>
    <w:qFormat/>
    <w:rsid w:val="00305DE2"/>
    <w:pPr>
      <w:spacing w:before="160" w:after="120"/>
      <w:outlineLvl w:val="3"/>
    </w:pPr>
    <w:rPr>
      <w:sz w:val="22"/>
    </w:rPr>
  </w:style>
  <w:style w:type="paragraph" w:styleId="Heading5">
    <w:name w:val="heading 5"/>
    <w:basedOn w:val="HeadingBase"/>
    <w:next w:val="Normal"/>
    <w:link w:val="Heading5Char"/>
    <w:qFormat/>
    <w:rsid w:val="00305DE2"/>
    <w:pPr>
      <w:spacing w:before="80"/>
      <w:outlineLvl w:val="4"/>
    </w:pPr>
    <w:rPr>
      <w:color w:val="918585"/>
      <w:sz w:val="20"/>
    </w:rPr>
  </w:style>
  <w:style w:type="paragraph" w:styleId="Heading6">
    <w:name w:val="heading 6"/>
    <w:basedOn w:val="HeadingBase"/>
    <w:next w:val="Normal"/>
    <w:link w:val="Heading6Char"/>
    <w:qFormat/>
    <w:rsid w:val="00305DE2"/>
    <w:pPr>
      <w:spacing w:before="60"/>
      <w:outlineLvl w:val="5"/>
    </w:pPr>
    <w:rPr>
      <w:color w:val="918585"/>
      <w:sz w:val="20"/>
    </w:rPr>
  </w:style>
  <w:style w:type="paragraph" w:styleId="Heading7">
    <w:name w:val="heading 7"/>
    <w:basedOn w:val="Normal"/>
    <w:next w:val="Normal"/>
    <w:link w:val="Heading7Char"/>
    <w:qFormat/>
    <w:rsid w:val="00305DE2"/>
    <w:pPr>
      <w:ind w:left="720"/>
      <w:outlineLvl w:val="6"/>
    </w:pPr>
    <w:rPr>
      <w:i/>
    </w:rPr>
  </w:style>
  <w:style w:type="paragraph" w:styleId="Heading8">
    <w:name w:val="heading 8"/>
    <w:basedOn w:val="Normal"/>
    <w:next w:val="Normal"/>
    <w:link w:val="Heading8Char"/>
    <w:qFormat/>
    <w:rsid w:val="00305DE2"/>
    <w:pPr>
      <w:ind w:left="720"/>
      <w:outlineLvl w:val="7"/>
    </w:pPr>
    <w:rPr>
      <w:i/>
    </w:rPr>
  </w:style>
  <w:style w:type="paragraph" w:styleId="Heading9">
    <w:name w:val="heading 9"/>
    <w:basedOn w:val="Normal"/>
    <w:next w:val="Normal"/>
    <w:link w:val="Heading9Char"/>
    <w:qFormat/>
    <w:rsid w:val="00305DE2"/>
    <w:pPr>
      <w:ind w:left="720"/>
      <w:outlineLvl w:val="8"/>
    </w:pPr>
    <w:rPr>
      <w:i/>
    </w:rPr>
  </w:style>
  <w:style w:type="character" w:default="1" w:styleId="DefaultParagraphFont">
    <w:name w:val="Default Paragraph Font"/>
    <w:uiPriority w:val="1"/>
    <w:unhideWhenUsed/>
    <w:rsid w:val="00305D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5DE2"/>
  </w:style>
  <w:style w:type="character" w:customStyle="1" w:styleId="Heading1Char">
    <w:name w:val="Heading 1 Char"/>
    <w:basedOn w:val="DefaultParagraphFont"/>
    <w:link w:val="Heading1"/>
    <w:rsid w:val="00305DE2"/>
    <w:rPr>
      <w:rFonts w:ascii="Times New Roman" w:eastAsia="Times New Roman" w:hAnsi="Times New Roman" w:cs="Times New Roman"/>
      <w:b/>
      <w:sz w:val="32"/>
      <w:szCs w:val="20"/>
      <w:lang w:eastAsia="en-US"/>
    </w:rPr>
  </w:style>
  <w:style w:type="paragraph" w:styleId="BodyText">
    <w:name w:val="Body Text"/>
    <w:basedOn w:val="Normal"/>
    <w:link w:val="BodyTextChar"/>
    <w:rsid w:val="00305D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5DE2"/>
    <w:rPr>
      <w:rFonts w:ascii="Times New Roman" w:eastAsia="Times New Roman" w:hAnsi="Times New Roman" w:cs="Times New Roman"/>
      <w:sz w:val="24"/>
      <w:lang w:eastAsia="en-US"/>
    </w:rPr>
  </w:style>
  <w:style w:type="paragraph" w:styleId="ListBullet">
    <w:name w:val="List Bullet"/>
    <w:basedOn w:val="List"/>
    <w:rsid w:val="00305DE2"/>
    <w:pPr>
      <w:numPr>
        <w:numId w:val="12"/>
      </w:numPr>
      <w:tabs>
        <w:tab w:val="clear" w:pos="340"/>
      </w:tabs>
      <w:spacing w:before="40" w:after="40"/>
    </w:pPr>
  </w:style>
  <w:style w:type="paragraph" w:styleId="ListBullet2">
    <w:name w:val="List Bullet 2"/>
    <w:basedOn w:val="List2"/>
    <w:rsid w:val="00305DE2"/>
    <w:pPr>
      <w:numPr>
        <w:numId w:val="13"/>
      </w:numPr>
      <w:tabs>
        <w:tab w:val="clear" w:pos="680"/>
      </w:tabs>
    </w:pPr>
  </w:style>
  <w:style w:type="paragraph" w:customStyle="1" w:styleId="SuperHeading">
    <w:name w:val="SuperHeading"/>
    <w:basedOn w:val="Normal"/>
    <w:rsid w:val="00305DE2"/>
    <w:pPr>
      <w:spacing w:before="240" w:after="120"/>
      <w:outlineLvl w:val="0"/>
    </w:pPr>
    <w:rPr>
      <w:rFonts w:ascii="Times New Roman" w:hAnsi="Times New Roman"/>
      <w:b/>
      <w:sz w:val="32"/>
    </w:rPr>
  </w:style>
  <w:style w:type="paragraph" w:customStyle="1" w:styleId="AllowPageBreak">
    <w:name w:val="AllowPageBreak"/>
    <w:rsid w:val="00305DE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05D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5D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5D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5D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5D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5D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5D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5DE2"/>
    <w:rPr>
      <w:rFonts w:ascii="Courier New" w:eastAsia="Times New Roman" w:hAnsi="Courier New" w:cs="Times New Roman"/>
      <w:i/>
      <w:szCs w:val="20"/>
      <w:lang w:eastAsia="en-US"/>
    </w:rPr>
  </w:style>
  <w:style w:type="paragraph" w:customStyle="1" w:styleId="HeadingBase">
    <w:name w:val="Heading Base"/>
    <w:rsid w:val="00305D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5DE2"/>
    <w:pPr>
      <w:tabs>
        <w:tab w:val="right" w:leader="dot" w:pos="9072"/>
      </w:tabs>
      <w:ind w:left="567"/>
    </w:pPr>
    <w:rPr>
      <w:szCs w:val="22"/>
    </w:rPr>
  </w:style>
  <w:style w:type="paragraph" w:customStyle="1" w:styleId="TOCBase">
    <w:name w:val="TOC Base"/>
    <w:rsid w:val="00305D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5DE2"/>
    <w:pPr>
      <w:tabs>
        <w:tab w:val="right" w:leader="dot" w:pos="9072"/>
      </w:tabs>
      <w:spacing w:before="40" w:after="40"/>
      <w:ind w:left="284"/>
    </w:pPr>
    <w:rPr>
      <w:rFonts w:ascii="Times New Roman" w:hAnsi="Times New Roman"/>
    </w:rPr>
  </w:style>
  <w:style w:type="paragraph" w:styleId="TOC1">
    <w:name w:val="toc 1"/>
    <w:basedOn w:val="TOCBase"/>
    <w:next w:val="Normal"/>
    <w:rsid w:val="00305D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5D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5DE2"/>
    <w:rPr>
      <w:rFonts w:ascii="Times New Roman" w:eastAsia="Times New Roman" w:hAnsi="Times New Roman" w:cs="Times New Roman"/>
      <w:sz w:val="16"/>
      <w:lang w:eastAsia="en-US"/>
    </w:rPr>
  </w:style>
  <w:style w:type="paragraph" w:styleId="Title">
    <w:name w:val="Title"/>
    <w:basedOn w:val="HeadingBase"/>
    <w:link w:val="TitleChar"/>
    <w:qFormat/>
    <w:rsid w:val="00305DE2"/>
    <w:pPr>
      <w:spacing w:before="5040"/>
      <w:jc w:val="center"/>
    </w:pPr>
    <w:rPr>
      <w:sz w:val="48"/>
      <w:szCs w:val="72"/>
      <w:lang w:val="en-US"/>
    </w:rPr>
  </w:style>
  <w:style w:type="character" w:customStyle="1" w:styleId="TitleChar">
    <w:name w:val="Title Char"/>
    <w:basedOn w:val="DefaultParagraphFont"/>
    <w:link w:val="Title"/>
    <w:rsid w:val="00305D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5DE2"/>
    <w:pPr>
      <w:tabs>
        <w:tab w:val="left" w:pos="3600"/>
        <w:tab w:val="left" w:pos="3958"/>
      </w:tabs>
    </w:pPr>
  </w:style>
  <w:style w:type="paragraph" w:styleId="List">
    <w:name w:val="List"/>
    <w:basedOn w:val="BodyText"/>
    <w:next w:val="BodyText"/>
    <w:rsid w:val="00305DE2"/>
    <w:pPr>
      <w:tabs>
        <w:tab w:val="left" w:pos="340"/>
      </w:tabs>
      <w:spacing w:before="60" w:after="60"/>
      <w:ind w:left="340" w:hanging="340"/>
    </w:pPr>
  </w:style>
  <w:style w:type="paragraph" w:customStyle="1" w:styleId="Note">
    <w:name w:val="Note"/>
    <w:basedOn w:val="BodyText"/>
    <w:rsid w:val="00305DE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05DE2"/>
    <w:rPr>
      <w:b/>
      <w:spacing w:val="0"/>
    </w:rPr>
  </w:style>
  <w:style w:type="paragraph" w:customStyle="1" w:styleId="SuperTitle">
    <w:name w:val="SuperTitle"/>
    <w:basedOn w:val="Title"/>
    <w:rsid w:val="00305DE2"/>
    <w:pPr>
      <w:framePr w:wrap="auto" w:hAnchor="text" w:y="6049"/>
    </w:pPr>
    <w:rPr>
      <w:color w:val="000000"/>
      <w:sz w:val="40"/>
    </w:rPr>
  </w:style>
  <w:style w:type="paragraph" w:customStyle="1" w:styleId="TOCTitle">
    <w:name w:val="TOCTitle"/>
    <w:basedOn w:val="Heading1"/>
    <w:rsid w:val="00305DE2"/>
    <w:pPr>
      <w:spacing w:after="240"/>
      <w:jc w:val="center"/>
      <w:outlineLvl w:val="9"/>
    </w:pPr>
    <w:rPr>
      <w:caps/>
    </w:rPr>
  </w:style>
  <w:style w:type="paragraph" w:customStyle="1" w:styleId="Version">
    <w:name w:val="Version"/>
    <w:rsid w:val="00305D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5DE2"/>
    <w:pPr>
      <w:keepNext w:val="0"/>
      <w:tabs>
        <w:tab w:val="right" w:pos="4176"/>
      </w:tabs>
      <w:ind w:left="198" w:hanging="198"/>
    </w:pPr>
    <w:rPr>
      <w:rFonts w:ascii="Garamond" w:hAnsi="Garamond"/>
    </w:rPr>
  </w:style>
  <w:style w:type="paragraph" w:styleId="IndexHeading">
    <w:name w:val="index heading"/>
    <w:basedOn w:val="Normal"/>
    <w:next w:val="Index1"/>
    <w:semiHidden/>
    <w:rsid w:val="00305DE2"/>
    <w:pPr>
      <w:spacing w:before="120" w:after="120"/>
    </w:pPr>
    <w:rPr>
      <w:rFonts w:ascii="Arial" w:hAnsi="Arial"/>
      <w:b/>
      <w:color w:val="918585"/>
      <w:sz w:val="24"/>
    </w:rPr>
  </w:style>
  <w:style w:type="paragraph" w:styleId="Header">
    <w:name w:val="header"/>
    <w:basedOn w:val="Normal"/>
    <w:link w:val="HeaderChar"/>
    <w:rsid w:val="00305D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5DE2"/>
    <w:rPr>
      <w:rFonts w:ascii="Times New Roman" w:eastAsia="Times New Roman" w:hAnsi="Times New Roman" w:cs="Times New Roman"/>
      <w:sz w:val="16"/>
      <w:szCs w:val="20"/>
      <w:lang w:val="en-GB" w:eastAsia="en-US"/>
    </w:rPr>
  </w:style>
  <w:style w:type="paragraph" w:customStyle="1" w:styleId="Chapter">
    <w:name w:val="Chapter"/>
    <w:basedOn w:val="Normal"/>
    <w:rsid w:val="00305DE2"/>
    <w:pPr>
      <w:spacing w:before="240"/>
    </w:pPr>
    <w:rPr>
      <w:rFonts w:ascii="Times New Roman" w:hAnsi="Times New Roman"/>
      <w:smallCaps/>
      <w:spacing w:val="80"/>
      <w:sz w:val="28"/>
    </w:rPr>
  </w:style>
  <w:style w:type="paragraph" w:customStyle="1" w:styleId="InChapter">
    <w:name w:val="InChapter"/>
    <w:basedOn w:val="Heading3"/>
    <w:rsid w:val="00305DE2"/>
    <w:pPr>
      <w:spacing w:after="240"/>
      <w:outlineLvl w:val="9"/>
    </w:pPr>
    <w:rPr>
      <w:noProof/>
    </w:rPr>
  </w:style>
  <w:style w:type="paragraph" w:styleId="Index2">
    <w:name w:val="index 2"/>
    <w:basedOn w:val="Normal"/>
    <w:next w:val="Normal"/>
    <w:semiHidden/>
    <w:rsid w:val="00305DE2"/>
    <w:pPr>
      <w:tabs>
        <w:tab w:val="right" w:pos="4176"/>
      </w:tabs>
      <w:ind w:left="568" w:hanging="284"/>
    </w:pPr>
    <w:rPr>
      <w:rFonts w:ascii="Garamond" w:hAnsi="Garamond"/>
    </w:rPr>
  </w:style>
  <w:style w:type="paragraph" w:customStyle="1" w:styleId="Byline">
    <w:name w:val="Byline"/>
    <w:rsid w:val="00305D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5DE2"/>
    <w:pPr>
      <w:tabs>
        <w:tab w:val="clear" w:pos="3600"/>
        <w:tab w:val="clear" w:pos="3958"/>
      </w:tabs>
      <w:jc w:val="right"/>
    </w:pPr>
  </w:style>
  <w:style w:type="character" w:styleId="Emphasis">
    <w:name w:val="Emphasis"/>
    <w:basedOn w:val="DefaultParagraphFont"/>
    <w:qFormat/>
    <w:rsid w:val="00305DE2"/>
    <w:rPr>
      <w:i/>
    </w:rPr>
  </w:style>
  <w:style w:type="paragraph" w:styleId="Caption">
    <w:name w:val="caption"/>
    <w:basedOn w:val="BodyText"/>
    <w:next w:val="Normal"/>
    <w:qFormat/>
    <w:rsid w:val="00305DE2"/>
    <w:pPr>
      <w:framePr w:w="2268" w:hSpace="181" w:vSpace="181" w:wrap="around" w:vAnchor="text" w:hAnchor="page" w:x="1135" w:y="285" w:anchorLock="1"/>
    </w:pPr>
    <w:rPr>
      <w:i/>
    </w:rPr>
  </w:style>
  <w:style w:type="paragraph" w:customStyle="1" w:styleId="MiniTOCTitle">
    <w:name w:val="MiniTOCTitle"/>
    <w:basedOn w:val="Heading4"/>
    <w:rsid w:val="00305DE2"/>
    <w:pPr>
      <w:spacing w:before="240"/>
      <w:outlineLvl w:val="9"/>
    </w:pPr>
    <w:rPr>
      <w:noProof/>
      <w:sz w:val="24"/>
    </w:rPr>
  </w:style>
  <w:style w:type="paragraph" w:customStyle="1" w:styleId="MiniTOCItem">
    <w:name w:val="MiniTOCItem"/>
    <w:basedOn w:val="ListBullet"/>
    <w:rsid w:val="00305DE2"/>
    <w:pPr>
      <w:numPr>
        <w:numId w:val="0"/>
      </w:numPr>
      <w:tabs>
        <w:tab w:val="right" w:leader="dot" w:pos="6521"/>
      </w:tabs>
      <w:spacing w:before="0" w:after="0"/>
    </w:pPr>
  </w:style>
  <w:style w:type="paragraph" w:customStyle="1" w:styleId="TOFTitle">
    <w:name w:val="TOFTitle"/>
    <w:basedOn w:val="TOCTitle"/>
    <w:rsid w:val="00305DE2"/>
  </w:style>
  <w:style w:type="paragraph" w:styleId="TableofFigures">
    <w:name w:val="table of figures"/>
    <w:basedOn w:val="Normal"/>
    <w:next w:val="Normal"/>
    <w:semiHidden/>
    <w:rsid w:val="00305DE2"/>
    <w:pPr>
      <w:tabs>
        <w:tab w:val="right" w:leader="dot" w:pos="9072"/>
      </w:tabs>
      <w:ind w:left="970" w:hanging="403"/>
    </w:pPr>
    <w:rPr>
      <w:rFonts w:ascii="Times New Roman" w:hAnsi="Times New Roman"/>
      <w:b/>
    </w:rPr>
  </w:style>
  <w:style w:type="paragraph" w:styleId="ListNumber">
    <w:name w:val="List Number"/>
    <w:basedOn w:val="List"/>
    <w:rsid w:val="00305DE2"/>
    <w:pPr>
      <w:numPr>
        <w:numId w:val="15"/>
      </w:numPr>
      <w:tabs>
        <w:tab w:val="clear" w:pos="340"/>
      </w:tabs>
    </w:pPr>
  </w:style>
  <w:style w:type="character" w:customStyle="1" w:styleId="WingdingSymbols">
    <w:name w:val="Wingding Symbols"/>
    <w:rsid w:val="00305DE2"/>
    <w:rPr>
      <w:rFonts w:ascii="Wingdings" w:hAnsi="Wingdings"/>
    </w:rPr>
  </w:style>
  <w:style w:type="paragraph" w:customStyle="1" w:styleId="TableHeading">
    <w:name w:val="Table Heading"/>
    <w:basedOn w:val="HeadingBase"/>
    <w:rsid w:val="00305DE2"/>
    <w:pPr>
      <w:keepLines/>
      <w:pBdr>
        <w:bottom w:val="single" w:sz="6" w:space="1" w:color="918585"/>
      </w:pBdr>
      <w:spacing w:before="240"/>
    </w:pPr>
  </w:style>
  <w:style w:type="character" w:customStyle="1" w:styleId="HotSpot">
    <w:name w:val="HotSpot"/>
    <w:rsid w:val="00305DE2"/>
    <w:rPr>
      <w:color w:val="0033CC"/>
      <w:u w:val="none"/>
    </w:rPr>
  </w:style>
  <w:style w:type="paragraph" w:customStyle="1" w:styleId="BodyTextRight">
    <w:name w:val="Body Text Right"/>
    <w:basedOn w:val="BodyText"/>
    <w:rsid w:val="00305DE2"/>
    <w:pPr>
      <w:spacing w:before="0" w:after="0"/>
      <w:jc w:val="right"/>
    </w:pPr>
  </w:style>
  <w:style w:type="paragraph" w:styleId="Index3">
    <w:name w:val="index 3"/>
    <w:basedOn w:val="ListNumber2"/>
    <w:next w:val="Normal"/>
    <w:semiHidden/>
    <w:rsid w:val="00305DE2"/>
    <w:pPr>
      <w:numPr>
        <w:numId w:val="0"/>
      </w:numPr>
      <w:tabs>
        <w:tab w:val="right" w:leader="dot" w:pos="4176"/>
      </w:tabs>
    </w:pPr>
  </w:style>
  <w:style w:type="paragraph" w:styleId="ListNumber2">
    <w:name w:val="List Number 2"/>
    <w:basedOn w:val="List2"/>
    <w:rsid w:val="00305DE2"/>
    <w:pPr>
      <w:numPr>
        <w:numId w:val="10"/>
      </w:numPr>
      <w:tabs>
        <w:tab w:val="clear" w:pos="1060"/>
      </w:tabs>
    </w:pPr>
  </w:style>
  <w:style w:type="paragraph" w:customStyle="1" w:styleId="MarginNote">
    <w:name w:val="Margin Note"/>
    <w:basedOn w:val="BodyText"/>
    <w:rsid w:val="00305D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5D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5D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5DE2"/>
    <w:rPr>
      <w:sz w:val="32"/>
    </w:rPr>
  </w:style>
  <w:style w:type="paragraph" w:customStyle="1" w:styleId="HeadingProcedure">
    <w:name w:val="Heading Procedure"/>
    <w:basedOn w:val="HeadingBase"/>
    <w:next w:val="Normal"/>
    <w:rsid w:val="00305DE2"/>
    <w:pPr>
      <w:tabs>
        <w:tab w:val="left" w:pos="0"/>
      </w:tabs>
      <w:spacing w:before="120" w:after="60"/>
    </w:pPr>
    <w:rPr>
      <w:i/>
      <w:color w:val="918585"/>
      <w:sz w:val="22"/>
    </w:rPr>
  </w:style>
  <w:style w:type="paragraph" w:customStyle="1" w:styleId="TableBodyText">
    <w:name w:val="Table Body Text"/>
    <w:basedOn w:val="BodyText"/>
    <w:rsid w:val="00305DE2"/>
    <w:pPr>
      <w:spacing w:before="60" w:after="60"/>
    </w:pPr>
  </w:style>
  <w:style w:type="paragraph" w:styleId="ListContinue">
    <w:name w:val="List Continue"/>
    <w:basedOn w:val="List"/>
    <w:rsid w:val="00305DE2"/>
    <w:pPr>
      <w:ind w:firstLine="0"/>
    </w:pPr>
  </w:style>
  <w:style w:type="paragraph" w:customStyle="1" w:styleId="ListNote">
    <w:name w:val="List Note"/>
    <w:basedOn w:val="List"/>
    <w:rsid w:val="00305DE2"/>
    <w:pPr>
      <w:pBdr>
        <w:top w:val="single" w:sz="6" w:space="2" w:color="918585"/>
        <w:bottom w:val="single" w:sz="6" w:space="2" w:color="918585"/>
      </w:pBdr>
      <w:tabs>
        <w:tab w:val="left" w:pos="1021"/>
      </w:tabs>
      <w:ind w:firstLine="0"/>
    </w:pPr>
  </w:style>
  <w:style w:type="paragraph" w:customStyle="1" w:styleId="Warning">
    <w:name w:val="Warning"/>
    <w:basedOn w:val="BodyText"/>
    <w:rsid w:val="00305DE2"/>
    <w:pPr>
      <w:shd w:val="clear" w:color="auto" w:fill="D9D9D9"/>
      <w:tabs>
        <w:tab w:val="left" w:pos="992"/>
      </w:tabs>
      <w:ind w:left="119" w:right="119"/>
    </w:pPr>
    <w:rPr>
      <w:sz w:val="20"/>
    </w:rPr>
  </w:style>
  <w:style w:type="paragraph" w:customStyle="1" w:styleId="MarginIcons">
    <w:name w:val="Margin Icons"/>
    <w:basedOn w:val="BodyText"/>
    <w:rsid w:val="00305D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5DE2"/>
    <w:rPr>
      <w:rFonts w:ascii="Courier New" w:hAnsi="Courier New"/>
    </w:rPr>
  </w:style>
  <w:style w:type="paragraph" w:customStyle="1" w:styleId="NoteBullet">
    <w:name w:val="Note Bullet"/>
    <w:basedOn w:val="Note"/>
    <w:rsid w:val="00305DE2"/>
    <w:pPr>
      <w:tabs>
        <w:tab w:val="clear" w:pos="680"/>
      </w:tabs>
      <w:spacing w:before="60" w:after="60"/>
    </w:pPr>
  </w:style>
  <w:style w:type="paragraph" w:customStyle="1" w:styleId="SubHeading2">
    <w:name w:val="SubHeading2"/>
    <w:basedOn w:val="HeadingBase"/>
    <w:rsid w:val="00305DE2"/>
    <w:pPr>
      <w:spacing w:before="240" w:after="60"/>
    </w:pPr>
    <w:rPr>
      <w:sz w:val="20"/>
    </w:rPr>
  </w:style>
  <w:style w:type="paragraph" w:customStyle="1" w:styleId="SubHeading1">
    <w:name w:val="SubHeading1"/>
    <w:basedOn w:val="HeadingBase"/>
    <w:rsid w:val="00305DE2"/>
    <w:pPr>
      <w:spacing w:before="240" w:after="60"/>
    </w:pPr>
    <w:rPr>
      <w:color w:val="918585"/>
      <w:sz w:val="22"/>
    </w:rPr>
  </w:style>
  <w:style w:type="paragraph" w:customStyle="1" w:styleId="SideHeading">
    <w:name w:val="Side Heading"/>
    <w:basedOn w:val="HeadingBase"/>
    <w:rsid w:val="00305D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5DE2"/>
    <w:pPr>
      <w:tabs>
        <w:tab w:val="num" w:pos="360"/>
      </w:tabs>
    </w:pPr>
  </w:style>
  <w:style w:type="paragraph" w:styleId="PlainText">
    <w:name w:val="Plain Text"/>
    <w:basedOn w:val="Normal"/>
    <w:link w:val="PlainTextChar"/>
    <w:rsid w:val="00305DE2"/>
    <w:rPr>
      <w:sz w:val="20"/>
    </w:rPr>
  </w:style>
  <w:style w:type="character" w:customStyle="1" w:styleId="PlainTextChar">
    <w:name w:val="Plain Text Char"/>
    <w:basedOn w:val="DefaultParagraphFont"/>
    <w:link w:val="PlainText"/>
    <w:rsid w:val="00305DE2"/>
    <w:rPr>
      <w:rFonts w:ascii="Courier New" w:eastAsia="Times New Roman" w:hAnsi="Courier New" w:cs="Times New Roman"/>
      <w:sz w:val="20"/>
      <w:szCs w:val="20"/>
      <w:lang w:eastAsia="en-US"/>
    </w:rPr>
  </w:style>
  <w:style w:type="character" w:customStyle="1" w:styleId="MenuOption">
    <w:name w:val="Menu Option"/>
    <w:basedOn w:val="DefaultParagraphFont"/>
    <w:rsid w:val="00305DE2"/>
    <w:rPr>
      <w:b/>
      <w:smallCaps/>
    </w:rPr>
  </w:style>
  <w:style w:type="paragraph" w:customStyle="1" w:styleId="TableListNumber">
    <w:name w:val="Table List Number"/>
    <w:basedOn w:val="ListNumber"/>
    <w:rsid w:val="00305DE2"/>
    <w:pPr>
      <w:numPr>
        <w:numId w:val="0"/>
      </w:numPr>
    </w:pPr>
  </w:style>
  <w:style w:type="paragraph" w:styleId="TOC4">
    <w:name w:val="toc 4"/>
    <w:basedOn w:val="TOCBase"/>
    <w:next w:val="Normal"/>
    <w:semiHidden/>
    <w:rsid w:val="00305DE2"/>
    <w:pPr>
      <w:tabs>
        <w:tab w:val="right" w:leader="dot" w:pos="9071"/>
      </w:tabs>
      <w:ind w:left="1701"/>
    </w:pPr>
  </w:style>
  <w:style w:type="paragraph" w:customStyle="1" w:styleId="ListAlpha">
    <w:name w:val="List Alpha"/>
    <w:basedOn w:val="List"/>
    <w:rsid w:val="00305DE2"/>
    <w:pPr>
      <w:numPr>
        <w:numId w:val="9"/>
      </w:numPr>
    </w:pPr>
  </w:style>
  <w:style w:type="paragraph" w:customStyle="1" w:styleId="ListAlpha2">
    <w:name w:val="List Alpha 2"/>
    <w:basedOn w:val="List2"/>
    <w:rsid w:val="00305DE2"/>
    <w:pPr>
      <w:numPr>
        <w:numId w:val="8"/>
      </w:numPr>
    </w:pPr>
  </w:style>
  <w:style w:type="paragraph" w:styleId="List2">
    <w:name w:val="List 2"/>
    <w:basedOn w:val="BodyText"/>
    <w:rsid w:val="00305DE2"/>
    <w:pPr>
      <w:tabs>
        <w:tab w:val="left" w:pos="680"/>
      </w:tabs>
      <w:spacing w:before="60" w:after="60"/>
      <w:ind w:left="680" w:hanging="340"/>
    </w:pPr>
  </w:style>
  <w:style w:type="paragraph" w:styleId="List3">
    <w:name w:val="List 3"/>
    <w:basedOn w:val="BodyText"/>
    <w:rsid w:val="00305DE2"/>
    <w:pPr>
      <w:tabs>
        <w:tab w:val="left" w:pos="1021"/>
      </w:tabs>
      <w:spacing w:before="60" w:after="60"/>
      <w:ind w:left="1020" w:hanging="340"/>
    </w:pPr>
  </w:style>
  <w:style w:type="paragraph" w:styleId="List4">
    <w:name w:val="List 4"/>
    <w:basedOn w:val="BodyText"/>
    <w:rsid w:val="00305DE2"/>
    <w:pPr>
      <w:tabs>
        <w:tab w:val="left" w:pos="1361"/>
      </w:tabs>
      <w:spacing w:before="60" w:after="60"/>
      <w:ind w:left="1361" w:hanging="340"/>
    </w:pPr>
  </w:style>
  <w:style w:type="paragraph" w:styleId="List5">
    <w:name w:val="List 5"/>
    <w:basedOn w:val="BodyText"/>
    <w:rsid w:val="00305DE2"/>
    <w:pPr>
      <w:tabs>
        <w:tab w:val="left" w:pos="1701"/>
      </w:tabs>
      <w:spacing w:before="60" w:after="60"/>
      <w:ind w:left="1701" w:hanging="340"/>
    </w:pPr>
  </w:style>
  <w:style w:type="paragraph" w:styleId="ListBullet3">
    <w:name w:val="List Bullet 3"/>
    <w:basedOn w:val="List3"/>
    <w:rsid w:val="00305DE2"/>
    <w:pPr>
      <w:numPr>
        <w:numId w:val="14"/>
      </w:numPr>
      <w:tabs>
        <w:tab w:val="clear" w:pos="1021"/>
      </w:tabs>
      <w:ind w:left="1037" w:hanging="357"/>
    </w:pPr>
  </w:style>
  <w:style w:type="paragraph" w:styleId="ListBullet4">
    <w:name w:val="List Bullet 4"/>
    <w:basedOn w:val="List4"/>
    <w:rsid w:val="00305DE2"/>
    <w:pPr>
      <w:numPr>
        <w:numId w:val="3"/>
      </w:numPr>
      <w:tabs>
        <w:tab w:val="clear" w:pos="1361"/>
      </w:tabs>
    </w:pPr>
  </w:style>
  <w:style w:type="paragraph" w:styleId="ListBullet5">
    <w:name w:val="List Bullet 5"/>
    <w:basedOn w:val="List5"/>
    <w:rsid w:val="00305DE2"/>
    <w:pPr>
      <w:numPr>
        <w:numId w:val="4"/>
      </w:numPr>
    </w:pPr>
  </w:style>
  <w:style w:type="paragraph" w:styleId="ListContinue2">
    <w:name w:val="List Continue 2"/>
    <w:basedOn w:val="List2"/>
    <w:rsid w:val="00305DE2"/>
    <w:pPr>
      <w:ind w:firstLine="0"/>
    </w:pPr>
  </w:style>
  <w:style w:type="paragraph" w:styleId="ListContinue3">
    <w:name w:val="List Continue 3"/>
    <w:basedOn w:val="List3"/>
    <w:rsid w:val="00305DE2"/>
    <w:pPr>
      <w:ind w:left="1021" w:firstLine="0"/>
    </w:pPr>
  </w:style>
  <w:style w:type="paragraph" w:styleId="ListContinue4">
    <w:name w:val="List Continue 4"/>
    <w:basedOn w:val="List4"/>
    <w:rsid w:val="00305DE2"/>
    <w:pPr>
      <w:ind w:firstLine="0"/>
    </w:pPr>
  </w:style>
  <w:style w:type="paragraph" w:styleId="ListContinue5">
    <w:name w:val="List Continue 5"/>
    <w:basedOn w:val="List5"/>
    <w:rsid w:val="00305DE2"/>
    <w:pPr>
      <w:ind w:firstLine="0"/>
    </w:pPr>
  </w:style>
  <w:style w:type="paragraph" w:styleId="ListNumber3">
    <w:name w:val="List Number 3"/>
    <w:basedOn w:val="List3"/>
    <w:rsid w:val="00305DE2"/>
    <w:pPr>
      <w:numPr>
        <w:numId w:val="5"/>
      </w:numPr>
    </w:pPr>
  </w:style>
  <w:style w:type="paragraph" w:styleId="ListNumber4">
    <w:name w:val="List Number 4"/>
    <w:basedOn w:val="List4"/>
    <w:rsid w:val="00305DE2"/>
    <w:pPr>
      <w:numPr>
        <w:numId w:val="6"/>
      </w:numPr>
    </w:pPr>
  </w:style>
  <w:style w:type="paragraph" w:styleId="ListNumber5">
    <w:name w:val="List Number 5"/>
    <w:basedOn w:val="List5"/>
    <w:rsid w:val="00305DE2"/>
    <w:pPr>
      <w:numPr>
        <w:numId w:val="7"/>
      </w:numPr>
    </w:pPr>
  </w:style>
  <w:style w:type="paragraph" w:styleId="BlockText">
    <w:name w:val="Block Text"/>
    <w:basedOn w:val="Normal"/>
    <w:rsid w:val="00305DE2"/>
    <w:pPr>
      <w:spacing w:after="120"/>
      <w:ind w:left="1440" w:right="1440"/>
    </w:pPr>
  </w:style>
  <w:style w:type="character" w:customStyle="1" w:styleId="Subscript">
    <w:name w:val="Subscript"/>
    <w:basedOn w:val="DefaultParagraphFont"/>
    <w:rsid w:val="00305DE2"/>
    <w:rPr>
      <w:sz w:val="16"/>
      <w:vertAlign w:val="subscript"/>
    </w:rPr>
  </w:style>
  <w:style w:type="character" w:customStyle="1" w:styleId="Superscript">
    <w:name w:val="Superscript"/>
    <w:basedOn w:val="DefaultParagraphFont"/>
    <w:rsid w:val="00305DE2"/>
    <w:rPr>
      <w:sz w:val="16"/>
      <w:vertAlign w:val="superscript"/>
    </w:rPr>
  </w:style>
  <w:style w:type="character" w:customStyle="1" w:styleId="Symbols">
    <w:name w:val="Symbols"/>
    <w:basedOn w:val="DefaultParagraphFont"/>
    <w:rsid w:val="00305DE2"/>
    <w:rPr>
      <w:rFonts w:ascii="Symbol" w:hAnsi="Symbol"/>
    </w:rPr>
  </w:style>
  <w:style w:type="character" w:customStyle="1" w:styleId="MenuOptions">
    <w:name w:val="Menu Options"/>
    <w:basedOn w:val="DefaultParagraphFont"/>
    <w:rsid w:val="00305DE2"/>
    <w:rPr>
      <w:rFonts w:ascii="Arial Narrow" w:hAnsi="Arial Narrow"/>
      <w:smallCaps/>
    </w:rPr>
  </w:style>
  <w:style w:type="character" w:customStyle="1" w:styleId="Buttons">
    <w:name w:val="Buttons"/>
    <w:basedOn w:val="DefaultParagraphFont"/>
    <w:rsid w:val="00305DE2"/>
    <w:rPr>
      <w:b/>
    </w:rPr>
  </w:style>
  <w:style w:type="character" w:customStyle="1" w:styleId="Underlined">
    <w:name w:val="Underlined"/>
    <w:basedOn w:val="DefaultParagraphFont"/>
    <w:rsid w:val="00305DE2"/>
    <w:rPr>
      <w:u w:val="single"/>
    </w:rPr>
  </w:style>
  <w:style w:type="paragraph" w:customStyle="1" w:styleId="TableBodyTextRight">
    <w:name w:val="Table Body Text Right"/>
    <w:basedOn w:val="TableBodyText"/>
    <w:rsid w:val="00305DE2"/>
    <w:pPr>
      <w:widowControl w:val="0"/>
      <w:autoSpaceDE w:val="0"/>
      <w:autoSpaceDN w:val="0"/>
      <w:adjustRightInd w:val="0"/>
      <w:jc w:val="right"/>
    </w:pPr>
    <w:rPr>
      <w:rFonts w:cs="Arial"/>
      <w:szCs w:val="18"/>
    </w:rPr>
  </w:style>
  <w:style w:type="paragraph" w:customStyle="1" w:styleId="CopyrightText">
    <w:name w:val="Copyright Text"/>
    <w:basedOn w:val="BodyText"/>
    <w:rsid w:val="00305DE2"/>
    <w:rPr>
      <w:sz w:val="18"/>
    </w:rPr>
  </w:style>
  <w:style w:type="paragraph" w:customStyle="1" w:styleId="BodySmallRight">
    <w:name w:val="Body Small Right"/>
    <w:basedOn w:val="BodyTextRight"/>
    <w:rsid w:val="00305DE2"/>
    <w:rPr>
      <w:sz w:val="18"/>
      <w:szCs w:val="18"/>
    </w:rPr>
  </w:style>
  <w:style w:type="paragraph" w:customStyle="1" w:styleId="MarginEdition">
    <w:name w:val="Margin Edition"/>
    <w:basedOn w:val="MarginNote"/>
    <w:rsid w:val="00305DE2"/>
    <w:pPr>
      <w:spacing w:before="0" w:after="0"/>
    </w:pPr>
    <w:rPr>
      <w:rFonts w:ascii="Times New Roman" w:hAnsi="Times New Roman"/>
      <w:color w:val="999999"/>
    </w:rPr>
  </w:style>
  <w:style w:type="paragraph" w:customStyle="1" w:styleId="Spacer">
    <w:name w:val="Spacer"/>
    <w:basedOn w:val="Normal"/>
    <w:rsid w:val="00305DE2"/>
    <w:rPr>
      <w:sz w:val="2"/>
      <w:szCs w:val="2"/>
    </w:rPr>
  </w:style>
  <w:style w:type="character" w:customStyle="1" w:styleId="Small">
    <w:name w:val="Small"/>
    <w:basedOn w:val="DefaultParagraphFont"/>
    <w:rsid w:val="00305DE2"/>
    <w:rPr>
      <w:sz w:val="16"/>
    </w:rPr>
  </w:style>
  <w:style w:type="paragraph" w:customStyle="1" w:styleId="WideTable">
    <w:name w:val="Wide Table"/>
    <w:basedOn w:val="Normal"/>
    <w:rsid w:val="00305DE2"/>
    <w:pPr>
      <w:ind w:left="-1418"/>
    </w:pPr>
    <w:rPr>
      <w:sz w:val="2"/>
      <w:szCs w:val="2"/>
    </w:rPr>
  </w:style>
  <w:style w:type="character" w:styleId="PageNumber">
    <w:name w:val="page number"/>
    <w:basedOn w:val="DefaultParagraphFont"/>
    <w:rsid w:val="00305DE2"/>
  </w:style>
  <w:style w:type="paragraph" w:styleId="Quote">
    <w:name w:val="Quote"/>
    <w:basedOn w:val="Heading1"/>
    <w:link w:val="QuoteChar"/>
    <w:qFormat/>
    <w:rsid w:val="00305DE2"/>
    <w:rPr>
      <w:b w:val="0"/>
      <w:sz w:val="72"/>
      <w:szCs w:val="72"/>
      <w:lang w:val="en-NZ"/>
    </w:rPr>
  </w:style>
  <w:style w:type="character" w:customStyle="1" w:styleId="QuoteChar">
    <w:name w:val="Quote Char"/>
    <w:basedOn w:val="DefaultParagraphFont"/>
    <w:link w:val="Quote"/>
    <w:rsid w:val="00305D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5DE2"/>
    <w:pPr>
      <w:pageBreakBefore/>
    </w:pPr>
  </w:style>
  <w:style w:type="paragraph" w:customStyle="1" w:styleId="Border">
    <w:name w:val="Border"/>
    <w:basedOn w:val="Normal"/>
    <w:qFormat/>
    <w:rsid w:val="00305D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5DE2"/>
    <w:rPr>
      <w:b/>
      <w:bCs/>
      <w:i/>
      <w:iCs/>
      <w:color w:val="auto"/>
    </w:rPr>
  </w:style>
  <w:style w:type="paragraph" w:styleId="IntenseQuote">
    <w:name w:val="Intense Quote"/>
    <w:basedOn w:val="Normal"/>
    <w:next w:val="Normal"/>
    <w:link w:val="IntenseQuoteChar"/>
    <w:uiPriority w:val="30"/>
    <w:qFormat/>
    <w:rsid w:val="00305D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5D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5DE2"/>
    <w:rPr>
      <w:smallCaps/>
      <w:color w:val="auto"/>
      <w:u w:val="single"/>
    </w:rPr>
  </w:style>
  <w:style w:type="character" w:styleId="IntenseReference">
    <w:name w:val="Intense Reference"/>
    <w:basedOn w:val="DefaultParagraphFont"/>
    <w:uiPriority w:val="32"/>
    <w:qFormat/>
    <w:rsid w:val="00305DE2"/>
    <w:rPr>
      <w:b/>
      <w:bCs/>
      <w:smallCaps/>
      <w:color w:val="auto"/>
      <w:spacing w:val="5"/>
      <w:u w:val="single"/>
    </w:rPr>
  </w:style>
  <w:style w:type="paragraph" w:customStyle="1" w:styleId="2ColumnHeading">
    <w:name w:val="2Column Heading"/>
    <w:basedOn w:val="BodyText"/>
    <w:qFormat/>
    <w:rsid w:val="00305DE2"/>
    <w:pPr>
      <w:spacing w:after="60"/>
      <w:ind w:left="-2268"/>
    </w:pPr>
    <w:rPr>
      <w:b/>
    </w:rPr>
  </w:style>
  <w:style w:type="paragraph" w:customStyle="1" w:styleId="Heading1TOC">
    <w:name w:val="Heading1 TOC"/>
    <w:basedOn w:val="Normal"/>
    <w:qFormat/>
    <w:rsid w:val="00305DE2"/>
    <w:pPr>
      <w:spacing w:before="240" w:after="120"/>
    </w:pPr>
    <w:rPr>
      <w:rFonts w:ascii="Times New Roman" w:hAnsi="Times New Roman"/>
      <w:b/>
      <w:sz w:val="32"/>
    </w:rPr>
  </w:style>
  <w:style w:type="paragraph" w:customStyle="1" w:styleId="Heading2TOC">
    <w:name w:val="Heading2 TOC"/>
    <w:basedOn w:val="Normal"/>
    <w:qFormat/>
    <w:rsid w:val="00305DE2"/>
    <w:pPr>
      <w:spacing w:before="240" w:after="60"/>
    </w:pPr>
    <w:rPr>
      <w:rFonts w:ascii="Times New Roman" w:hAnsi="Times New Roman"/>
      <w:b/>
      <w:sz w:val="28"/>
    </w:rPr>
  </w:style>
  <w:style w:type="character" w:customStyle="1" w:styleId="Underline">
    <w:name w:val="Underline"/>
    <w:basedOn w:val="DefaultParagraphFont"/>
    <w:qFormat/>
    <w:rsid w:val="00305DE2"/>
    <w:rPr>
      <w:u w:val="single"/>
    </w:rPr>
  </w:style>
  <w:style w:type="character" w:customStyle="1" w:styleId="BoldandItalics">
    <w:name w:val="Bold and Italics"/>
    <w:qFormat/>
    <w:rsid w:val="00305DE2"/>
    <w:rPr>
      <w:b/>
      <w:i/>
      <w:u w:val="none"/>
    </w:rPr>
  </w:style>
  <w:style w:type="paragraph" w:styleId="BalloonText">
    <w:name w:val="Balloon Text"/>
    <w:basedOn w:val="Normal"/>
    <w:link w:val="BalloonTextChar"/>
    <w:rsid w:val="00305DE2"/>
    <w:rPr>
      <w:rFonts w:ascii="Tahoma" w:hAnsi="Tahoma" w:cs="Tahoma"/>
      <w:sz w:val="16"/>
      <w:szCs w:val="16"/>
    </w:rPr>
  </w:style>
  <w:style w:type="character" w:customStyle="1" w:styleId="BalloonTextChar">
    <w:name w:val="Balloon Text Char"/>
    <w:basedOn w:val="DefaultParagraphFont"/>
    <w:link w:val="BalloonText"/>
    <w:rsid w:val="00305D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5D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5D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5DE2"/>
    <w:rPr>
      <w:b/>
      <w:color w:val="660033"/>
      <w:spacing w:val="0"/>
    </w:rPr>
  </w:style>
  <w:style w:type="paragraph" w:customStyle="1" w:styleId="Nameditemlist">
    <w:name w:val="Named item list"/>
    <w:basedOn w:val="BodyText"/>
    <w:qFormat/>
    <w:rsid w:val="00305DE2"/>
    <w:pPr>
      <w:tabs>
        <w:tab w:val="left" w:pos="2835"/>
      </w:tabs>
      <w:ind w:left="2835" w:hanging="2835"/>
    </w:pPr>
  </w:style>
  <w:style w:type="paragraph" w:customStyle="1" w:styleId="BodyTextnopadding">
    <w:name w:val="Body Text no padding"/>
    <w:basedOn w:val="BodyText"/>
    <w:qFormat/>
    <w:rsid w:val="00305DE2"/>
    <w:pPr>
      <w:spacing w:before="0" w:after="0"/>
    </w:pPr>
  </w:style>
  <w:style w:type="paragraph" w:customStyle="1" w:styleId="BodyTextBold">
    <w:name w:val="Body Text Bold"/>
    <w:basedOn w:val="BodyText"/>
    <w:qFormat/>
    <w:rsid w:val="00305DE2"/>
    <w:rPr>
      <w:b/>
    </w:rPr>
  </w:style>
  <w:style w:type="character" w:styleId="Hyperlink">
    <w:name w:val="Hyperlink"/>
    <w:basedOn w:val="DefaultParagraphFont"/>
    <w:uiPriority w:val="99"/>
    <w:unhideWhenUsed/>
    <w:rsid w:val="001354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706</Words>
  <Characters>4419</Characters>
  <Application>Microsoft Office Word</Application>
  <DocSecurity>0</DocSecurity>
  <Lines>100</Lines>
  <Paragraphs>71</Paragraphs>
  <ScaleCrop>false</ScaleCrop>
  <Company>Author-it Software Corporation Ltd.</Company>
  <LinksUpToDate>false</LinksUpToDate>
  <CharactersWithSpaces>5054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MARO007 Contribute to monitoring and controlling a safe engine watch</dc:title>
  <dc:subject>Approved</dc:subject>
  <dc:creator>Industry Skills Australia</dc:creator>
  <cp:keywords>Release: 1</cp:keywords>
  <dc:description>Review Date: 12 April 2008</dc:description>
  <cp:lastModifiedBy>HSD_TPCMSd.prod</cp:lastModifiedBy>
  <cp:revision>3</cp:revision>
  <dcterms:created xsi:type="dcterms:W3CDTF">2024-11-22T08:00:00Z</dcterms:created>
  <dcterms:modified xsi:type="dcterms:W3CDTF">2024-11-22T08:00:00Z</dcterms:modified>
</cp:coreProperties>
</file>