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21BFC" w:rsidP="00421BFC">
      <w:pPr>
        <w:pStyle w:val="Title"/>
      </w:pPr>
      <w:r>
        <w:fldChar w:fldCharType="begin"/>
      </w:r>
      <w:r>
        <w:instrText xml:space="preserve"> TITLE   \* MERGEFORMAT </w:instrText>
      </w:r>
      <w:r>
        <w:fldChar w:fldCharType="separate"/>
      </w:r>
      <w:r>
        <w:t>MARO006 Contribute to monitoring and controlling a safe navigational watch</w:t>
      </w:r>
      <w:r>
        <w:fldChar w:fldCharType="end"/>
      </w:r>
    </w:p>
    <w:p w:rsidR="00421BFC" w:rsidP="00421BFC">
      <w:pPr>
        <w:pStyle w:val="Version"/>
        <w:sectPr w:rsidSect="004B0E5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B0E5F" w:rsidP="004B0E5F">
      <w:pPr>
        <w:pStyle w:val="SuperHeading"/>
      </w:pPr>
      <w:r w:rsidRPr="004B0E5F">
        <w:t>MARO006 Contribute to monitoring and controlling a safe navigational watch</w:t>
      </w:r>
    </w:p>
    <w:p w:rsidR="00000000" w:rsidRPr="004B0E5F" w:rsidP="004B0E5F">
      <w:pPr>
        <w:pStyle w:val="Heading1"/>
      </w:pPr>
      <w:bookmarkStart w:id="1" w:name="O_845455"/>
      <w:bookmarkEnd w:id="1"/>
      <w:r w:rsidRPr="004B0E5F">
        <w:t>Modification History</w:t>
      </w:r>
    </w:p>
    <w:p w:rsidR="00421BFC" w:rsidP="00421BFC">
      <w:pPr>
        <w:pStyle w:val="BodyText"/>
      </w:pPr>
      <w:r w:rsidRPr="004B0E5F">
        <w:t>Release 1. New unit of competency.</w:t>
      </w:r>
    </w:p>
    <w:p w:rsidR="00000000" w:rsidRPr="004B0E5F" w:rsidP="004B0E5F">
      <w:pPr>
        <w:pStyle w:val="Heading1"/>
      </w:pPr>
      <w:bookmarkStart w:id="2" w:name="O_845456"/>
      <w:bookmarkEnd w:id="2"/>
      <w:r w:rsidRPr="004B0E5F">
        <w:t>Application</w:t>
      </w:r>
    </w:p>
    <w:tbl>
      <w:tblPr>
        <w:tblW w:w="9498" w:type="dxa"/>
        <w:tblLayout w:type="fixed"/>
        <w:tblCellMar>
          <w:left w:w="62" w:type="dxa"/>
          <w:right w:w="62" w:type="dxa"/>
        </w:tblCellMar>
        <w:tblLook w:val="0000"/>
      </w:tblPr>
      <w:tblGrid>
        <w:gridCol w:w="9498"/>
      </w:tblGrid>
      <w:tr w:rsidTr="004B0E5F">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4B0E5F" w:rsidP="004B0E5F">
            <w:pPr>
              <w:pStyle w:val="BodyText"/>
            </w:pPr>
            <w:r w:rsidRPr="004B0E5F">
              <w:t>This unit involves the skills and knowledge required to contribute to a safe navigational watch on a vessel while under the direction of the officer in charge of the navigational watch.</w:t>
            </w:r>
          </w:p>
          <w:p w:rsidR="00000000" w:rsidRPr="004B0E5F" w:rsidP="004B0E5F">
            <w:pPr>
              <w:pStyle w:val="BodyText"/>
            </w:pPr>
            <w:r w:rsidRPr="004B0E5F">
              <w:t>This unit applies to an Integrated Rating or Able Seafarer-Deck who as</w:t>
            </w:r>
            <w:r w:rsidRPr="004B0E5F">
              <w:t>sists under the direction of the officer in charge of the navigational watch, in performing navigational watchkeeping duties.</w:t>
            </w:r>
          </w:p>
          <w:p w:rsidR="00000000" w:rsidRPr="004B0E5F" w:rsidP="004B0E5F">
            <w:pPr>
              <w:pStyle w:val="BodyText"/>
            </w:pPr>
            <w:r w:rsidRPr="004B0E5F">
              <w:t>No licensing, legislative or certification requirements apply to this unit at the time of publication.</w:t>
            </w:r>
          </w:p>
        </w:tc>
      </w:tr>
    </w:tbl>
    <w:p w:rsidR="00421BFC" w:rsidP="004B0E5F">
      <w:pPr>
        <w:pStyle w:val="BodyText"/>
      </w:pPr>
    </w:p>
    <w:p w:rsidR="00421BFC" w:rsidP="004B0E5F">
      <w:pPr>
        <w:pStyle w:val="BodyText"/>
      </w:pPr>
    </w:p>
    <w:p w:rsidR="00000000" w:rsidRPr="004B0E5F" w:rsidP="004B0E5F">
      <w:pPr>
        <w:pStyle w:val="Heading1"/>
      </w:pPr>
      <w:bookmarkStart w:id="3" w:name="O_845457"/>
      <w:bookmarkEnd w:id="3"/>
      <w:r w:rsidRPr="004B0E5F">
        <w:t>Pre-req</w:t>
      </w:r>
      <w:r w:rsidRPr="004B0E5F">
        <w:t>uisite Unit</w:t>
      </w:r>
    </w:p>
    <w:p w:rsidR="00421BFC" w:rsidP="00421BFC">
      <w:pPr>
        <w:pStyle w:val="BodyText"/>
      </w:pPr>
      <w:r w:rsidRPr="004B0E5F">
        <w:t>Not applicable.</w:t>
      </w:r>
    </w:p>
    <w:p w:rsidR="00000000" w:rsidRPr="004B0E5F" w:rsidP="004B0E5F">
      <w:pPr>
        <w:pStyle w:val="Heading1"/>
      </w:pPr>
      <w:bookmarkStart w:id="4" w:name="O_845458"/>
      <w:bookmarkEnd w:id="4"/>
      <w:r w:rsidRPr="004B0E5F">
        <w:t>Competency Field</w:t>
      </w:r>
    </w:p>
    <w:p w:rsidR="00421BFC" w:rsidP="00421BFC">
      <w:pPr>
        <w:pStyle w:val="BodyText"/>
      </w:pPr>
      <w:r w:rsidRPr="004B0E5F">
        <w:t>O – Watchkeeping</w:t>
      </w:r>
    </w:p>
    <w:p w:rsidR="00000000" w:rsidRPr="004B0E5F" w:rsidP="004B0E5F">
      <w:pPr>
        <w:pStyle w:val="Heading1"/>
      </w:pPr>
      <w:bookmarkStart w:id="5" w:name="O_845459"/>
      <w:bookmarkEnd w:id="5"/>
      <w:r w:rsidRPr="004B0E5F">
        <w:t>Unit Sector</w:t>
      </w:r>
    </w:p>
    <w:p w:rsidR="00421BFC" w:rsidP="00421BFC">
      <w:pPr>
        <w:pStyle w:val="BodyText"/>
      </w:pPr>
      <w:r w:rsidRPr="004B0E5F">
        <w:t>Not applicable.</w:t>
      </w:r>
    </w:p>
    <w:p w:rsidR="00000000" w:rsidRPr="004B0E5F" w:rsidP="004B0E5F">
      <w:pPr>
        <w:pStyle w:val="Heading1"/>
      </w:pPr>
      <w:bookmarkStart w:id="6" w:name="O_845460"/>
      <w:bookmarkEnd w:id="6"/>
      <w:r w:rsidRPr="004B0E5F">
        <w:t>Elements and Performance Criteria</w:t>
      </w:r>
    </w:p>
    <w:tbl>
      <w:tblPr>
        <w:tblW w:w="9499" w:type="dxa"/>
        <w:tblLayout w:type="fixed"/>
        <w:tblCellMar>
          <w:left w:w="62" w:type="dxa"/>
          <w:right w:w="62" w:type="dxa"/>
        </w:tblCellMar>
        <w:tblLook w:val="0000"/>
      </w:tblPr>
      <w:tblGrid>
        <w:gridCol w:w="432"/>
        <w:gridCol w:w="2303"/>
        <w:gridCol w:w="719"/>
        <w:gridCol w:w="6045"/>
      </w:tblGrid>
      <w:tr w:rsidTr="00421BFC">
        <w:tblPrEx>
          <w:tblW w:w="9499" w:type="dxa"/>
          <w:tblLayout w:type="fixed"/>
          <w:tblCellMar>
            <w:left w:w="62" w:type="dxa"/>
            <w:right w:w="62" w:type="dxa"/>
          </w:tblCellMar>
          <w:tblLook w:val="0000"/>
        </w:tblPrEx>
        <w:tc>
          <w:tcPr>
            <w:tcW w:w="2735" w:type="dxa"/>
            <w:gridSpan w:val="2"/>
            <w:tcBorders>
              <w:top w:val="nil"/>
              <w:left w:val="nil"/>
              <w:bottom w:val="nil"/>
              <w:right w:val="nil"/>
            </w:tcBorders>
            <w:tcMar>
              <w:top w:w="0" w:type="dxa"/>
              <w:left w:w="62" w:type="dxa"/>
              <w:bottom w:w="0" w:type="dxa"/>
              <w:right w:w="62" w:type="dxa"/>
            </w:tcMar>
          </w:tcPr>
          <w:p w:rsidR="00000000" w:rsidRPr="004B0E5F" w:rsidP="004B0E5F">
            <w:pPr>
              <w:pStyle w:val="BodyText"/>
            </w:pPr>
            <w:r w:rsidRPr="004B0E5F">
              <w:rPr>
                <w:rStyle w:val="SpecialBold"/>
              </w:rPr>
              <w:t>ELEMENTS</w:t>
            </w:r>
          </w:p>
        </w:tc>
        <w:tc>
          <w:tcPr>
            <w:tcW w:w="6764" w:type="dxa"/>
            <w:gridSpan w:val="2"/>
            <w:tcBorders>
              <w:top w:val="nil"/>
              <w:left w:val="nil"/>
              <w:bottom w:val="nil"/>
              <w:right w:val="nil"/>
            </w:tcBorders>
            <w:tcMar>
              <w:top w:w="0" w:type="dxa"/>
              <w:left w:w="62" w:type="dxa"/>
              <w:bottom w:w="0" w:type="dxa"/>
              <w:right w:w="62" w:type="dxa"/>
            </w:tcMar>
          </w:tcPr>
          <w:p w:rsidR="00000000" w:rsidP="004B0E5F">
            <w:pPr>
              <w:pStyle w:val="BodyText"/>
              <w:rPr>
                <w:lang w:val="en-NZ"/>
              </w:rPr>
            </w:pPr>
            <w:r w:rsidRPr="004B0E5F">
              <w:rPr>
                <w:rStyle w:val="SpecialBold"/>
              </w:rPr>
              <w:t>PERFORMANCE CRITERIA</w:t>
            </w:r>
          </w:p>
        </w:tc>
      </w:tr>
      <w:tr w:rsidTr="00421BFC">
        <w:tblPrEx>
          <w:tblW w:w="9499" w:type="dxa"/>
          <w:tblLayout w:type="fixed"/>
          <w:tblCellMar>
            <w:left w:w="62" w:type="dxa"/>
            <w:right w:w="62" w:type="dxa"/>
          </w:tblCellMar>
          <w:tblLook w:val="0000"/>
        </w:tblPrEx>
        <w:tc>
          <w:tcPr>
            <w:tcW w:w="2735" w:type="dxa"/>
            <w:gridSpan w:val="2"/>
            <w:tcBorders>
              <w:top w:val="nil"/>
              <w:left w:val="nil"/>
              <w:bottom w:val="nil"/>
              <w:right w:val="nil"/>
            </w:tcBorders>
            <w:tcMar>
              <w:top w:w="0" w:type="dxa"/>
              <w:left w:w="62" w:type="dxa"/>
              <w:bottom w:w="0" w:type="dxa"/>
              <w:right w:w="62" w:type="dxa"/>
            </w:tcMar>
          </w:tcPr>
          <w:p w:rsidR="00000000" w:rsidP="004B0E5F">
            <w:pPr>
              <w:pStyle w:val="BodyText"/>
              <w:rPr>
                <w:lang w:val="en-NZ"/>
              </w:rPr>
            </w:pPr>
            <w:r w:rsidRPr="004B0E5F">
              <w:t>Elements describe the essential outcomes.</w:t>
            </w:r>
          </w:p>
        </w:tc>
        <w:tc>
          <w:tcPr>
            <w:tcW w:w="6764" w:type="dxa"/>
            <w:gridSpan w:val="2"/>
            <w:tcBorders>
              <w:top w:val="nil"/>
              <w:left w:val="nil"/>
              <w:bottom w:val="nil"/>
              <w:right w:val="nil"/>
            </w:tcBorders>
            <w:tcMar>
              <w:top w:w="0" w:type="dxa"/>
              <w:left w:w="62" w:type="dxa"/>
              <w:bottom w:w="0" w:type="dxa"/>
              <w:right w:w="62" w:type="dxa"/>
            </w:tcMar>
          </w:tcPr>
          <w:p w:rsidR="00000000" w:rsidP="004B0E5F">
            <w:pPr>
              <w:pStyle w:val="BodyText"/>
              <w:rPr>
                <w:lang w:val="en-NZ"/>
              </w:rPr>
            </w:pPr>
            <w:r w:rsidRPr="004B0E5F">
              <w:t>Performance criteria describe the performance needed to demonstrate achievement of the element.</w:t>
            </w:r>
          </w:p>
        </w:tc>
      </w:tr>
      <w:tr w:rsidTr="00421BFC">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4B0E5F" w:rsidP="004B0E5F">
            <w:pPr>
              <w:pStyle w:val="BodyText"/>
            </w:pPr>
            <w:r w:rsidRPr="004B0E5F">
              <w:rPr>
                <w:rStyle w:val="SpecialBold"/>
              </w:rPr>
              <w:t>1</w:t>
            </w:r>
          </w:p>
        </w:tc>
        <w:tc>
          <w:tcPr>
            <w:tcW w:w="2303" w:type="dxa"/>
            <w:vMerge w:val="restart"/>
            <w:tcBorders>
              <w:top w:val="nil"/>
              <w:left w:val="nil"/>
              <w:bottom w:val="nil"/>
              <w:right w:val="nil"/>
            </w:tcBorders>
            <w:tcMar>
              <w:top w:w="0" w:type="dxa"/>
              <w:left w:w="62" w:type="dxa"/>
              <w:bottom w:w="0" w:type="dxa"/>
              <w:right w:w="62" w:type="dxa"/>
            </w:tcMar>
          </w:tcPr>
          <w:p w:rsidR="00000000" w:rsidP="004B0E5F">
            <w:pPr>
              <w:pStyle w:val="BodyText"/>
              <w:rPr>
                <w:lang w:val="en-NZ"/>
              </w:rPr>
            </w:pPr>
            <w:r w:rsidRPr="004B0E5F">
              <w:rPr>
                <w:rStyle w:val="SpecialBold"/>
              </w:rPr>
              <w:t xml:space="preserve">Follow instructions </w:t>
            </w:r>
            <w:r w:rsidRPr="004B0E5F">
              <w:rPr>
                <w:rStyle w:val="SpecialBold"/>
              </w:rPr>
              <w:t>to monitor vessel situation when moored or anchored</w:t>
            </w:r>
          </w:p>
        </w:tc>
        <w:tc>
          <w:tcPr>
            <w:tcW w:w="719" w:type="dxa"/>
            <w:tcBorders>
              <w:top w:val="nil"/>
              <w:left w:val="nil"/>
              <w:bottom w:val="nil"/>
              <w:right w:val="nil"/>
            </w:tcBorders>
            <w:tcMar>
              <w:top w:w="0" w:type="dxa"/>
              <w:left w:w="62" w:type="dxa"/>
              <w:bottom w:w="0" w:type="dxa"/>
              <w:right w:w="62" w:type="dxa"/>
            </w:tcMar>
          </w:tcPr>
          <w:p w:rsidR="00000000" w:rsidP="004B0E5F">
            <w:pPr>
              <w:pStyle w:val="BodyText"/>
              <w:rPr>
                <w:lang w:val="en-NZ"/>
              </w:rPr>
            </w:pPr>
            <w:r w:rsidRPr="004B0E5F">
              <w:t>1.1</w:t>
            </w:r>
          </w:p>
        </w:tc>
        <w:tc>
          <w:tcPr>
            <w:tcW w:w="6045" w:type="dxa"/>
            <w:tcBorders>
              <w:top w:val="nil"/>
              <w:left w:val="nil"/>
              <w:bottom w:val="nil"/>
              <w:right w:val="nil"/>
            </w:tcBorders>
            <w:tcMar>
              <w:top w:w="0" w:type="dxa"/>
              <w:left w:w="62" w:type="dxa"/>
              <w:bottom w:w="0" w:type="dxa"/>
              <w:right w:w="62" w:type="dxa"/>
            </w:tcMar>
          </w:tcPr>
          <w:p w:rsidR="00000000" w:rsidP="004B0E5F">
            <w:pPr>
              <w:pStyle w:val="BodyText"/>
              <w:rPr>
                <w:lang w:val="en-NZ"/>
              </w:rPr>
            </w:pPr>
            <w:r w:rsidRPr="004B0E5F">
              <w:t xml:space="preserve">Scheduled checks and inspections are conducted to comply </w:t>
            </w:r>
            <w:r w:rsidRPr="004B0E5F">
              <w:t xml:space="preserve">with instructions </w:t>
            </w:r>
          </w:p>
        </w:tc>
      </w:tr>
      <w:tr w:rsidTr="00421BFC">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4B0E5F">
            <w:pPr>
              <w:pStyle w:val="BodyText"/>
              <w:rPr>
                <w:lang w:val="en-NZ"/>
              </w:rPr>
            </w:pPr>
            <w:r w:rsidRPr="004B0E5F">
              <w:t>1.2</w:t>
            </w:r>
          </w:p>
        </w:tc>
        <w:tc>
          <w:tcPr>
            <w:tcW w:w="6045" w:type="dxa"/>
            <w:tcBorders>
              <w:top w:val="nil"/>
              <w:left w:val="nil"/>
              <w:bottom w:val="nil"/>
              <w:right w:val="nil"/>
            </w:tcBorders>
            <w:tcMar>
              <w:top w:w="0" w:type="dxa"/>
              <w:left w:w="62" w:type="dxa"/>
              <w:bottom w:w="0" w:type="dxa"/>
              <w:right w:w="62" w:type="dxa"/>
            </w:tcMar>
          </w:tcPr>
          <w:p w:rsidR="00000000" w:rsidP="004B0E5F">
            <w:pPr>
              <w:pStyle w:val="BodyText"/>
              <w:rPr>
                <w:lang w:val="en-NZ"/>
              </w:rPr>
            </w:pPr>
            <w:r w:rsidRPr="004B0E5F">
              <w:t>Appropriate action is taken in irregularities or abnormal conditions to maximise the safety and integrity of the vessel</w:t>
            </w:r>
          </w:p>
        </w:tc>
      </w:tr>
      <w:tr w:rsidTr="00421BFC">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4B0E5F">
            <w:pPr>
              <w:pStyle w:val="BodyText"/>
              <w:rPr>
                <w:lang w:val="en-NZ"/>
              </w:rPr>
            </w:pPr>
            <w:r w:rsidRPr="004B0E5F">
              <w:t>1.3</w:t>
            </w:r>
          </w:p>
        </w:tc>
        <w:tc>
          <w:tcPr>
            <w:tcW w:w="6045" w:type="dxa"/>
            <w:tcBorders>
              <w:top w:val="nil"/>
              <w:left w:val="nil"/>
              <w:bottom w:val="nil"/>
              <w:right w:val="nil"/>
            </w:tcBorders>
            <w:tcMar>
              <w:top w:w="0" w:type="dxa"/>
              <w:left w:w="62" w:type="dxa"/>
              <w:bottom w:w="0" w:type="dxa"/>
              <w:right w:w="62" w:type="dxa"/>
            </w:tcMar>
          </w:tcPr>
          <w:p w:rsidR="00000000" w:rsidP="004B0E5F">
            <w:pPr>
              <w:pStyle w:val="BodyText"/>
              <w:rPr>
                <w:lang w:val="en-NZ"/>
              </w:rPr>
            </w:pPr>
            <w:r w:rsidRPr="004B0E5F">
              <w:t>Restrictions on access within the vessel are enforced according to Master instructions</w:t>
            </w:r>
          </w:p>
        </w:tc>
      </w:tr>
      <w:tr w:rsidTr="00421BFC">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4B0E5F">
            <w:pPr>
              <w:pStyle w:val="BodyText"/>
              <w:rPr>
                <w:lang w:val="en-NZ"/>
              </w:rPr>
            </w:pPr>
            <w:r w:rsidRPr="004B0E5F">
              <w:t>1.4</w:t>
            </w:r>
          </w:p>
        </w:tc>
        <w:tc>
          <w:tcPr>
            <w:tcW w:w="6045" w:type="dxa"/>
            <w:tcBorders>
              <w:top w:val="nil"/>
              <w:left w:val="nil"/>
              <w:bottom w:val="nil"/>
              <w:right w:val="nil"/>
            </w:tcBorders>
            <w:tcMar>
              <w:top w:w="0" w:type="dxa"/>
              <w:left w:w="62" w:type="dxa"/>
              <w:bottom w:w="0" w:type="dxa"/>
              <w:right w:w="62" w:type="dxa"/>
            </w:tcMar>
          </w:tcPr>
          <w:p w:rsidR="00000000" w:rsidP="004B0E5F">
            <w:pPr>
              <w:pStyle w:val="BodyText"/>
              <w:rPr>
                <w:lang w:val="en-NZ"/>
              </w:rPr>
            </w:pPr>
            <w:r w:rsidRPr="004B0E5F">
              <w:t>VHF is monitored and informatio</w:t>
            </w:r>
            <w:r w:rsidRPr="004B0E5F">
              <w:t>n is communicated to the Master as required</w:t>
            </w:r>
          </w:p>
        </w:tc>
      </w:tr>
      <w:tr w:rsidTr="00421BFC">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4B0E5F">
            <w:pPr>
              <w:pStyle w:val="BodyText"/>
              <w:rPr>
                <w:lang w:val="en-NZ"/>
              </w:rPr>
            </w:pPr>
            <w:r w:rsidRPr="004B0E5F">
              <w:t>1.5</w:t>
            </w:r>
          </w:p>
        </w:tc>
        <w:tc>
          <w:tcPr>
            <w:tcW w:w="6045" w:type="dxa"/>
            <w:tcBorders>
              <w:top w:val="nil"/>
              <w:left w:val="nil"/>
              <w:bottom w:val="nil"/>
              <w:right w:val="nil"/>
            </w:tcBorders>
            <w:tcMar>
              <w:top w:w="0" w:type="dxa"/>
              <w:left w:w="62" w:type="dxa"/>
              <w:bottom w:w="0" w:type="dxa"/>
              <w:right w:w="62" w:type="dxa"/>
            </w:tcMar>
          </w:tcPr>
          <w:p w:rsidR="00000000" w:rsidP="004B0E5F">
            <w:pPr>
              <w:pStyle w:val="BodyText"/>
              <w:rPr>
                <w:lang w:val="en-NZ"/>
              </w:rPr>
            </w:pPr>
            <w:r w:rsidRPr="004B0E5F">
              <w:t>Procedures for the relief, maintenance and handover of a watch are followed</w:t>
            </w:r>
          </w:p>
        </w:tc>
      </w:tr>
      <w:tr w:rsidTr="00421BFC">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4B0E5F" w:rsidP="004B0E5F">
            <w:pPr>
              <w:pStyle w:val="BodyText"/>
            </w:pPr>
            <w:r w:rsidRPr="004B0E5F">
              <w:rPr>
                <w:rStyle w:val="SpecialBold"/>
              </w:rPr>
              <w:t>2</w:t>
            </w:r>
          </w:p>
        </w:tc>
        <w:tc>
          <w:tcPr>
            <w:tcW w:w="2303" w:type="dxa"/>
            <w:vMerge w:val="restart"/>
            <w:tcBorders>
              <w:top w:val="nil"/>
              <w:left w:val="nil"/>
              <w:bottom w:val="nil"/>
              <w:right w:val="nil"/>
            </w:tcBorders>
            <w:tcMar>
              <w:top w:w="0" w:type="dxa"/>
              <w:left w:w="62" w:type="dxa"/>
              <w:bottom w:w="0" w:type="dxa"/>
              <w:right w:w="62" w:type="dxa"/>
            </w:tcMar>
          </w:tcPr>
          <w:p w:rsidR="00000000" w:rsidP="004B0E5F">
            <w:pPr>
              <w:pStyle w:val="BodyText"/>
              <w:rPr>
                <w:lang w:val="en-NZ"/>
              </w:rPr>
            </w:pPr>
            <w:r w:rsidRPr="004B0E5F">
              <w:rPr>
                <w:rStyle w:val="SpecialBold"/>
              </w:rPr>
              <w:t>Follow instructions to monitor vessel situation when at sea</w:t>
            </w:r>
          </w:p>
        </w:tc>
        <w:tc>
          <w:tcPr>
            <w:tcW w:w="719" w:type="dxa"/>
            <w:tcBorders>
              <w:top w:val="nil"/>
              <w:left w:val="nil"/>
              <w:bottom w:val="nil"/>
              <w:right w:val="nil"/>
            </w:tcBorders>
            <w:tcMar>
              <w:top w:w="0" w:type="dxa"/>
              <w:left w:w="62" w:type="dxa"/>
              <w:bottom w:w="0" w:type="dxa"/>
              <w:right w:w="62" w:type="dxa"/>
            </w:tcMar>
          </w:tcPr>
          <w:p w:rsidR="00000000" w:rsidP="004B0E5F">
            <w:pPr>
              <w:pStyle w:val="BodyText"/>
              <w:rPr>
                <w:lang w:val="en-NZ"/>
              </w:rPr>
            </w:pPr>
            <w:r w:rsidRPr="004B0E5F">
              <w:t>2.1</w:t>
            </w:r>
          </w:p>
        </w:tc>
        <w:tc>
          <w:tcPr>
            <w:tcW w:w="6045" w:type="dxa"/>
            <w:tcBorders>
              <w:top w:val="nil"/>
              <w:left w:val="nil"/>
              <w:bottom w:val="nil"/>
              <w:right w:val="nil"/>
            </w:tcBorders>
            <w:tcMar>
              <w:top w:w="0" w:type="dxa"/>
              <w:left w:w="62" w:type="dxa"/>
              <w:bottom w:w="0" w:type="dxa"/>
              <w:right w:w="62" w:type="dxa"/>
            </w:tcMar>
          </w:tcPr>
          <w:p w:rsidR="00000000" w:rsidP="004B0E5F">
            <w:pPr>
              <w:pStyle w:val="BodyText"/>
              <w:rPr>
                <w:lang w:val="en-NZ"/>
              </w:rPr>
            </w:pPr>
            <w:r w:rsidRPr="004B0E5F">
              <w:t>Responsibilities of a lookout are established</w:t>
            </w:r>
          </w:p>
        </w:tc>
      </w:tr>
      <w:tr w:rsidTr="00421BFC">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4B0E5F">
            <w:pPr>
              <w:pStyle w:val="BodyText"/>
              <w:rPr>
                <w:lang w:val="en-NZ"/>
              </w:rPr>
            </w:pPr>
            <w:r w:rsidRPr="004B0E5F">
              <w:t>2.2</w:t>
            </w:r>
          </w:p>
        </w:tc>
        <w:tc>
          <w:tcPr>
            <w:tcW w:w="6045" w:type="dxa"/>
            <w:tcBorders>
              <w:top w:val="nil"/>
              <w:left w:val="nil"/>
              <w:bottom w:val="nil"/>
              <w:right w:val="nil"/>
            </w:tcBorders>
            <w:tcMar>
              <w:top w:w="0" w:type="dxa"/>
              <w:left w:w="62" w:type="dxa"/>
              <w:bottom w:w="0" w:type="dxa"/>
              <w:right w:w="62" w:type="dxa"/>
            </w:tcMar>
          </w:tcPr>
          <w:p w:rsidR="00000000" w:rsidP="004B0E5F">
            <w:pPr>
              <w:pStyle w:val="BodyText"/>
              <w:rPr>
                <w:lang w:val="en-NZ"/>
              </w:rPr>
            </w:pPr>
            <w:r w:rsidRPr="004B0E5F">
              <w:t>Proper lookout is maintained by sight and hearing at all times according to instructions</w:t>
            </w:r>
          </w:p>
        </w:tc>
      </w:tr>
      <w:tr w:rsidTr="00421BFC">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4B0E5F">
            <w:pPr>
              <w:pStyle w:val="BodyText"/>
              <w:rPr>
                <w:lang w:val="en-NZ"/>
              </w:rPr>
            </w:pPr>
            <w:r w:rsidRPr="004B0E5F">
              <w:t>2.3</w:t>
            </w:r>
          </w:p>
        </w:tc>
        <w:tc>
          <w:tcPr>
            <w:tcW w:w="6045" w:type="dxa"/>
            <w:tcBorders>
              <w:top w:val="nil"/>
              <w:left w:val="nil"/>
              <w:bottom w:val="nil"/>
              <w:right w:val="nil"/>
            </w:tcBorders>
            <w:tcMar>
              <w:top w:w="0" w:type="dxa"/>
              <w:left w:w="62" w:type="dxa"/>
              <w:bottom w:w="0" w:type="dxa"/>
              <w:right w:w="62" w:type="dxa"/>
            </w:tcMar>
          </w:tcPr>
          <w:p w:rsidR="00000000" w:rsidP="004B0E5F">
            <w:pPr>
              <w:pStyle w:val="BodyText"/>
              <w:rPr>
                <w:lang w:val="en-NZ"/>
              </w:rPr>
            </w:pPr>
            <w:r w:rsidRPr="004B0E5F">
              <w:t xml:space="preserve">Lights, shapes and sound signals are correctly recognised and recorded </w:t>
            </w:r>
          </w:p>
        </w:tc>
      </w:tr>
      <w:tr w:rsidTr="00421BFC">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4B0E5F">
            <w:pPr>
              <w:pStyle w:val="BodyText"/>
              <w:rPr>
                <w:lang w:val="en-NZ"/>
              </w:rPr>
            </w:pPr>
            <w:r w:rsidRPr="004B0E5F">
              <w:t>2.4</w:t>
            </w:r>
          </w:p>
        </w:tc>
        <w:tc>
          <w:tcPr>
            <w:tcW w:w="6045" w:type="dxa"/>
            <w:tcBorders>
              <w:top w:val="nil"/>
              <w:left w:val="nil"/>
              <w:bottom w:val="nil"/>
              <w:right w:val="nil"/>
            </w:tcBorders>
            <w:tcMar>
              <w:top w:w="0" w:type="dxa"/>
              <w:left w:w="62" w:type="dxa"/>
              <w:bottom w:w="0" w:type="dxa"/>
              <w:right w:w="62" w:type="dxa"/>
            </w:tcMar>
          </w:tcPr>
          <w:p w:rsidR="00000000" w:rsidP="004B0E5F">
            <w:pPr>
              <w:pStyle w:val="BodyText"/>
              <w:rPr>
                <w:lang w:val="en-NZ"/>
              </w:rPr>
            </w:pPr>
            <w:r w:rsidRPr="004B0E5F">
              <w:t>Approximate bearing of a sound signal, light or other object is reported in degre</w:t>
            </w:r>
            <w:r w:rsidRPr="004B0E5F">
              <w:t>es or points, to the officer in charge of the navigational watch</w:t>
            </w:r>
          </w:p>
        </w:tc>
      </w:tr>
      <w:tr w:rsidTr="00421BFC">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4B0E5F">
            <w:pPr>
              <w:pStyle w:val="BodyText"/>
              <w:rPr>
                <w:lang w:val="en-NZ"/>
              </w:rPr>
            </w:pPr>
            <w:r w:rsidRPr="004B0E5F">
              <w:t>2.5</w:t>
            </w:r>
          </w:p>
        </w:tc>
        <w:tc>
          <w:tcPr>
            <w:tcW w:w="6045" w:type="dxa"/>
            <w:tcBorders>
              <w:top w:val="nil"/>
              <w:left w:val="nil"/>
              <w:bottom w:val="nil"/>
              <w:right w:val="nil"/>
            </w:tcBorders>
            <w:tcMar>
              <w:top w:w="0" w:type="dxa"/>
              <w:left w:w="62" w:type="dxa"/>
              <w:bottom w:w="0" w:type="dxa"/>
              <w:right w:w="62" w:type="dxa"/>
            </w:tcMar>
          </w:tcPr>
          <w:p w:rsidR="00000000" w:rsidP="004B0E5F">
            <w:pPr>
              <w:pStyle w:val="BodyText"/>
              <w:rPr>
                <w:lang w:val="en-NZ"/>
              </w:rPr>
            </w:pPr>
            <w:r w:rsidRPr="004B0E5F">
              <w:t>Effective communication is maintained with the officer in charge of the navigational watch about matters relevant to the safety and integrity of the vessel</w:t>
            </w:r>
          </w:p>
        </w:tc>
      </w:tr>
      <w:tr w:rsidTr="00421BFC">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4B0E5F">
            <w:pPr>
              <w:pStyle w:val="BodyText"/>
              <w:rPr>
                <w:lang w:val="en-NZ"/>
              </w:rPr>
            </w:pPr>
            <w:r w:rsidRPr="004B0E5F">
              <w:t>2.6</w:t>
            </w:r>
          </w:p>
        </w:tc>
        <w:tc>
          <w:tcPr>
            <w:tcW w:w="6045" w:type="dxa"/>
            <w:tcBorders>
              <w:top w:val="nil"/>
              <w:left w:val="nil"/>
              <w:bottom w:val="nil"/>
              <w:right w:val="nil"/>
            </w:tcBorders>
            <w:tcMar>
              <w:top w:w="0" w:type="dxa"/>
              <w:left w:w="62" w:type="dxa"/>
              <w:bottom w:w="0" w:type="dxa"/>
              <w:right w:w="62" w:type="dxa"/>
            </w:tcMar>
          </w:tcPr>
          <w:p w:rsidR="00000000" w:rsidP="004B0E5F">
            <w:pPr>
              <w:pStyle w:val="BodyText"/>
              <w:rPr>
                <w:lang w:val="en-NZ"/>
              </w:rPr>
            </w:pPr>
            <w:r w:rsidRPr="004B0E5F">
              <w:t xml:space="preserve">VHF is monitored and </w:t>
            </w:r>
            <w:r w:rsidRPr="004B0E5F">
              <w:t>information is communicated to the officer in charge of the navigational watch as required</w:t>
            </w:r>
          </w:p>
        </w:tc>
      </w:tr>
      <w:tr w:rsidTr="00421BFC">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4B0E5F">
            <w:pPr>
              <w:pStyle w:val="BodyText"/>
              <w:rPr>
                <w:lang w:val="en-NZ"/>
              </w:rPr>
            </w:pPr>
            <w:r w:rsidRPr="004B0E5F">
              <w:t>2.7</w:t>
            </w:r>
          </w:p>
        </w:tc>
        <w:tc>
          <w:tcPr>
            <w:tcW w:w="6045" w:type="dxa"/>
            <w:tcBorders>
              <w:top w:val="nil"/>
              <w:left w:val="nil"/>
              <w:bottom w:val="nil"/>
              <w:right w:val="nil"/>
            </w:tcBorders>
            <w:tcMar>
              <w:top w:w="0" w:type="dxa"/>
              <w:left w:w="62" w:type="dxa"/>
              <w:bottom w:w="0" w:type="dxa"/>
              <w:right w:w="62" w:type="dxa"/>
            </w:tcMar>
          </w:tcPr>
          <w:p w:rsidR="00000000" w:rsidP="004B0E5F">
            <w:pPr>
              <w:pStyle w:val="BodyText"/>
              <w:rPr>
                <w:lang w:val="en-NZ"/>
              </w:rPr>
            </w:pPr>
            <w:r w:rsidRPr="004B0E5F">
              <w:t>Procedures for the relief, maintenance and handover of a watch are followed</w:t>
            </w:r>
          </w:p>
        </w:tc>
      </w:tr>
      <w:tr w:rsidTr="00421BFC">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4B0E5F" w:rsidP="004B0E5F">
            <w:pPr>
              <w:pStyle w:val="BodyText"/>
            </w:pPr>
            <w:r w:rsidRPr="004B0E5F">
              <w:rPr>
                <w:rStyle w:val="SpecialBold"/>
              </w:rPr>
              <w:t>3</w:t>
            </w:r>
          </w:p>
        </w:tc>
        <w:tc>
          <w:tcPr>
            <w:tcW w:w="2303" w:type="dxa"/>
            <w:vMerge w:val="restart"/>
            <w:tcBorders>
              <w:top w:val="nil"/>
              <w:left w:val="nil"/>
              <w:bottom w:val="nil"/>
              <w:right w:val="nil"/>
            </w:tcBorders>
            <w:tcMar>
              <w:top w:w="0" w:type="dxa"/>
              <w:left w:w="62" w:type="dxa"/>
              <w:bottom w:w="0" w:type="dxa"/>
              <w:right w:w="62" w:type="dxa"/>
            </w:tcMar>
          </w:tcPr>
          <w:p w:rsidR="00000000" w:rsidP="004B0E5F">
            <w:pPr>
              <w:pStyle w:val="BodyText"/>
              <w:rPr>
                <w:lang w:val="en-NZ"/>
              </w:rPr>
            </w:pPr>
            <w:r w:rsidRPr="004B0E5F">
              <w:rPr>
                <w:rStyle w:val="SpecialBold"/>
              </w:rPr>
              <w:t>Respond to potential emergency situations</w:t>
            </w:r>
          </w:p>
        </w:tc>
        <w:tc>
          <w:tcPr>
            <w:tcW w:w="719" w:type="dxa"/>
            <w:tcBorders>
              <w:top w:val="nil"/>
              <w:left w:val="nil"/>
              <w:bottom w:val="nil"/>
              <w:right w:val="nil"/>
            </w:tcBorders>
            <w:tcMar>
              <w:top w:w="0" w:type="dxa"/>
              <w:left w:w="62" w:type="dxa"/>
              <w:bottom w:w="0" w:type="dxa"/>
              <w:right w:w="62" w:type="dxa"/>
            </w:tcMar>
          </w:tcPr>
          <w:p w:rsidR="00000000" w:rsidP="004B0E5F">
            <w:pPr>
              <w:pStyle w:val="BodyText"/>
              <w:rPr>
                <w:lang w:val="en-NZ"/>
              </w:rPr>
            </w:pPr>
            <w:r w:rsidRPr="004B0E5F">
              <w:t>3.1</w:t>
            </w:r>
          </w:p>
        </w:tc>
        <w:tc>
          <w:tcPr>
            <w:tcW w:w="6045" w:type="dxa"/>
            <w:tcBorders>
              <w:top w:val="nil"/>
              <w:left w:val="nil"/>
              <w:bottom w:val="nil"/>
              <w:right w:val="nil"/>
            </w:tcBorders>
            <w:tcMar>
              <w:top w:w="0" w:type="dxa"/>
              <w:left w:w="62" w:type="dxa"/>
              <w:bottom w:w="0" w:type="dxa"/>
              <w:right w:w="62" w:type="dxa"/>
            </w:tcMar>
          </w:tcPr>
          <w:p w:rsidR="00000000" w:rsidP="004B0E5F">
            <w:pPr>
              <w:pStyle w:val="BodyText"/>
              <w:rPr>
                <w:lang w:val="en-NZ"/>
              </w:rPr>
            </w:pPr>
            <w:r w:rsidRPr="004B0E5F">
              <w:t>Emergency situations are promptly reported to the officer in charge of the navigational watch</w:t>
            </w:r>
          </w:p>
        </w:tc>
      </w:tr>
      <w:tr w:rsidTr="00421BFC">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4B0E5F">
            <w:pPr>
              <w:pStyle w:val="BodyText"/>
              <w:rPr>
                <w:lang w:val="en-NZ"/>
              </w:rPr>
            </w:pPr>
            <w:r w:rsidRPr="004B0E5F">
              <w:t>3.2</w:t>
            </w:r>
          </w:p>
        </w:tc>
        <w:tc>
          <w:tcPr>
            <w:tcW w:w="6045" w:type="dxa"/>
            <w:tcBorders>
              <w:top w:val="nil"/>
              <w:left w:val="nil"/>
              <w:bottom w:val="nil"/>
              <w:right w:val="nil"/>
            </w:tcBorders>
            <w:tcMar>
              <w:top w:w="0" w:type="dxa"/>
              <w:left w:w="62" w:type="dxa"/>
              <w:bottom w:w="0" w:type="dxa"/>
              <w:right w:w="62" w:type="dxa"/>
            </w:tcMar>
          </w:tcPr>
          <w:p w:rsidR="00000000" w:rsidP="004B0E5F">
            <w:pPr>
              <w:pStyle w:val="BodyText"/>
              <w:rPr>
                <w:lang w:val="en-NZ"/>
              </w:rPr>
            </w:pPr>
            <w:r w:rsidRPr="004B0E5F">
              <w:t xml:space="preserve">Distress signals are recognised and reported </w:t>
            </w:r>
          </w:p>
        </w:tc>
      </w:tr>
      <w:tr w:rsidTr="00421BFC">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4B0E5F">
            <w:pPr>
              <w:pStyle w:val="BodyText"/>
              <w:rPr>
                <w:lang w:val="en-NZ"/>
              </w:rPr>
            </w:pPr>
            <w:r w:rsidRPr="004B0E5F">
              <w:t>3.3</w:t>
            </w:r>
          </w:p>
        </w:tc>
        <w:tc>
          <w:tcPr>
            <w:tcW w:w="6045" w:type="dxa"/>
            <w:tcBorders>
              <w:top w:val="nil"/>
              <w:left w:val="nil"/>
              <w:bottom w:val="nil"/>
              <w:right w:val="nil"/>
            </w:tcBorders>
            <w:tcMar>
              <w:top w:w="0" w:type="dxa"/>
              <w:left w:w="62" w:type="dxa"/>
              <w:bottom w:w="0" w:type="dxa"/>
              <w:right w:w="62" w:type="dxa"/>
            </w:tcMar>
          </w:tcPr>
          <w:p w:rsidR="00000000" w:rsidP="004B0E5F">
            <w:pPr>
              <w:pStyle w:val="BodyText"/>
              <w:rPr>
                <w:lang w:val="en-NZ"/>
              </w:rPr>
            </w:pPr>
            <w:r w:rsidRPr="004B0E5F">
              <w:t>False distress alerts are avoided and correct action is taken in an accidental activation</w:t>
            </w:r>
          </w:p>
        </w:tc>
      </w:tr>
      <w:tr w:rsidTr="00421BFC">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4B0E5F">
            <w:pPr>
              <w:pStyle w:val="BodyText"/>
              <w:rPr>
                <w:lang w:val="en-NZ"/>
              </w:rPr>
            </w:pPr>
            <w:r w:rsidRPr="004B0E5F">
              <w:t>3.4</w:t>
            </w:r>
          </w:p>
        </w:tc>
        <w:tc>
          <w:tcPr>
            <w:tcW w:w="6045" w:type="dxa"/>
            <w:tcBorders>
              <w:top w:val="nil"/>
              <w:left w:val="nil"/>
              <w:bottom w:val="nil"/>
              <w:right w:val="nil"/>
            </w:tcBorders>
            <w:tcMar>
              <w:top w:w="0" w:type="dxa"/>
              <w:left w:w="62" w:type="dxa"/>
              <w:bottom w:w="0" w:type="dxa"/>
              <w:right w:w="62" w:type="dxa"/>
            </w:tcMar>
          </w:tcPr>
          <w:p w:rsidR="00000000" w:rsidRPr="004B0E5F" w:rsidP="004B0E5F">
            <w:pPr>
              <w:pStyle w:val="BodyText"/>
            </w:pPr>
            <w:r w:rsidRPr="004B0E5F">
              <w:t>Integrity of emergency and distress alerting systems is maintained at all times</w:t>
            </w:r>
          </w:p>
        </w:tc>
      </w:tr>
    </w:tbl>
    <w:p w:rsidR="00421BFC" w:rsidP="004B0E5F">
      <w:pPr>
        <w:pStyle w:val="BodyText"/>
      </w:pPr>
    </w:p>
    <w:p w:rsidR="00421BFC" w:rsidP="004B0E5F">
      <w:pPr>
        <w:pStyle w:val="BodyText"/>
      </w:pPr>
    </w:p>
    <w:p w:rsidR="00000000" w:rsidRPr="004B0E5F" w:rsidP="004B0E5F">
      <w:pPr>
        <w:pStyle w:val="Heading1"/>
      </w:pPr>
      <w:bookmarkStart w:id="7" w:name="O_845461"/>
      <w:bookmarkEnd w:id="7"/>
      <w:r w:rsidRPr="004B0E5F">
        <w:t>Foundation Skills</w:t>
      </w:r>
    </w:p>
    <w:p w:rsidR="00421BFC" w:rsidP="00421BFC">
      <w:pPr>
        <w:pStyle w:val="BodyText"/>
      </w:pPr>
      <w:r w:rsidRPr="004B0E5F">
        <w:t>Foundation skills essential to performance are explicit in the performance criteria of this unit of competency.</w:t>
      </w:r>
    </w:p>
    <w:p w:rsidR="00000000" w:rsidRPr="004B0E5F" w:rsidP="004B0E5F">
      <w:pPr>
        <w:pStyle w:val="Heading1"/>
      </w:pPr>
      <w:bookmarkStart w:id="8" w:name="O_845462"/>
      <w:bookmarkEnd w:id="8"/>
      <w:r w:rsidRPr="004B0E5F">
        <w:t>Range of</w:t>
      </w:r>
      <w:r w:rsidRPr="004B0E5F">
        <w:t xml:space="preserve"> Conditions</w:t>
      </w:r>
    </w:p>
    <w:tbl>
      <w:tblPr>
        <w:tblW w:w="9498" w:type="dxa"/>
        <w:tblLayout w:type="fixed"/>
        <w:tblCellMar>
          <w:left w:w="62" w:type="dxa"/>
          <w:right w:w="62" w:type="dxa"/>
        </w:tblCellMar>
        <w:tblLook w:val="0000"/>
      </w:tblPr>
      <w:tblGrid>
        <w:gridCol w:w="2735"/>
        <w:gridCol w:w="6763"/>
      </w:tblGrid>
      <w:tr w:rsidTr="004B0E5F">
        <w:tblPrEx>
          <w:tblW w:w="9498" w:type="dxa"/>
          <w:tblLayout w:type="fixed"/>
          <w:tblCellMar>
            <w:left w:w="62" w:type="dxa"/>
            <w:right w:w="62" w:type="dxa"/>
          </w:tblCellMar>
          <w:tblLook w:val="0000"/>
        </w:tblPrEx>
        <w:tc>
          <w:tcPr>
            <w:tcW w:w="9498" w:type="dxa"/>
            <w:gridSpan w:val="2"/>
            <w:tcBorders>
              <w:top w:val="nil"/>
              <w:left w:val="nil"/>
              <w:bottom w:val="nil"/>
              <w:right w:val="nil"/>
            </w:tcBorders>
            <w:tcMar>
              <w:top w:w="0" w:type="dxa"/>
              <w:left w:w="62" w:type="dxa"/>
              <w:bottom w:w="0" w:type="dxa"/>
              <w:right w:w="62" w:type="dxa"/>
            </w:tcMar>
          </w:tcPr>
          <w:p w:rsidR="00000000" w:rsidRPr="004B0E5F" w:rsidP="004B0E5F">
            <w:pPr>
              <w:pStyle w:val="BodyText"/>
            </w:pPr>
            <w:r w:rsidRPr="004B0E5F">
              <w:t>Range is restricted to essential operating conditions and any other variables essential to the work environment.</w:t>
            </w:r>
          </w:p>
          <w:p w:rsidR="00000000" w:rsidP="004B0E5F">
            <w:pPr>
              <w:pStyle w:val="BodyText"/>
              <w:rPr>
                <w:lang w:val="en-NZ"/>
              </w:rPr>
            </w:pPr>
            <w:r w:rsidRPr="004B0E5F">
              <w:t>Non-essential conditions can be found in the Companion Volume Implementation Guide.</w:t>
            </w:r>
          </w:p>
        </w:tc>
      </w:tr>
      <w:tr w:rsidTr="004B0E5F">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4B0E5F">
            <w:pPr>
              <w:pStyle w:val="BodyText"/>
              <w:rPr>
                <w:lang w:val="en-NZ"/>
              </w:rPr>
            </w:pPr>
            <w:r w:rsidRPr="004B0E5F">
              <w:t>Scheduled checks and inspections include one or more of the following:</w:t>
            </w:r>
          </w:p>
        </w:tc>
        <w:tc>
          <w:tcPr>
            <w:tcW w:w="6763" w:type="dxa"/>
            <w:tcBorders>
              <w:top w:val="nil"/>
              <w:left w:val="nil"/>
              <w:bottom w:val="nil"/>
              <w:right w:val="nil"/>
            </w:tcBorders>
            <w:tcMar>
              <w:top w:w="0" w:type="dxa"/>
              <w:left w:w="62" w:type="dxa"/>
              <w:bottom w:w="0" w:type="dxa"/>
              <w:right w:w="62" w:type="dxa"/>
            </w:tcMar>
          </w:tcPr>
          <w:p w:rsidR="00000000" w:rsidRPr="004B0E5F" w:rsidP="004B0E5F">
            <w:pPr>
              <w:pStyle w:val="ListBullet"/>
            </w:pPr>
            <w:r w:rsidRPr="004B0E5F">
              <w:t>coverage</w:t>
            </w:r>
          </w:p>
          <w:p w:rsidR="00000000" w:rsidRPr="004B0E5F" w:rsidP="004B0E5F">
            <w:pPr>
              <w:pStyle w:val="ListBullet"/>
            </w:pPr>
            <w:r w:rsidRPr="004B0E5F">
              <w:t>frequency</w:t>
            </w:r>
          </w:p>
          <w:p w:rsidR="00000000" w:rsidP="004B0E5F">
            <w:pPr>
              <w:pStyle w:val="ListBullet"/>
              <w:rPr>
                <w:lang w:val="en-NZ"/>
              </w:rPr>
            </w:pPr>
            <w:r w:rsidRPr="004B0E5F">
              <w:t>timing</w:t>
            </w:r>
          </w:p>
        </w:tc>
      </w:tr>
      <w:tr w:rsidTr="004B0E5F">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4B0E5F">
            <w:pPr>
              <w:pStyle w:val="BodyText"/>
              <w:rPr>
                <w:lang w:val="en-NZ"/>
              </w:rPr>
            </w:pPr>
            <w:r w:rsidRPr="004B0E5F">
              <w:t>Irregularities or abnormal conditions include one or more of the following:</w:t>
            </w:r>
          </w:p>
        </w:tc>
        <w:tc>
          <w:tcPr>
            <w:tcW w:w="6763" w:type="dxa"/>
            <w:tcBorders>
              <w:top w:val="nil"/>
              <w:left w:val="nil"/>
              <w:bottom w:val="nil"/>
              <w:right w:val="nil"/>
            </w:tcBorders>
            <w:tcMar>
              <w:top w:w="0" w:type="dxa"/>
              <w:left w:w="62" w:type="dxa"/>
              <w:bottom w:w="0" w:type="dxa"/>
              <w:right w:w="62" w:type="dxa"/>
            </w:tcMar>
          </w:tcPr>
          <w:p w:rsidR="00000000" w:rsidRPr="004B0E5F" w:rsidP="004B0E5F">
            <w:pPr>
              <w:pStyle w:val="ListBullet"/>
            </w:pPr>
            <w:r w:rsidRPr="004B0E5F">
              <w:t>events affecting the safety and integrity of:</w:t>
            </w:r>
          </w:p>
          <w:p w:rsidR="00000000" w:rsidRPr="004B0E5F" w:rsidP="004B0E5F">
            <w:pPr>
              <w:pStyle w:val="ListBullet2"/>
            </w:pPr>
            <w:r w:rsidRPr="004B0E5F">
              <w:t>crew</w:t>
            </w:r>
          </w:p>
          <w:p w:rsidR="00000000" w:rsidRPr="004B0E5F" w:rsidP="004B0E5F">
            <w:pPr>
              <w:pStyle w:val="ListBullet2"/>
            </w:pPr>
            <w:r w:rsidRPr="004B0E5F">
              <w:t>equipment</w:t>
            </w:r>
          </w:p>
          <w:p w:rsidR="00000000" w:rsidRPr="004B0E5F" w:rsidP="004B0E5F">
            <w:pPr>
              <w:pStyle w:val="ListBullet2"/>
            </w:pPr>
            <w:r w:rsidRPr="004B0E5F">
              <w:t>materials such as cargo</w:t>
            </w:r>
          </w:p>
          <w:p w:rsidR="00000000" w:rsidP="004B0E5F">
            <w:pPr>
              <w:pStyle w:val="ListBullet2"/>
              <w:rPr>
                <w:lang w:val="en-NZ"/>
              </w:rPr>
            </w:pPr>
            <w:r w:rsidRPr="004B0E5F">
              <w:t>vessel</w:t>
            </w:r>
          </w:p>
        </w:tc>
      </w:tr>
      <w:tr w:rsidTr="004B0E5F">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4B0E5F">
            <w:pPr>
              <w:pStyle w:val="BodyText"/>
              <w:rPr>
                <w:lang w:val="en-NZ"/>
              </w:rPr>
            </w:pPr>
            <w:r w:rsidRPr="004B0E5F">
              <w:t>Emergency situations include one or more of the following:</w:t>
            </w:r>
          </w:p>
        </w:tc>
        <w:tc>
          <w:tcPr>
            <w:tcW w:w="6763" w:type="dxa"/>
            <w:tcBorders>
              <w:top w:val="nil"/>
              <w:left w:val="nil"/>
              <w:bottom w:val="nil"/>
              <w:right w:val="nil"/>
            </w:tcBorders>
            <w:tcMar>
              <w:top w:w="0" w:type="dxa"/>
              <w:left w:w="62" w:type="dxa"/>
              <w:bottom w:w="0" w:type="dxa"/>
              <w:right w:w="62" w:type="dxa"/>
            </w:tcMar>
          </w:tcPr>
          <w:p w:rsidR="00000000" w:rsidRPr="004B0E5F" w:rsidP="004B0E5F">
            <w:pPr>
              <w:pStyle w:val="ListBullet"/>
            </w:pPr>
            <w:r w:rsidRPr="004B0E5F">
              <w:t>cargo shift</w:t>
            </w:r>
          </w:p>
          <w:p w:rsidR="00000000" w:rsidRPr="004B0E5F" w:rsidP="004B0E5F">
            <w:pPr>
              <w:pStyle w:val="ListBullet"/>
            </w:pPr>
            <w:r w:rsidRPr="004B0E5F">
              <w:t>collision</w:t>
            </w:r>
          </w:p>
          <w:p w:rsidR="00000000" w:rsidRPr="004B0E5F" w:rsidP="004B0E5F">
            <w:pPr>
              <w:pStyle w:val="ListBullet"/>
            </w:pPr>
            <w:r w:rsidRPr="004B0E5F">
              <w:t>dragging anchor</w:t>
            </w:r>
          </w:p>
          <w:p w:rsidR="00000000" w:rsidRPr="004B0E5F" w:rsidP="004B0E5F">
            <w:pPr>
              <w:pStyle w:val="ListBullet"/>
            </w:pPr>
            <w:r w:rsidRPr="004B0E5F">
              <w:t>failure of vessel equipment and navigational lights</w:t>
            </w:r>
          </w:p>
          <w:p w:rsidR="00000000" w:rsidRPr="004B0E5F" w:rsidP="004B0E5F">
            <w:pPr>
              <w:pStyle w:val="ListBullet"/>
            </w:pPr>
            <w:r w:rsidRPr="004B0E5F">
              <w:t>fire, including engine room scavenge fires</w:t>
            </w:r>
          </w:p>
          <w:p w:rsidR="00000000" w:rsidRPr="004B0E5F" w:rsidP="004B0E5F">
            <w:pPr>
              <w:pStyle w:val="ListBullet"/>
            </w:pPr>
            <w:r w:rsidRPr="004B0E5F">
              <w:t>fog or restricted visibility</w:t>
            </w:r>
          </w:p>
          <w:p w:rsidR="00000000" w:rsidRPr="004B0E5F" w:rsidP="004B0E5F">
            <w:pPr>
              <w:pStyle w:val="ListBullet"/>
            </w:pPr>
            <w:r w:rsidRPr="004B0E5F">
              <w:t>heavy weather</w:t>
            </w:r>
          </w:p>
          <w:p w:rsidR="00000000" w:rsidRPr="004B0E5F" w:rsidP="004B0E5F">
            <w:pPr>
              <w:pStyle w:val="ListBullet"/>
            </w:pPr>
            <w:r w:rsidRPr="004B0E5F">
              <w:t>loss of:</w:t>
            </w:r>
          </w:p>
          <w:p w:rsidR="00000000" w:rsidRPr="004B0E5F" w:rsidP="004B0E5F">
            <w:pPr>
              <w:pStyle w:val="ListBullet2"/>
            </w:pPr>
            <w:r w:rsidRPr="004B0E5F">
              <w:t>engine or propulsion controls</w:t>
            </w:r>
          </w:p>
          <w:p w:rsidR="00000000" w:rsidRPr="004B0E5F" w:rsidP="004B0E5F">
            <w:pPr>
              <w:pStyle w:val="ListBullet2"/>
            </w:pPr>
            <w:r w:rsidRPr="004B0E5F">
              <w:t>watertight integrity</w:t>
            </w:r>
          </w:p>
          <w:p w:rsidR="00000000" w:rsidRPr="004B0E5F" w:rsidP="004B0E5F">
            <w:pPr>
              <w:pStyle w:val="ListBullet2"/>
            </w:pPr>
            <w:r w:rsidRPr="004B0E5F">
              <w:t>mooring lines</w:t>
            </w:r>
          </w:p>
          <w:p w:rsidR="00000000" w:rsidRPr="004B0E5F" w:rsidP="004B0E5F">
            <w:pPr>
              <w:pStyle w:val="ListBullet"/>
            </w:pPr>
            <w:r w:rsidRPr="004B0E5F">
              <w:t>person overboard</w:t>
            </w:r>
          </w:p>
          <w:p w:rsidR="00000000" w:rsidRPr="004B0E5F" w:rsidP="004B0E5F">
            <w:pPr>
              <w:pStyle w:val="ListBullet"/>
            </w:pPr>
            <w:r w:rsidRPr="004B0E5F">
              <w:t>reception of distress signal</w:t>
            </w:r>
          </w:p>
          <w:p w:rsidR="00000000" w:rsidRPr="004B0E5F" w:rsidP="004B0E5F">
            <w:pPr>
              <w:pStyle w:val="ListBullet"/>
            </w:pPr>
            <w:r w:rsidRPr="004B0E5F">
              <w:t>stranding</w:t>
            </w:r>
          </w:p>
          <w:p w:rsidR="00000000" w:rsidRPr="004B0E5F" w:rsidP="004B0E5F">
            <w:pPr>
              <w:pStyle w:val="ListBullet"/>
            </w:pPr>
            <w:r w:rsidRPr="004B0E5F">
              <w:t>sudden list or loll</w:t>
            </w:r>
          </w:p>
          <w:p w:rsidR="00000000" w:rsidRPr="004B0E5F" w:rsidP="004B0E5F">
            <w:pPr>
              <w:pStyle w:val="ListBullet"/>
            </w:pPr>
            <w:r w:rsidRPr="004B0E5F">
              <w:t>synchronous rolling</w:t>
            </w:r>
          </w:p>
        </w:tc>
      </w:tr>
    </w:tbl>
    <w:p w:rsidR="00421BFC" w:rsidP="004B0E5F">
      <w:pPr>
        <w:pStyle w:val="BodyText"/>
      </w:pPr>
    </w:p>
    <w:p w:rsidR="00421BFC" w:rsidP="004B0E5F">
      <w:pPr>
        <w:pStyle w:val="BodyText"/>
      </w:pPr>
    </w:p>
    <w:p w:rsidR="00000000" w:rsidRPr="004B0E5F" w:rsidP="004B0E5F">
      <w:pPr>
        <w:pStyle w:val="Heading1"/>
      </w:pPr>
      <w:bookmarkStart w:id="9" w:name="O_845463"/>
      <w:bookmarkEnd w:id="9"/>
      <w:r w:rsidRPr="004B0E5F">
        <w:t>Unit Mapping Information</w:t>
      </w:r>
    </w:p>
    <w:p w:rsidR="00421BFC" w:rsidP="00421BFC">
      <w:pPr>
        <w:pStyle w:val="BodyText"/>
      </w:pPr>
      <w:r w:rsidRPr="004B0E5F">
        <w:t>This unit replaces and is equivalent to MARO3002A Contribute to monitoring and controlling a safe navigational watch.</w:t>
      </w:r>
    </w:p>
    <w:p w:rsidR="00000000" w:rsidRPr="004B0E5F" w:rsidP="004B0E5F">
      <w:pPr>
        <w:pStyle w:val="Heading1"/>
      </w:pPr>
      <w:bookmarkStart w:id="10" w:name="O_845470"/>
      <w:bookmarkEnd w:id="10"/>
      <w:r w:rsidRPr="004B0E5F">
        <w:t>Links</w:t>
      </w:r>
    </w:p>
    <w:p w:rsidR="00000000" w:rsidRPr="004B0E5F" w:rsidP="00421BFC">
      <w:pPr>
        <w:pStyle w:val="BodyText"/>
      </w:pPr>
      <w:r w:rsidRPr="004B0E5F">
        <w:t xml:space="preserve">Companion Volume implementation guides are found in VETNet - </w:t>
      </w:r>
      <w:r>
        <w:fldChar w:fldCharType="begin"/>
      </w:r>
      <w:r>
        <w:instrText xml:space="preserve"> HYPERLINK "https://vetnet.gov.au/Pages/TrainingDocs.aspx?q=772efb7b-4cce-47fe-9bbd-ee3b1d1eb4c2" </w:instrText>
      </w:r>
      <w:r>
        <w:fldChar w:fldCharType="separate"/>
      </w:r>
      <w:r w:rsidRPr="00367BE0">
        <w:rPr>
          <w:rStyle w:val="Hyperlink"/>
        </w:rPr>
        <w:t>https://vetnet.gov.au/Pages/TrainingDocs.aspx?q=772efb7b-4cce-47fe-9bbd-ee3b1d1eb4c2</w:t>
      </w:r>
      <w:r>
        <w:fldChar w:fldCharType="end"/>
      </w:r>
    </w:p>
    <w:p w:rsidR="00000000" w:rsidRPr="004B0E5F" w:rsidP="00421BFC">
      <w:pPr>
        <w:pStyle w:val="BodyText"/>
        <w:sectPr w:rsidSect="004B0E5F">
          <w:headerReference w:type="default" r:id="rId10"/>
          <w:footerReference w:type="default" r:id="rId11"/>
          <w:pgSz w:w="11908" w:h="16833"/>
          <w:pgMar w:top="1702" w:right="1418" w:bottom="1702" w:left="1418" w:header="992" w:footer="992" w:gutter="0"/>
          <w:cols w:space="720"/>
          <w:noEndnote/>
          <w:docGrid w:linePitch="299"/>
        </w:sectPr>
      </w:pPr>
    </w:p>
    <w:p w:rsidR="00000000" w:rsidRPr="004B0E5F" w:rsidP="004B0E5F">
      <w:pPr>
        <w:pStyle w:val="SuperHeading"/>
      </w:pPr>
      <w:r w:rsidRPr="004B0E5F">
        <w:t>Assessment Requirements for MARO006 Contribute to monitoring and controlling a safe navigational watch</w:t>
      </w:r>
    </w:p>
    <w:p w:rsidR="00000000" w:rsidRPr="004B0E5F" w:rsidP="004B0E5F">
      <w:pPr>
        <w:pStyle w:val="Heading1"/>
      </w:pPr>
      <w:bookmarkStart w:id="11" w:name="O_845465"/>
      <w:bookmarkEnd w:id="11"/>
      <w:r w:rsidRPr="004B0E5F">
        <w:t>Modification History</w:t>
      </w:r>
    </w:p>
    <w:p w:rsidR="00421BFC" w:rsidP="00421BFC">
      <w:pPr>
        <w:pStyle w:val="BodyText"/>
      </w:pPr>
      <w:r w:rsidRPr="004B0E5F">
        <w:t>Release 1. New unit of competency.</w:t>
      </w:r>
    </w:p>
    <w:p w:rsidR="00000000" w:rsidRPr="004B0E5F" w:rsidP="004B0E5F">
      <w:pPr>
        <w:pStyle w:val="Heading1"/>
      </w:pPr>
      <w:bookmarkStart w:id="12" w:name="O_845466"/>
      <w:bookmarkEnd w:id="12"/>
      <w:r w:rsidRPr="004B0E5F">
        <w:t>Performance Evidence</w:t>
      </w:r>
    </w:p>
    <w:tbl>
      <w:tblPr>
        <w:tblW w:w="9498" w:type="dxa"/>
        <w:tblLayout w:type="fixed"/>
        <w:tblCellMar>
          <w:left w:w="62" w:type="dxa"/>
          <w:right w:w="62" w:type="dxa"/>
        </w:tblCellMar>
        <w:tblLook w:val="0000"/>
      </w:tblPr>
      <w:tblGrid>
        <w:gridCol w:w="9498"/>
      </w:tblGrid>
      <w:tr w:rsidTr="004B0E5F">
        <w:tblPrEx>
          <w:tblW w:w="9498" w:type="dxa"/>
          <w:tblLayout w:type="fixed"/>
          <w:tblCellMar>
            <w:left w:w="62" w:type="dxa"/>
            <w:right w:w="62" w:type="dxa"/>
          </w:tblCellMar>
          <w:tblLook w:val="0000"/>
        </w:tblPrEx>
        <w:trPr>
          <w:trHeight w:val="1057"/>
        </w:trPr>
        <w:tc>
          <w:tcPr>
            <w:tcW w:w="9498" w:type="dxa"/>
            <w:tcBorders>
              <w:top w:val="nil"/>
              <w:left w:val="nil"/>
              <w:bottom w:val="nil"/>
              <w:right w:val="nil"/>
            </w:tcBorders>
            <w:tcMar>
              <w:top w:w="0" w:type="dxa"/>
              <w:left w:w="62" w:type="dxa"/>
              <w:bottom w:w="0" w:type="dxa"/>
              <w:right w:w="62" w:type="dxa"/>
            </w:tcMar>
          </w:tcPr>
          <w:p w:rsidR="00000000" w:rsidP="004B0E5F">
            <w:pPr>
              <w:pStyle w:val="BodyText"/>
              <w:rPr>
                <w:lang w:val="en-NZ"/>
              </w:rPr>
            </w:pPr>
            <w:r w:rsidRPr="004B0E5F">
              <w:t>Evidence required to demonstrate competence in this unit must be relevant to and satisfy all of the requirements of the elements and performance criteria on at least one occasion and include:</w:t>
            </w:r>
          </w:p>
        </w:tc>
      </w:tr>
      <w:tr w:rsidTr="004B0E5F">
        <w:tblPrEx>
          <w:tblW w:w="9498" w:type="dxa"/>
          <w:tblLayout w:type="fixed"/>
          <w:tblCellMar>
            <w:left w:w="62" w:type="dxa"/>
            <w:right w:w="62" w:type="dxa"/>
          </w:tblCellMar>
          <w:tblLook w:val="0000"/>
        </w:tblPrEx>
        <w:trPr>
          <w:trHeight w:val="2752"/>
        </w:trPr>
        <w:tc>
          <w:tcPr>
            <w:tcW w:w="9498" w:type="dxa"/>
            <w:tcBorders>
              <w:top w:val="nil"/>
              <w:left w:val="nil"/>
              <w:bottom w:val="nil"/>
              <w:right w:val="nil"/>
            </w:tcBorders>
            <w:tcMar>
              <w:top w:w="0" w:type="dxa"/>
              <w:left w:w="62" w:type="dxa"/>
              <w:bottom w:w="0" w:type="dxa"/>
              <w:right w:w="62" w:type="dxa"/>
            </w:tcMar>
          </w:tcPr>
          <w:p w:rsidR="00000000" w:rsidRPr="004B0E5F" w:rsidP="004B0E5F">
            <w:pPr>
              <w:pStyle w:val="ListBullet"/>
            </w:pPr>
            <w:r w:rsidRPr="004B0E5F">
              <w:t>applying relevant work he</w:t>
            </w:r>
            <w:r w:rsidRPr="004B0E5F">
              <w:t>alth and safety (WHS)/occupational health and safety (OHS) requirements and work practices</w:t>
            </w:r>
          </w:p>
          <w:p w:rsidR="00000000" w:rsidRPr="004B0E5F" w:rsidP="004B0E5F">
            <w:pPr>
              <w:pStyle w:val="ListBullet"/>
            </w:pPr>
            <w:r w:rsidRPr="004B0E5F">
              <w:t>communicating clearly and concisely and acknowledging orders in a seamanlike manner</w:t>
            </w:r>
          </w:p>
          <w:p w:rsidR="00000000" w:rsidRPr="004B0E5F" w:rsidP="004B0E5F">
            <w:pPr>
              <w:pStyle w:val="ListBullet"/>
            </w:pPr>
            <w:r w:rsidRPr="004B0E5F">
              <w:t>communicating effectively with the officer in charge of the navigational watch ab</w:t>
            </w:r>
            <w:r w:rsidRPr="004B0E5F">
              <w:t>out matters relevant to watchkeeping duties</w:t>
            </w:r>
          </w:p>
          <w:p w:rsidR="00000000" w:rsidRPr="004B0E5F" w:rsidP="004B0E5F">
            <w:pPr>
              <w:pStyle w:val="ListBullet"/>
            </w:pPr>
            <w:r w:rsidRPr="004B0E5F">
              <w:t>conforming to accepted practices and procedures in the maintenance, handover and relief of the navigational watch</w:t>
            </w:r>
          </w:p>
          <w:p w:rsidR="00000000" w:rsidRPr="004B0E5F" w:rsidP="004B0E5F">
            <w:pPr>
              <w:pStyle w:val="ListBullet"/>
            </w:pPr>
            <w:r w:rsidRPr="004B0E5F">
              <w:t>conforming to established procedures and practices in taking initial action on becoming aware of an emergency or abnormal situation</w:t>
            </w:r>
          </w:p>
          <w:p w:rsidR="00000000" w:rsidRPr="004B0E5F" w:rsidP="004B0E5F">
            <w:pPr>
              <w:pStyle w:val="ListBullet"/>
            </w:pPr>
            <w:r w:rsidRPr="004B0E5F">
              <w:t>identifying and reporting lights, buoys and sound signals</w:t>
            </w:r>
          </w:p>
          <w:p w:rsidR="00000000" w:rsidRPr="004B0E5F" w:rsidP="004B0E5F">
            <w:pPr>
              <w:pStyle w:val="ListBullet"/>
            </w:pPr>
            <w:r w:rsidRPr="004B0E5F">
              <w:t>monitoring and anticipating hazards and risks that may arise durin</w:t>
            </w:r>
            <w:r w:rsidRPr="004B0E5F">
              <w:t>g watchkeeping duties</w:t>
            </w:r>
          </w:p>
          <w:p w:rsidR="00000000" w:rsidRPr="004B0E5F" w:rsidP="004B0E5F">
            <w:pPr>
              <w:pStyle w:val="ListBullet"/>
            </w:pPr>
            <w:r w:rsidRPr="004B0E5F">
              <w:t>monitoring vessel situation including:</w:t>
            </w:r>
          </w:p>
          <w:p w:rsidR="00000000" w:rsidRPr="004B0E5F" w:rsidP="004B0E5F">
            <w:pPr>
              <w:pStyle w:val="ListBullet2"/>
            </w:pPr>
            <w:r w:rsidRPr="004B0E5F">
              <w:t>communicating with other vessels</w:t>
            </w:r>
          </w:p>
          <w:p w:rsidR="00000000" w:rsidRPr="004B0E5F" w:rsidP="004B0E5F">
            <w:pPr>
              <w:pStyle w:val="ListBullet2"/>
            </w:pPr>
            <w:r w:rsidRPr="004B0E5F">
              <w:t>communicating with those onshore</w:t>
            </w:r>
          </w:p>
          <w:p w:rsidR="00000000" w:rsidRPr="004B0E5F" w:rsidP="004B0E5F">
            <w:pPr>
              <w:pStyle w:val="ListBullet2"/>
            </w:pPr>
            <w:r w:rsidRPr="004B0E5F">
              <w:t>regularly checking weather reports and warnings</w:t>
            </w:r>
          </w:p>
          <w:p w:rsidR="00000000" w:rsidRPr="004B0E5F" w:rsidP="004B0E5F">
            <w:pPr>
              <w:pStyle w:val="ListBullet"/>
            </w:pPr>
            <w:r w:rsidRPr="004B0E5F">
              <w:t>monitoring VHF equipment</w:t>
            </w:r>
          </w:p>
          <w:p w:rsidR="00000000" w:rsidRPr="004B0E5F" w:rsidP="004B0E5F">
            <w:pPr>
              <w:pStyle w:val="ListBullet"/>
            </w:pPr>
            <w:r w:rsidRPr="004B0E5F">
              <w:t>recognising and reporting distress signals including:</w:t>
            </w:r>
          </w:p>
          <w:p w:rsidR="00000000" w:rsidRPr="004B0E5F" w:rsidP="004B0E5F">
            <w:pPr>
              <w:pStyle w:val="ListBullet2"/>
            </w:pPr>
            <w:r w:rsidRPr="004B0E5F">
              <w:t>pyrotechnic distress signals</w:t>
            </w:r>
          </w:p>
          <w:p w:rsidR="00000000" w:rsidRPr="004B0E5F" w:rsidP="004B0E5F">
            <w:pPr>
              <w:pStyle w:val="ListBullet2"/>
            </w:pPr>
            <w:r w:rsidRPr="004B0E5F">
              <w:t xml:space="preserve">search and rescue transponders (SARTs) </w:t>
            </w:r>
          </w:p>
          <w:p w:rsidR="00000000" w:rsidRPr="004B0E5F" w:rsidP="004B0E5F">
            <w:pPr>
              <w:pStyle w:val="ListBullet2"/>
            </w:pPr>
            <w:r w:rsidRPr="004B0E5F">
              <w:t>satellite emergency position indicating radio beacons (EPIRBs)</w:t>
            </w:r>
          </w:p>
          <w:p w:rsidR="00000000" w:rsidRPr="004B0E5F" w:rsidP="004B0E5F">
            <w:pPr>
              <w:pStyle w:val="ListBullet"/>
            </w:pPr>
            <w:r w:rsidRPr="004B0E5F">
              <w:t>recognising potential hazards, assessing and reporting risks to the officer in charge of the navigational watch</w:t>
            </w:r>
          </w:p>
          <w:p w:rsidR="00000000" w:rsidRPr="004B0E5F" w:rsidP="004B0E5F">
            <w:pPr>
              <w:pStyle w:val="ListBullet"/>
            </w:pPr>
            <w:r w:rsidRPr="004B0E5F">
              <w:t>reporting approximate bearing of a sound signal, light or other object in degrees or points</w:t>
            </w:r>
          </w:p>
          <w:p w:rsidR="00000000" w:rsidRPr="004B0E5F" w:rsidP="004B0E5F">
            <w:pPr>
              <w:pStyle w:val="ListBullet"/>
            </w:pPr>
            <w:r w:rsidRPr="004B0E5F">
              <w:t>reporting other ships, objects lights and navigation marks correctly, in relation to the ship’s head</w:t>
            </w:r>
          </w:p>
          <w:p w:rsidR="00000000" w:rsidRPr="004B0E5F" w:rsidP="004B0E5F">
            <w:pPr>
              <w:pStyle w:val="ListBullet"/>
            </w:pPr>
            <w:r w:rsidRPr="004B0E5F">
              <w:t>responding to orders given by the officer in charge of the navi</w:t>
            </w:r>
            <w:r w:rsidRPr="004B0E5F">
              <w:t>gational watch</w:t>
            </w:r>
          </w:p>
          <w:p w:rsidR="00000000" w:rsidRPr="004B0E5F" w:rsidP="004B0E5F">
            <w:pPr>
              <w:pStyle w:val="ListBullet"/>
            </w:pPr>
            <w:r w:rsidRPr="004B0E5F">
              <w:t>seeking advice/clarification from the officer in charge of the navigational watch where watch information or instructions are not clearly understood</w:t>
            </w:r>
          </w:p>
          <w:p w:rsidR="00000000" w:rsidRPr="004B0E5F" w:rsidP="004B0E5F">
            <w:pPr>
              <w:pStyle w:val="ListBullet"/>
            </w:pPr>
            <w:r w:rsidRPr="004B0E5F">
              <w:t>using internal communications and alarm systems.</w:t>
            </w:r>
          </w:p>
        </w:tc>
      </w:tr>
    </w:tbl>
    <w:p w:rsidR="00421BFC" w:rsidP="004B0E5F">
      <w:pPr>
        <w:pStyle w:val="BodyText"/>
      </w:pPr>
    </w:p>
    <w:p w:rsidR="00421BFC" w:rsidP="004B0E5F">
      <w:pPr>
        <w:pStyle w:val="BodyText"/>
      </w:pPr>
    </w:p>
    <w:p w:rsidR="00000000" w:rsidRPr="004B0E5F" w:rsidP="004B0E5F">
      <w:pPr>
        <w:pStyle w:val="Heading1"/>
      </w:pPr>
      <w:bookmarkStart w:id="13" w:name="O_845467"/>
      <w:bookmarkEnd w:id="13"/>
      <w:r w:rsidRPr="004B0E5F">
        <w:t>Knowledge Evidence</w:t>
      </w:r>
    </w:p>
    <w:tbl>
      <w:tblPr>
        <w:tblW w:w="9498" w:type="dxa"/>
        <w:tblLayout w:type="fixed"/>
        <w:tblCellMar>
          <w:left w:w="62" w:type="dxa"/>
          <w:right w:w="62" w:type="dxa"/>
        </w:tblCellMar>
        <w:tblLook w:val="0000"/>
      </w:tblPr>
      <w:tblGrid>
        <w:gridCol w:w="9498"/>
      </w:tblGrid>
      <w:tr w:rsidTr="004B0E5F">
        <w:tblPrEx>
          <w:tblW w:w="9498" w:type="dxa"/>
          <w:tblLayout w:type="fixed"/>
          <w:tblCellMar>
            <w:left w:w="62" w:type="dxa"/>
            <w:right w:w="62" w:type="dxa"/>
          </w:tblCellMar>
          <w:tblLook w:val="0000"/>
        </w:tblPrEx>
        <w:trPr>
          <w:trHeight w:val="1108"/>
        </w:trPr>
        <w:tc>
          <w:tcPr>
            <w:tcW w:w="9498" w:type="dxa"/>
            <w:tcBorders>
              <w:top w:val="nil"/>
              <w:left w:val="nil"/>
              <w:bottom w:val="nil"/>
              <w:right w:val="nil"/>
            </w:tcBorders>
            <w:tcMar>
              <w:top w:w="0" w:type="dxa"/>
              <w:left w:w="62" w:type="dxa"/>
              <w:bottom w:w="0" w:type="dxa"/>
              <w:right w:w="62" w:type="dxa"/>
            </w:tcMar>
          </w:tcPr>
          <w:p w:rsidR="00000000" w:rsidP="004B0E5F">
            <w:pPr>
              <w:pStyle w:val="BodyText"/>
              <w:rPr>
                <w:lang w:val="en-NZ"/>
              </w:rPr>
            </w:pPr>
            <w:r w:rsidRPr="004B0E5F">
              <w:t>Evidence required to demonstrate competence in this unit must be relevant to and satisfy all of the requirements of the elements and performance criteria and include knowledge of:</w:t>
            </w:r>
          </w:p>
        </w:tc>
      </w:tr>
      <w:tr w:rsidTr="004B0E5F">
        <w:tblPrEx>
          <w:tblW w:w="9498" w:type="dxa"/>
          <w:tblLayout w:type="fixed"/>
          <w:tblCellMar>
            <w:left w:w="62" w:type="dxa"/>
            <w:right w:w="62" w:type="dxa"/>
          </w:tblCellMar>
          <w:tblLook w:val="0000"/>
        </w:tblPrEx>
        <w:trPr>
          <w:trHeight w:val="1701"/>
        </w:trPr>
        <w:tc>
          <w:tcPr>
            <w:tcW w:w="9498" w:type="dxa"/>
            <w:tcBorders>
              <w:top w:val="nil"/>
              <w:left w:val="nil"/>
              <w:bottom w:val="nil"/>
              <w:right w:val="nil"/>
            </w:tcBorders>
            <w:tcMar>
              <w:top w:w="0" w:type="dxa"/>
              <w:left w:w="62" w:type="dxa"/>
              <w:bottom w:w="0" w:type="dxa"/>
              <w:right w:w="62" w:type="dxa"/>
            </w:tcMar>
          </w:tcPr>
          <w:p w:rsidR="00000000" w:rsidRPr="004B0E5F" w:rsidP="004B0E5F">
            <w:pPr>
              <w:pStyle w:val="ListBullet"/>
            </w:pPr>
            <w:r w:rsidRPr="004B0E5F">
              <w:t>basic environmental protection procedures as they apply on a vessel</w:t>
            </w:r>
          </w:p>
          <w:p w:rsidR="00000000" w:rsidRPr="004B0E5F" w:rsidP="004B0E5F">
            <w:pPr>
              <w:pStyle w:val="ListBullet"/>
            </w:pPr>
            <w:r w:rsidRPr="004B0E5F">
              <w:t>emergency situations and appropriate action and solutions taken to address them</w:t>
            </w:r>
          </w:p>
          <w:p w:rsidR="00000000" w:rsidRPr="004B0E5F" w:rsidP="004B0E5F">
            <w:pPr>
              <w:pStyle w:val="ListBullet"/>
            </w:pPr>
            <w:r w:rsidRPr="004B0E5F">
              <w:t>functions and purpose of pyrotechnic distress signals, satellite EPIRBs and SARTs</w:t>
            </w:r>
          </w:p>
          <w:p w:rsidR="00000000" w:rsidRPr="004B0E5F" w:rsidP="004B0E5F">
            <w:pPr>
              <w:pStyle w:val="ListBullet"/>
            </w:pPr>
            <w:r w:rsidRPr="004B0E5F">
              <w:t>information required to maintain a safe navigational watch on a vessel</w:t>
            </w:r>
          </w:p>
          <w:p w:rsidR="00000000" w:rsidRPr="004B0E5F" w:rsidP="004B0E5F">
            <w:pPr>
              <w:pStyle w:val="ListBullet"/>
            </w:pPr>
            <w:r w:rsidRPr="004B0E5F">
              <w:t>International Regulatio</w:t>
            </w:r>
            <w:r w:rsidRPr="004B0E5F">
              <w:t>ns for Preventing Collisions at Sea</w:t>
            </w:r>
          </w:p>
          <w:p w:rsidR="00000000" w:rsidRPr="004B0E5F" w:rsidP="004B0E5F">
            <w:pPr>
              <w:pStyle w:val="ListBullet"/>
            </w:pPr>
            <w:r w:rsidRPr="004B0E5F">
              <w:t>procedures for the relief, maintenance and handover of a watch</w:t>
            </w:r>
          </w:p>
          <w:p w:rsidR="00000000" w:rsidRPr="004B0E5F" w:rsidP="004B0E5F">
            <w:pPr>
              <w:pStyle w:val="ListBullet"/>
            </w:pPr>
            <w:r w:rsidRPr="004B0E5F">
              <w:t>relevant WHS/OHS requirements, work practices and pollution control regulation and policies</w:t>
            </w:r>
          </w:p>
          <w:p w:rsidR="00000000" w:rsidRPr="004B0E5F" w:rsidP="004B0E5F">
            <w:pPr>
              <w:pStyle w:val="ListBullet"/>
            </w:pPr>
            <w:r w:rsidRPr="004B0E5F">
              <w:t>shipboard terms and definitions that are critical to a safe navig</w:t>
            </w:r>
            <w:r w:rsidRPr="004B0E5F">
              <w:t>ational watch</w:t>
            </w:r>
          </w:p>
          <w:p w:rsidR="00000000" w:rsidRPr="004B0E5F" w:rsidP="004B0E5F">
            <w:pPr>
              <w:pStyle w:val="ListBullet"/>
            </w:pPr>
            <w:r w:rsidRPr="004B0E5F">
              <w:t>types, function and purpose of navigational lights, shapes and sound signals.</w:t>
            </w:r>
          </w:p>
        </w:tc>
      </w:tr>
    </w:tbl>
    <w:p w:rsidR="00421BFC" w:rsidP="004B0E5F">
      <w:pPr>
        <w:pStyle w:val="BodyText"/>
      </w:pPr>
    </w:p>
    <w:p w:rsidR="00421BFC" w:rsidP="004B0E5F">
      <w:pPr>
        <w:pStyle w:val="BodyText"/>
      </w:pPr>
    </w:p>
    <w:p w:rsidR="00000000" w:rsidRPr="004B0E5F" w:rsidP="004B0E5F">
      <w:pPr>
        <w:pStyle w:val="Heading1"/>
      </w:pPr>
      <w:bookmarkStart w:id="14" w:name="O_845468"/>
      <w:bookmarkEnd w:id="14"/>
      <w:r w:rsidRPr="004B0E5F">
        <w:t>Assessment Conditions</w:t>
      </w:r>
    </w:p>
    <w:tbl>
      <w:tblPr>
        <w:tblW w:w="9498" w:type="dxa"/>
        <w:tblLayout w:type="fixed"/>
        <w:tblCellMar>
          <w:left w:w="62" w:type="dxa"/>
          <w:right w:w="62" w:type="dxa"/>
        </w:tblCellMar>
        <w:tblLook w:val="0000"/>
      </w:tblPr>
      <w:tblGrid>
        <w:gridCol w:w="9498"/>
      </w:tblGrid>
      <w:tr w:rsidTr="004B0E5F">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4B0E5F" w:rsidP="004B0E5F">
            <w:pPr>
              <w:pStyle w:val="BodyText"/>
            </w:pPr>
            <w:r w:rsidRPr="004B0E5F">
              <w:t xml:space="preserve">As a minimum, assessors must satisfy applicable regulatory requirements, which include requirements in the </w:t>
            </w:r>
            <w:r w:rsidRPr="004B0E5F">
              <w:rPr>
                <w:rStyle w:val="Emphasis"/>
              </w:rPr>
              <w:t>Standards for R</w:t>
            </w:r>
            <w:r w:rsidRPr="004B0E5F">
              <w:rPr>
                <w:rStyle w:val="Emphasis"/>
              </w:rPr>
              <w:t>egistered Training Organisations</w:t>
            </w:r>
            <w:r w:rsidRPr="004B0E5F">
              <w:t xml:space="preserve"> current at the time of assessment. </w:t>
            </w:r>
          </w:p>
          <w:p w:rsidR="00000000" w:rsidRPr="004B0E5F" w:rsidP="004B0E5F">
            <w:pPr>
              <w:pStyle w:val="BodyText"/>
            </w:pPr>
            <w:r w:rsidRPr="004B0E5F">
              <w:t xml:space="preserve">As a minimum, assessment must satisfy applicable regulatory requirements, which include requirements in the </w:t>
            </w:r>
            <w:r w:rsidRPr="004B0E5F">
              <w:rPr>
                <w:rStyle w:val="Emphasis"/>
              </w:rPr>
              <w:t>Standards for Registered Training Organisations</w:t>
            </w:r>
            <w:r w:rsidRPr="004B0E5F">
              <w:t xml:space="preserve"> current at the time of assessment.</w:t>
            </w:r>
          </w:p>
          <w:p w:rsidR="00000000" w:rsidRPr="004B0E5F" w:rsidP="004B0E5F">
            <w:pPr>
              <w:pStyle w:val="BodyText"/>
            </w:pPr>
            <w:r w:rsidRPr="004B0E5F">
              <w:t>Assessment processes and techniques must be appropriate to the language, literacy and numeracy requirements of the work being performed and the needs of the candidate.</w:t>
            </w:r>
          </w:p>
          <w:p w:rsidR="00000000" w:rsidRPr="004B0E5F" w:rsidP="004B0E5F">
            <w:pPr>
              <w:pStyle w:val="BodyText"/>
            </w:pPr>
            <w:r w:rsidRPr="004B0E5F">
              <w:t xml:space="preserve">Assessment of navigational watchkeeping duties must </w:t>
            </w:r>
            <w:r w:rsidRPr="004B0E5F">
              <w:t>occur in workplace operational situations. Where this is not available, in simulated workplace operational situations that replicate workplace conditions.</w:t>
            </w:r>
          </w:p>
          <w:p w:rsidR="00000000" w:rsidRPr="004B0E5F" w:rsidP="004B0E5F">
            <w:pPr>
              <w:pStyle w:val="BodyText"/>
            </w:pPr>
            <w:r w:rsidRPr="004B0E5F">
              <w:t>Resources for assessment include access to:</w:t>
            </w:r>
          </w:p>
          <w:p w:rsidR="00000000" w:rsidRPr="004B0E5F" w:rsidP="004B0E5F">
            <w:pPr>
              <w:pStyle w:val="ListBullet"/>
            </w:pPr>
            <w:r w:rsidRPr="004B0E5F">
              <w:t>relevant documentation including workplace procedures, r</w:t>
            </w:r>
            <w:r w:rsidRPr="004B0E5F">
              <w:t>egulations, codes of practice and operation manuals</w:t>
            </w:r>
          </w:p>
          <w:p w:rsidR="00000000" w:rsidRPr="004B0E5F" w:rsidP="004B0E5F">
            <w:pPr>
              <w:pStyle w:val="ListBullet"/>
            </w:pPr>
            <w:r w:rsidRPr="004B0E5F">
              <w:t>tools, equipment and personal protective equipment that replicate and are currently used in industry including:</w:t>
            </w:r>
          </w:p>
          <w:p w:rsidR="00000000" w:rsidRPr="004B0E5F" w:rsidP="004B0E5F">
            <w:pPr>
              <w:pStyle w:val="ListBullet2"/>
            </w:pPr>
            <w:r w:rsidRPr="004B0E5F">
              <w:t>EPIRBs</w:t>
            </w:r>
          </w:p>
          <w:p w:rsidR="00000000" w:rsidRPr="004B0E5F" w:rsidP="004B0E5F">
            <w:pPr>
              <w:pStyle w:val="ListBullet2"/>
            </w:pPr>
            <w:r w:rsidRPr="004B0E5F">
              <w:t xml:space="preserve">firefighting equipment </w:t>
            </w:r>
          </w:p>
          <w:p w:rsidR="00000000" w:rsidRPr="004B0E5F" w:rsidP="004B0E5F">
            <w:pPr>
              <w:pStyle w:val="ListBullet2"/>
            </w:pPr>
            <w:r w:rsidRPr="004B0E5F">
              <w:t xml:space="preserve">internal public address system </w:t>
            </w:r>
          </w:p>
          <w:p w:rsidR="00000000" w:rsidRPr="004B0E5F" w:rsidP="004B0E5F">
            <w:pPr>
              <w:pStyle w:val="ListBullet2"/>
            </w:pPr>
            <w:r w:rsidRPr="004B0E5F">
              <w:t>pyrotechnic distress signals</w:t>
            </w:r>
          </w:p>
          <w:p w:rsidR="00000000" w:rsidRPr="004B0E5F" w:rsidP="004B0E5F">
            <w:pPr>
              <w:pStyle w:val="ListBullet2"/>
            </w:pPr>
            <w:r w:rsidRPr="004B0E5F">
              <w:t>SARTs</w:t>
            </w:r>
          </w:p>
          <w:p w:rsidR="00000000" w:rsidRPr="004B0E5F" w:rsidP="004B0E5F">
            <w:pPr>
              <w:pStyle w:val="ListBullet2"/>
            </w:pPr>
            <w:r w:rsidRPr="004B0E5F">
              <w:t>ship’s whistle</w:t>
            </w:r>
          </w:p>
          <w:p w:rsidR="00000000" w:rsidRPr="004B0E5F" w:rsidP="004B0E5F">
            <w:pPr>
              <w:pStyle w:val="ListBullet2"/>
            </w:pPr>
            <w:r w:rsidRPr="004B0E5F">
              <w:t>VHF radio.</w:t>
            </w:r>
          </w:p>
        </w:tc>
      </w:tr>
    </w:tbl>
    <w:p w:rsidR="00421BFC" w:rsidP="004B0E5F">
      <w:pPr>
        <w:pStyle w:val="BodyText"/>
      </w:pPr>
    </w:p>
    <w:p w:rsidR="00421BFC" w:rsidP="004B0E5F">
      <w:pPr>
        <w:pStyle w:val="BodyText"/>
      </w:pPr>
    </w:p>
    <w:p w:rsidR="00000000" w:rsidRPr="004B0E5F" w:rsidP="004B0E5F">
      <w:pPr>
        <w:pStyle w:val="Heading1"/>
      </w:pPr>
      <w:bookmarkStart w:id="15" w:name="O_845471"/>
      <w:bookmarkEnd w:id="15"/>
      <w:r w:rsidRPr="004B0E5F">
        <w:t>Links</w:t>
      </w:r>
    </w:p>
    <w:p w:rsidR="00000000" w:rsidRPr="004B0E5F" w:rsidP="00421BFC">
      <w:pPr>
        <w:pStyle w:val="BodyText"/>
      </w:pPr>
      <w:r w:rsidRPr="004B0E5F">
        <w:t xml:space="preserve">Companion Volume implementation guides are found in VETNet - </w:t>
      </w:r>
      <w:r>
        <w:fldChar w:fldCharType="begin"/>
      </w:r>
      <w:r>
        <w:instrText xml:space="preserve"> HYPERLINK "https://vetnet.gov.au/Pages/TrainingDocs.aspx?q=772efb7b-4cce-47fe-9bbd-ee3b1d1eb4c2" </w:instrText>
      </w:r>
      <w:r>
        <w:fldChar w:fldCharType="separate"/>
      </w:r>
      <w:r w:rsidRPr="00367BE0">
        <w:rPr>
          <w:rStyle w:val="Hyperlink"/>
        </w:rPr>
        <w:t>https://vetnet.gov.au/Pages/TrainingDocs.aspx?q=772efb7b-4cce-47fe-9bbd-ee3b1d1eb4c2</w:t>
      </w:r>
      <w:r>
        <w:fldChar w:fldCharType="end"/>
      </w:r>
    </w:p>
    <w:p w:rsidR="00000000" w:rsidRPr="004B0E5F" w:rsidP="004B0E5F"/>
    <w:sectPr w:rsidSect="004B0E5F">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0E5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0E5F" w:rsidRPr="00421BFC" w:rsidP="00421BF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0E5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1BFC" w:rsidP="004B0E5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421BFC" w:rsidP="004B0E5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421BFC" w:rsidP="004B0E5F">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0E5F" w:rsidP="004B0E5F">
    <w:pPr>
      <w:pStyle w:val="Footer"/>
      <w:framePr w:wrap="around"/>
    </w:pPr>
    <w:r>
      <w:fldChar w:fldCharType="begin"/>
    </w:r>
    <w:r>
      <w:instrText xml:space="preserve"> DOCPROPERTY  Subject  \* MERGEFORMAT </w:instrText>
    </w:r>
    <w:r>
      <w:fldChar w:fldCharType="separate"/>
    </w:r>
    <w:r w:rsidR="00421BFC">
      <w:t>Approved</w:t>
    </w:r>
    <w:r w:rsidR="00421BFC">
      <w:fldChar w:fldCharType="end"/>
    </w:r>
    <w:r>
      <w:tab/>
      <w:t xml:space="preserve">Page </w:t>
    </w:r>
    <w:r>
      <w:fldChar w:fldCharType="begin"/>
    </w:r>
    <w:r>
      <w:instrText xml:space="preserve"> PAGE  \* Arabic  \* MERGEFORMAT </w:instrText>
    </w:r>
    <w:r>
      <w:fldChar w:fldCharType="separate"/>
    </w:r>
    <w:r w:rsidR="00421BFC">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421BFC">
      <w:rPr>
        <w:noProof/>
      </w:rPr>
      <w:t>5</w:t>
    </w:r>
    <w:r>
      <w:rPr>
        <w:noProof/>
      </w:rPr>
      <w:fldChar w:fldCharType="end"/>
    </w:r>
  </w:p>
  <w:p w:rsidR="004B0E5F" w:rsidP="004B0E5F">
    <w:pPr>
      <w:pStyle w:val="Footer"/>
      <w:framePr w:wrap="around"/>
    </w:pPr>
    <w:r>
      <w:t xml:space="preserve">© Commonwealth of Australia, </w:t>
    </w:r>
    <w:r>
      <w:fldChar w:fldCharType="begin"/>
    </w:r>
    <w:r>
      <w:instrText xml:space="preserve"> DATE  \@ "yyyy"  \* MERGEFORMAT </w:instrText>
    </w:r>
    <w:r>
      <w:fldChar w:fldCharType="separate"/>
    </w:r>
    <w:r w:rsidR="00421BFC">
      <w:rPr>
        <w:noProof/>
      </w:rPr>
      <w:t>2025</w:t>
    </w:r>
    <w:r>
      <w:fldChar w:fldCharType="end"/>
    </w:r>
    <w:r>
      <w:tab/>
    </w:r>
    <w:r>
      <w:fldChar w:fldCharType="begin"/>
    </w:r>
    <w:r>
      <w:instrText xml:space="preserve"> DOCPROPERTY  Author  \* MERGEFORMAT </w:instrText>
    </w:r>
    <w:r>
      <w:fldChar w:fldCharType="separate"/>
    </w:r>
    <w:r w:rsidR="00421BFC">
      <w:t>Industry Skills Australia</w:t>
    </w:r>
    <w:r w:rsidR="00421BFC">
      <w:fldChar w:fldCharType="end"/>
    </w:r>
  </w:p>
  <w:p w:rsidR="004B0E5F" w:rsidP="004B0E5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0E5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1BF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B0E5F" w:rsidRPr="00421BFC" w:rsidP="00421BF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0E5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1BFC" w:rsidRPr="002D2AF8" w:rsidP="004B0E5F">
    <w:pPr>
      <w:pStyle w:val="Header"/>
      <w:framePr w:wrap="around"/>
    </w:pPr>
    <w:r>
      <w:fldChar w:fldCharType="begin"/>
    </w:r>
    <w:r>
      <w:instrText xml:space="preserve"> TITLE   \* MERGEFORMAT </w:instrText>
    </w:r>
    <w:r>
      <w:fldChar w:fldCharType="separate"/>
    </w:r>
    <w:r>
      <w:t>MARO006 Contribute to monitoring and controlling a safe navigational watch</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421BFC" w:rsidP="004B0E5F">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0E5F" w:rsidRPr="002D2AF8" w:rsidP="004B0E5F">
    <w:pPr>
      <w:pStyle w:val="Header"/>
      <w:framePr w:wrap="around"/>
    </w:pPr>
    <w:r>
      <w:fldChar w:fldCharType="begin"/>
    </w:r>
    <w:r>
      <w:instrText xml:space="preserve"> TITLE   \* MERGEFORMAT </w:instrText>
    </w:r>
    <w:r>
      <w:fldChar w:fldCharType="separate"/>
    </w:r>
    <w:r w:rsidR="00421BFC">
      <w:t>MARO006 Contribute to monitoring and controlling a safe navigational watch</w:t>
    </w:r>
    <w:r w:rsidR="00421BFC">
      <w:fldChar w:fldCharType="end"/>
    </w:r>
    <w:r>
      <w:tab/>
      <w:t xml:space="preserve">Date this document was generated: </w:t>
    </w:r>
    <w:r>
      <w:fldChar w:fldCharType="begin"/>
    </w:r>
    <w:r>
      <w:instrText xml:space="preserve"> CREATEDATE  \@ "d MMMM yyyy"  \* MERGEFORMAT </w:instrText>
    </w:r>
    <w:r>
      <w:fldChar w:fldCharType="separate"/>
    </w:r>
    <w:r w:rsidR="00421BFC">
      <w:rPr>
        <w:noProof/>
      </w:rPr>
      <w:t>2 March 2025</w:t>
    </w:r>
    <w:r>
      <w:fldChar w:fldCharType="end"/>
    </w:r>
  </w:p>
  <w:p w:rsidR="004B0E5F" w:rsidP="004B0E5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F1262B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A848CD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BCCE5A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B0E5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B0E5F"/>
    <w:pPr>
      <w:spacing w:before="360" w:after="60"/>
      <w:outlineLvl w:val="0"/>
    </w:pPr>
    <w:rPr>
      <w:sz w:val="32"/>
    </w:rPr>
  </w:style>
  <w:style w:type="paragraph" w:styleId="Heading2">
    <w:name w:val="heading 2"/>
    <w:basedOn w:val="HeadingBase"/>
    <w:next w:val="BodyText"/>
    <w:link w:val="Heading2Char"/>
    <w:qFormat/>
    <w:rsid w:val="004B0E5F"/>
    <w:pPr>
      <w:keepLines/>
      <w:spacing w:before="240" w:after="120"/>
      <w:outlineLvl w:val="1"/>
    </w:pPr>
    <w:rPr>
      <w:sz w:val="28"/>
      <w:szCs w:val="40"/>
    </w:rPr>
  </w:style>
  <w:style w:type="paragraph" w:styleId="Heading3">
    <w:name w:val="heading 3"/>
    <w:basedOn w:val="HeadingBase"/>
    <w:next w:val="BodyText"/>
    <w:link w:val="Heading3Char"/>
    <w:qFormat/>
    <w:rsid w:val="004B0E5F"/>
    <w:pPr>
      <w:spacing w:before="180" w:after="120"/>
      <w:outlineLvl w:val="2"/>
    </w:pPr>
    <w:rPr>
      <w:spacing w:val="-10"/>
      <w:kern w:val="32"/>
    </w:rPr>
  </w:style>
  <w:style w:type="paragraph" w:styleId="Heading4">
    <w:name w:val="heading 4"/>
    <w:basedOn w:val="HeadingBase"/>
    <w:next w:val="BodyText"/>
    <w:link w:val="Heading4Char"/>
    <w:qFormat/>
    <w:rsid w:val="004B0E5F"/>
    <w:pPr>
      <w:spacing w:before="160" w:after="120"/>
      <w:outlineLvl w:val="3"/>
    </w:pPr>
    <w:rPr>
      <w:sz w:val="22"/>
    </w:rPr>
  </w:style>
  <w:style w:type="paragraph" w:styleId="Heading5">
    <w:name w:val="heading 5"/>
    <w:basedOn w:val="HeadingBase"/>
    <w:next w:val="Normal"/>
    <w:link w:val="Heading5Char"/>
    <w:qFormat/>
    <w:rsid w:val="004B0E5F"/>
    <w:pPr>
      <w:spacing w:before="80"/>
      <w:outlineLvl w:val="4"/>
    </w:pPr>
    <w:rPr>
      <w:color w:val="918585"/>
      <w:sz w:val="20"/>
    </w:rPr>
  </w:style>
  <w:style w:type="paragraph" w:styleId="Heading6">
    <w:name w:val="heading 6"/>
    <w:basedOn w:val="HeadingBase"/>
    <w:next w:val="Normal"/>
    <w:link w:val="Heading6Char"/>
    <w:qFormat/>
    <w:rsid w:val="004B0E5F"/>
    <w:pPr>
      <w:spacing w:before="60"/>
      <w:outlineLvl w:val="5"/>
    </w:pPr>
    <w:rPr>
      <w:color w:val="918585"/>
      <w:sz w:val="20"/>
    </w:rPr>
  </w:style>
  <w:style w:type="paragraph" w:styleId="Heading7">
    <w:name w:val="heading 7"/>
    <w:basedOn w:val="Normal"/>
    <w:next w:val="Normal"/>
    <w:link w:val="Heading7Char"/>
    <w:qFormat/>
    <w:rsid w:val="004B0E5F"/>
    <w:pPr>
      <w:ind w:left="720"/>
      <w:outlineLvl w:val="6"/>
    </w:pPr>
    <w:rPr>
      <w:i/>
    </w:rPr>
  </w:style>
  <w:style w:type="paragraph" w:styleId="Heading8">
    <w:name w:val="heading 8"/>
    <w:basedOn w:val="Normal"/>
    <w:next w:val="Normal"/>
    <w:link w:val="Heading8Char"/>
    <w:qFormat/>
    <w:rsid w:val="004B0E5F"/>
    <w:pPr>
      <w:ind w:left="720"/>
      <w:outlineLvl w:val="7"/>
    </w:pPr>
    <w:rPr>
      <w:i/>
    </w:rPr>
  </w:style>
  <w:style w:type="paragraph" w:styleId="Heading9">
    <w:name w:val="heading 9"/>
    <w:basedOn w:val="Normal"/>
    <w:next w:val="Normal"/>
    <w:link w:val="Heading9Char"/>
    <w:qFormat/>
    <w:rsid w:val="004B0E5F"/>
    <w:pPr>
      <w:ind w:left="720"/>
      <w:outlineLvl w:val="8"/>
    </w:pPr>
    <w:rPr>
      <w:i/>
    </w:rPr>
  </w:style>
  <w:style w:type="character" w:default="1" w:styleId="DefaultParagraphFont">
    <w:name w:val="Default Paragraph Font"/>
    <w:uiPriority w:val="1"/>
    <w:unhideWhenUsed/>
    <w:rsid w:val="004B0E5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B0E5F"/>
  </w:style>
  <w:style w:type="character" w:customStyle="1" w:styleId="Heading1Char">
    <w:name w:val="Heading 1 Char"/>
    <w:basedOn w:val="DefaultParagraphFont"/>
    <w:link w:val="Heading1"/>
    <w:rsid w:val="004B0E5F"/>
    <w:rPr>
      <w:rFonts w:ascii="Times New Roman" w:eastAsia="Times New Roman" w:hAnsi="Times New Roman" w:cs="Times New Roman"/>
      <w:b/>
      <w:sz w:val="32"/>
      <w:szCs w:val="20"/>
      <w:lang w:eastAsia="en-US"/>
    </w:rPr>
  </w:style>
  <w:style w:type="paragraph" w:styleId="BodyText">
    <w:name w:val="Body Text"/>
    <w:basedOn w:val="Normal"/>
    <w:link w:val="BodyTextChar"/>
    <w:rsid w:val="004B0E5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B0E5F"/>
    <w:rPr>
      <w:rFonts w:ascii="Times New Roman" w:eastAsia="Times New Roman" w:hAnsi="Times New Roman" w:cs="Times New Roman"/>
      <w:sz w:val="24"/>
      <w:lang w:eastAsia="en-US"/>
    </w:rPr>
  </w:style>
  <w:style w:type="paragraph" w:styleId="ListBullet">
    <w:name w:val="List Bullet"/>
    <w:basedOn w:val="List"/>
    <w:rsid w:val="004B0E5F"/>
    <w:pPr>
      <w:numPr>
        <w:numId w:val="12"/>
      </w:numPr>
      <w:tabs>
        <w:tab w:val="clear" w:pos="340"/>
      </w:tabs>
      <w:spacing w:before="40" w:after="40"/>
    </w:pPr>
  </w:style>
  <w:style w:type="character" w:customStyle="1" w:styleId="SpecialBold">
    <w:name w:val="Special Bold"/>
    <w:basedOn w:val="DefaultParagraphFont"/>
    <w:rsid w:val="004B0E5F"/>
    <w:rPr>
      <w:b/>
      <w:spacing w:val="0"/>
    </w:rPr>
  </w:style>
  <w:style w:type="paragraph" w:styleId="ListBullet2">
    <w:name w:val="List Bullet 2"/>
    <w:basedOn w:val="List2"/>
    <w:rsid w:val="004B0E5F"/>
    <w:pPr>
      <w:numPr>
        <w:numId w:val="13"/>
      </w:numPr>
      <w:tabs>
        <w:tab w:val="clear" w:pos="680"/>
      </w:tabs>
    </w:pPr>
  </w:style>
  <w:style w:type="character" w:styleId="Emphasis">
    <w:name w:val="Emphasis"/>
    <w:basedOn w:val="DefaultParagraphFont"/>
    <w:qFormat/>
    <w:rsid w:val="004B0E5F"/>
    <w:rPr>
      <w:i/>
    </w:rPr>
  </w:style>
  <w:style w:type="paragraph" w:customStyle="1" w:styleId="SuperHeading">
    <w:name w:val="SuperHeading"/>
    <w:basedOn w:val="Normal"/>
    <w:rsid w:val="004B0E5F"/>
    <w:pPr>
      <w:spacing w:before="240" w:after="120"/>
      <w:outlineLvl w:val="0"/>
    </w:pPr>
    <w:rPr>
      <w:rFonts w:ascii="Times New Roman" w:hAnsi="Times New Roman"/>
      <w:b/>
      <w:sz w:val="32"/>
    </w:rPr>
  </w:style>
  <w:style w:type="paragraph" w:customStyle="1" w:styleId="AllowPageBreak">
    <w:name w:val="AllowPageBreak"/>
    <w:rsid w:val="004B0E5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B0E5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B0E5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B0E5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B0E5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B0E5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B0E5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B0E5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B0E5F"/>
    <w:rPr>
      <w:rFonts w:ascii="Courier New" w:eastAsia="Times New Roman" w:hAnsi="Courier New" w:cs="Times New Roman"/>
      <w:i/>
      <w:szCs w:val="20"/>
      <w:lang w:eastAsia="en-US"/>
    </w:rPr>
  </w:style>
  <w:style w:type="paragraph" w:customStyle="1" w:styleId="HeadingBase">
    <w:name w:val="Heading Base"/>
    <w:rsid w:val="004B0E5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B0E5F"/>
    <w:pPr>
      <w:tabs>
        <w:tab w:val="right" w:leader="dot" w:pos="9072"/>
      </w:tabs>
      <w:ind w:left="567"/>
    </w:pPr>
    <w:rPr>
      <w:szCs w:val="22"/>
    </w:rPr>
  </w:style>
  <w:style w:type="paragraph" w:customStyle="1" w:styleId="TOCBase">
    <w:name w:val="TOC Base"/>
    <w:rsid w:val="004B0E5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B0E5F"/>
    <w:pPr>
      <w:tabs>
        <w:tab w:val="right" w:leader="dot" w:pos="9072"/>
      </w:tabs>
      <w:spacing w:before="40" w:after="40"/>
      <w:ind w:left="284"/>
    </w:pPr>
    <w:rPr>
      <w:rFonts w:ascii="Times New Roman" w:hAnsi="Times New Roman"/>
    </w:rPr>
  </w:style>
  <w:style w:type="paragraph" w:styleId="TOC1">
    <w:name w:val="toc 1"/>
    <w:basedOn w:val="TOCBase"/>
    <w:next w:val="Normal"/>
    <w:rsid w:val="004B0E5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B0E5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B0E5F"/>
    <w:rPr>
      <w:rFonts w:ascii="Times New Roman" w:eastAsia="Times New Roman" w:hAnsi="Times New Roman" w:cs="Times New Roman"/>
      <w:sz w:val="16"/>
      <w:lang w:eastAsia="en-US"/>
    </w:rPr>
  </w:style>
  <w:style w:type="paragraph" w:styleId="Title">
    <w:name w:val="Title"/>
    <w:basedOn w:val="HeadingBase"/>
    <w:link w:val="TitleChar"/>
    <w:qFormat/>
    <w:rsid w:val="004B0E5F"/>
    <w:pPr>
      <w:spacing w:before="5040"/>
      <w:jc w:val="center"/>
    </w:pPr>
    <w:rPr>
      <w:sz w:val="48"/>
      <w:szCs w:val="72"/>
      <w:lang w:val="en-US"/>
    </w:rPr>
  </w:style>
  <w:style w:type="character" w:customStyle="1" w:styleId="TitleChar">
    <w:name w:val="Title Char"/>
    <w:basedOn w:val="DefaultParagraphFont"/>
    <w:link w:val="Title"/>
    <w:rsid w:val="004B0E5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B0E5F"/>
    <w:pPr>
      <w:tabs>
        <w:tab w:val="left" w:pos="3600"/>
        <w:tab w:val="left" w:pos="3958"/>
      </w:tabs>
    </w:pPr>
  </w:style>
  <w:style w:type="paragraph" w:styleId="List">
    <w:name w:val="List"/>
    <w:basedOn w:val="BodyText"/>
    <w:next w:val="BodyText"/>
    <w:rsid w:val="004B0E5F"/>
    <w:pPr>
      <w:tabs>
        <w:tab w:val="left" w:pos="340"/>
      </w:tabs>
      <w:spacing w:before="60" w:after="60"/>
      <w:ind w:left="340" w:hanging="340"/>
    </w:pPr>
  </w:style>
  <w:style w:type="paragraph" w:customStyle="1" w:styleId="Note">
    <w:name w:val="Note"/>
    <w:basedOn w:val="BodyText"/>
    <w:rsid w:val="004B0E5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B0E5F"/>
    <w:pPr>
      <w:framePr w:wrap="auto" w:hAnchor="text" w:y="6049"/>
    </w:pPr>
    <w:rPr>
      <w:color w:val="000000"/>
      <w:sz w:val="40"/>
    </w:rPr>
  </w:style>
  <w:style w:type="paragraph" w:customStyle="1" w:styleId="TOCTitle">
    <w:name w:val="TOCTitle"/>
    <w:basedOn w:val="Heading1"/>
    <w:rsid w:val="004B0E5F"/>
    <w:pPr>
      <w:spacing w:after="240"/>
      <w:jc w:val="center"/>
      <w:outlineLvl w:val="9"/>
    </w:pPr>
    <w:rPr>
      <w:caps/>
    </w:rPr>
  </w:style>
  <w:style w:type="paragraph" w:customStyle="1" w:styleId="Version">
    <w:name w:val="Version"/>
    <w:rsid w:val="004B0E5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B0E5F"/>
    <w:pPr>
      <w:keepNext w:val="0"/>
      <w:tabs>
        <w:tab w:val="right" w:pos="4176"/>
      </w:tabs>
      <w:ind w:left="198" w:hanging="198"/>
    </w:pPr>
    <w:rPr>
      <w:rFonts w:ascii="Garamond" w:hAnsi="Garamond"/>
    </w:rPr>
  </w:style>
  <w:style w:type="paragraph" w:styleId="IndexHeading">
    <w:name w:val="index heading"/>
    <w:basedOn w:val="Normal"/>
    <w:next w:val="Index1"/>
    <w:semiHidden/>
    <w:rsid w:val="004B0E5F"/>
    <w:pPr>
      <w:spacing w:before="120" w:after="120"/>
    </w:pPr>
    <w:rPr>
      <w:rFonts w:ascii="Arial" w:hAnsi="Arial"/>
      <w:b/>
      <w:color w:val="918585"/>
      <w:sz w:val="24"/>
    </w:rPr>
  </w:style>
  <w:style w:type="paragraph" w:styleId="Header">
    <w:name w:val="header"/>
    <w:basedOn w:val="Normal"/>
    <w:link w:val="HeaderChar"/>
    <w:rsid w:val="004B0E5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B0E5F"/>
    <w:rPr>
      <w:rFonts w:ascii="Times New Roman" w:eastAsia="Times New Roman" w:hAnsi="Times New Roman" w:cs="Times New Roman"/>
      <w:sz w:val="16"/>
      <w:szCs w:val="20"/>
      <w:lang w:val="en-GB" w:eastAsia="en-US"/>
    </w:rPr>
  </w:style>
  <w:style w:type="paragraph" w:customStyle="1" w:styleId="Chapter">
    <w:name w:val="Chapter"/>
    <w:basedOn w:val="Normal"/>
    <w:rsid w:val="004B0E5F"/>
    <w:pPr>
      <w:spacing w:before="240"/>
    </w:pPr>
    <w:rPr>
      <w:rFonts w:ascii="Times New Roman" w:hAnsi="Times New Roman"/>
      <w:smallCaps/>
      <w:spacing w:val="80"/>
      <w:sz w:val="28"/>
    </w:rPr>
  </w:style>
  <w:style w:type="paragraph" w:customStyle="1" w:styleId="InChapter">
    <w:name w:val="InChapter"/>
    <w:basedOn w:val="Heading3"/>
    <w:rsid w:val="004B0E5F"/>
    <w:pPr>
      <w:spacing w:after="240"/>
      <w:outlineLvl w:val="9"/>
    </w:pPr>
    <w:rPr>
      <w:noProof/>
    </w:rPr>
  </w:style>
  <w:style w:type="paragraph" w:styleId="Index2">
    <w:name w:val="index 2"/>
    <w:basedOn w:val="Normal"/>
    <w:next w:val="Normal"/>
    <w:semiHidden/>
    <w:rsid w:val="004B0E5F"/>
    <w:pPr>
      <w:tabs>
        <w:tab w:val="right" w:pos="4176"/>
      </w:tabs>
      <w:ind w:left="568" w:hanging="284"/>
    </w:pPr>
    <w:rPr>
      <w:rFonts w:ascii="Garamond" w:hAnsi="Garamond"/>
    </w:rPr>
  </w:style>
  <w:style w:type="paragraph" w:customStyle="1" w:styleId="Byline">
    <w:name w:val="Byline"/>
    <w:rsid w:val="004B0E5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B0E5F"/>
    <w:pPr>
      <w:tabs>
        <w:tab w:val="clear" w:pos="3600"/>
        <w:tab w:val="clear" w:pos="3958"/>
      </w:tabs>
      <w:jc w:val="right"/>
    </w:pPr>
  </w:style>
  <w:style w:type="paragraph" w:styleId="Caption">
    <w:name w:val="caption"/>
    <w:basedOn w:val="BodyText"/>
    <w:next w:val="Normal"/>
    <w:qFormat/>
    <w:rsid w:val="004B0E5F"/>
    <w:pPr>
      <w:framePr w:w="2268" w:hSpace="181" w:vSpace="181" w:wrap="around" w:vAnchor="text" w:hAnchor="page" w:x="1135" w:y="285" w:anchorLock="1"/>
    </w:pPr>
    <w:rPr>
      <w:i/>
    </w:rPr>
  </w:style>
  <w:style w:type="paragraph" w:customStyle="1" w:styleId="MiniTOCTitle">
    <w:name w:val="MiniTOCTitle"/>
    <w:basedOn w:val="Heading4"/>
    <w:rsid w:val="004B0E5F"/>
    <w:pPr>
      <w:spacing w:before="240"/>
      <w:outlineLvl w:val="9"/>
    </w:pPr>
    <w:rPr>
      <w:noProof/>
      <w:sz w:val="24"/>
    </w:rPr>
  </w:style>
  <w:style w:type="paragraph" w:customStyle="1" w:styleId="MiniTOCItem">
    <w:name w:val="MiniTOCItem"/>
    <w:basedOn w:val="ListBullet"/>
    <w:rsid w:val="004B0E5F"/>
    <w:pPr>
      <w:numPr>
        <w:numId w:val="0"/>
      </w:numPr>
      <w:tabs>
        <w:tab w:val="right" w:leader="dot" w:pos="6521"/>
      </w:tabs>
      <w:spacing w:before="0" w:after="0"/>
    </w:pPr>
  </w:style>
  <w:style w:type="paragraph" w:customStyle="1" w:styleId="TOFTitle">
    <w:name w:val="TOFTitle"/>
    <w:basedOn w:val="TOCTitle"/>
    <w:rsid w:val="004B0E5F"/>
  </w:style>
  <w:style w:type="paragraph" w:styleId="TableofFigures">
    <w:name w:val="table of figures"/>
    <w:basedOn w:val="Normal"/>
    <w:next w:val="Normal"/>
    <w:semiHidden/>
    <w:rsid w:val="004B0E5F"/>
    <w:pPr>
      <w:tabs>
        <w:tab w:val="right" w:leader="dot" w:pos="9072"/>
      </w:tabs>
      <w:ind w:left="970" w:hanging="403"/>
    </w:pPr>
    <w:rPr>
      <w:rFonts w:ascii="Times New Roman" w:hAnsi="Times New Roman"/>
      <w:b/>
    </w:rPr>
  </w:style>
  <w:style w:type="paragraph" w:styleId="ListNumber">
    <w:name w:val="List Number"/>
    <w:basedOn w:val="List"/>
    <w:rsid w:val="004B0E5F"/>
    <w:pPr>
      <w:numPr>
        <w:numId w:val="15"/>
      </w:numPr>
      <w:tabs>
        <w:tab w:val="clear" w:pos="340"/>
      </w:tabs>
    </w:pPr>
  </w:style>
  <w:style w:type="character" w:customStyle="1" w:styleId="WingdingSymbols">
    <w:name w:val="Wingding Symbols"/>
    <w:rsid w:val="004B0E5F"/>
    <w:rPr>
      <w:rFonts w:ascii="Wingdings" w:hAnsi="Wingdings"/>
    </w:rPr>
  </w:style>
  <w:style w:type="paragraph" w:customStyle="1" w:styleId="TableHeading">
    <w:name w:val="Table Heading"/>
    <w:basedOn w:val="HeadingBase"/>
    <w:rsid w:val="004B0E5F"/>
    <w:pPr>
      <w:keepLines/>
      <w:pBdr>
        <w:bottom w:val="single" w:sz="6" w:space="1" w:color="918585"/>
      </w:pBdr>
      <w:spacing w:before="240"/>
    </w:pPr>
  </w:style>
  <w:style w:type="character" w:customStyle="1" w:styleId="HotSpot">
    <w:name w:val="HotSpot"/>
    <w:rsid w:val="004B0E5F"/>
    <w:rPr>
      <w:color w:val="0033CC"/>
      <w:u w:val="none"/>
    </w:rPr>
  </w:style>
  <w:style w:type="paragraph" w:customStyle="1" w:styleId="BodyTextRight">
    <w:name w:val="Body Text Right"/>
    <w:basedOn w:val="BodyText"/>
    <w:rsid w:val="004B0E5F"/>
    <w:pPr>
      <w:spacing w:before="0" w:after="0"/>
      <w:jc w:val="right"/>
    </w:pPr>
  </w:style>
  <w:style w:type="paragraph" w:styleId="Index3">
    <w:name w:val="index 3"/>
    <w:basedOn w:val="ListNumber2"/>
    <w:next w:val="Normal"/>
    <w:semiHidden/>
    <w:rsid w:val="004B0E5F"/>
    <w:pPr>
      <w:numPr>
        <w:numId w:val="0"/>
      </w:numPr>
      <w:tabs>
        <w:tab w:val="right" w:leader="dot" w:pos="4176"/>
      </w:tabs>
    </w:pPr>
  </w:style>
  <w:style w:type="paragraph" w:styleId="ListNumber2">
    <w:name w:val="List Number 2"/>
    <w:basedOn w:val="List2"/>
    <w:rsid w:val="004B0E5F"/>
    <w:pPr>
      <w:numPr>
        <w:numId w:val="10"/>
      </w:numPr>
      <w:tabs>
        <w:tab w:val="clear" w:pos="1060"/>
      </w:tabs>
    </w:pPr>
  </w:style>
  <w:style w:type="paragraph" w:customStyle="1" w:styleId="MarginNote">
    <w:name w:val="Margin Note"/>
    <w:basedOn w:val="BodyText"/>
    <w:rsid w:val="004B0E5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B0E5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B0E5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B0E5F"/>
    <w:rPr>
      <w:sz w:val="32"/>
    </w:rPr>
  </w:style>
  <w:style w:type="paragraph" w:customStyle="1" w:styleId="HeadingProcedure">
    <w:name w:val="Heading Procedure"/>
    <w:basedOn w:val="HeadingBase"/>
    <w:next w:val="Normal"/>
    <w:rsid w:val="004B0E5F"/>
    <w:pPr>
      <w:tabs>
        <w:tab w:val="left" w:pos="0"/>
      </w:tabs>
      <w:spacing w:before="120" w:after="60"/>
    </w:pPr>
    <w:rPr>
      <w:i/>
      <w:color w:val="918585"/>
      <w:sz w:val="22"/>
    </w:rPr>
  </w:style>
  <w:style w:type="paragraph" w:customStyle="1" w:styleId="TableBodyText">
    <w:name w:val="Table Body Text"/>
    <w:basedOn w:val="BodyText"/>
    <w:rsid w:val="004B0E5F"/>
    <w:pPr>
      <w:spacing w:before="60" w:after="60"/>
    </w:pPr>
  </w:style>
  <w:style w:type="paragraph" w:styleId="ListContinue">
    <w:name w:val="List Continue"/>
    <w:basedOn w:val="List"/>
    <w:rsid w:val="004B0E5F"/>
    <w:pPr>
      <w:ind w:firstLine="0"/>
    </w:pPr>
  </w:style>
  <w:style w:type="paragraph" w:customStyle="1" w:styleId="ListNote">
    <w:name w:val="List Note"/>
    <w:basedOn w:val="List"/>
    <w:rsid w:val="004B0E5F"/>
    <w:pPr>
      <w:pBdr>
        <w:top w:val="single" w:sz="6" w:space="2" w:color="918585"/>
        <w:bottom w:val="single" w:sz="6" w:space="2" w:color="918585"/>
      </w:pBdr>
      <w:tabs>
        <w:tab w:val="left" w:pos="1021"/>
      </w:tabs>
      <w:ind w:firstLine="0"/>
    </w:pPr>
  </w:style>
  <w:style w:type="paragraph" w:customStyle="1" w:styleId="Warning">
    <w:name w:val="Warning"/>
    <w:basedOn w:val="BodyText"/>
    <w:rsid w:val="004B0E5F"/>
    <w:pPr>
      <w:shd w:val="clear" w:color="auto" w:fill="D9D9D9"/>
      <w:tabs>
        <w:tab w:val="left" w:pos="992"/>
      </w:tabs>
      <w:ind w:left="119" w:right="119"/>
    </w:pPr>
    <w:rPr>
      <w:sz w:val="20"/>
    </w:rPr>
  </w:style>
  <w:style w:type="paragraph" w:customStyle="1" w:styleId="MarginIcons">
    <w:name w:val="Margin Icons"/>
    <w:basedOn w:val="BodyText"/>
    <w:rsid w:val="004B0E5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B0E5F"/>
    <w:rPr>
      <w:rFonts w:ascii="Courier New" w:hAnsi="Courier New"/>
    </w:rPr>
  </w:style>
  <w:style w:type="paragraph" w:customStyle="1" w:styleId="NoteBullet">
    <w:name w:val="Note Bullet"/>
    <w:basedOn w:val="Note"/>
    <w:rsid w:val="004B0E5F"/>
    <w:pPr>
      <w:tabs>
        <w:tab w:val="clear" w:pos="680"/>
      </w:tabs>
      <w:spacing w:before="60" w:after="60"/>
    </w:pPr>
  </w:style>
  <w:style w:type="paragraph" w:customStyle="1" w:styleId="SubHeading2">
    <w:name w:val="SubHeading2"/>
    <w:basedOn w:val="HeadingBase"/>
    <w:rsid w:val="004B0E5F"/>
    <w:pPr>
      <w:spacing w:before="240" w:after="60"/>
    </w:pPr>
    <w:rPr>
      <w:sz w:val="20"/>
    </w:rPr>
  </w:style>
  <w:style w:type="paragraph" w:customStyle="1" w:styleId="SubHeading1">
    <w:name w:val="SubHeading1"/>
    <w:basedOn w:val="HeadingBase"/>
    <w:rsid w:val="004B0E5F"/>
    <w:pPr>
      <w:spacing w:before="240" w:after="60"/>
    </w:pPr>
    <w:rPr>
      <w:color w:val="918585"/>
      <w:sz w:val="22"/>
    </w:rPr>
  </w:style>
  <w:style w:type="paragraph" w:customStyle="1" w:styleId="SideHeading">
    <w:name w:val="Side Heading"/>
    <w:basedOn w:val="HeadingBase"/>
    <w:rsid w:val="004B0E5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B0E5F"/>
    <w:pPr>
      <w:tabs>
        <w:tab w:val="num" w:pos="360"/>
      </w:tabs>
    </w:pPr>
  </w:style>
  <w:style w:type="paragraph" w:styleId="PlainText">
    <w:name w:val="Plain Text"/>
    <w:basedOn w:val="Normal"/>
    <w:link w:val="PlainTextChar"/>
    <w:rsid w:val="004B0E5F"/>
    <w:rPr>
      <w:sz w:val="20"/>
    </w:rPr>
  </w:style>
  <w:style w:type="character" w:customStyle="1" w:styleId="PlainTextChar">
    <w:name w:val="Plain Text Char"/>
    <w:basedOn w:val="DefaultParagraphFont"/>
    <w:link w:val="PlainText"/>
    <w:rsid w:val="004B0E5F"/>
    <w:rPr>
      <w:rFonts w:ascii="Courier New" w:eastAsia="Times New Roman" w:hAnsi="Courier New" w:cs="Times New Roman"/>
      <w:sz w:val="20"/>
      <w:szCs w:val="20"/>
      <w:lang w:eastAsia="en-US"/>
    </w:rPr>
  </w:style>
  <w:style w:type="character" w:customStyle="1" w:styleId="MenuOption">
    <w:name w:val="Menu Option"/>
    <w:basedOn w:val="DefaultParagraphFont"/>
    <w:rsid w:val="004B0E5F"/>
    <w:rPr>
      <w:b/>
      <w:smallCaps/>
    </w:rPr>
  </w:style>
  <w:style w:type="paragraph" w:customStyle="1" w:styleId="TableListNumber">
    <w:name w:val="Table List Number"/>
    <w:basedOn w:val="ListNumber"/>
    <w:rsid w:val="004B0E5F"/>
    <w:pPr>
      <w:numPr>
        <w:numId w:val="0"/>
      </w:numPr>
    </w:pPr>
  </w:style>
  <w:style w:type="paragraph" w:styleId="TOC4">
    <w:name w:val="toc 4"/>
    <w:basedOn w:val="TOCBase"/>
    <w:next w:val="Normal"/>
    <w:semiHidden/>
    <w:rsid w:val="004B0E5F"/>
    <w:pPr>
      <w:tabs>
        <w:tab w:val="right" w:leader="dot" w:pos="9071"/>
      </w:tabs>
      <w:ind w:left="1701"/>
    </w:pPr>
  </w:style>
  <w:style w:type="paragraph" w:customStyle="1" w:styleId="ListAlpha">
    <w:name w:val="List Alpha"/>
    <w:basedOn w:val="List"/>
    <w:rsid w:val="004B0E5F"/>
    <w:pPr>
      <w:numPr>
        <w:numId w:val="9"/>
      </w:numPr>
    </w:pPr>
  </w:style>
  <w:style w:type="paragraph" w:customStyle="1" w:styleId="ListAlpha2">
    <w:name w:val="List Alpha 2"/>
    <w:basedOn w:val="List2"/>
    <w:rsid w:val="004B0E5F"/>
    <w:pPr>
      <w:numPr>
        <w:numId w:val="8"/>
      </w:numPr>
    </w:pPr>
  </w:style>
  <w:style w:type="paragraph" w:styleId="List2">
    <w:name w:val="List 2"/>
    <w:basedOn w:val="BodyText"/>
    <w:rsid w:val="004B0E5F"/>
    <w:pPr>
      <w:tabs>
        <w:tab w:val="left" w:pos="680"/>
      </w:tabs>
      <w:spacing w:before="60" w:after="60"/>
      <w:ind w:left="680" w:hanging="340"/>
    </w:pPr>
  </w:style>
  <w:style w:type="paragraph" w:styleId="List3">
    <w:name w:val="List 3"/>
    <w:basedOn w:val="BodyText"/>
    <w:rsid w:val="004B0E5F"/>
    <w:pPr>
      <w:tabs>
        <w:tab w:val="left" w:pos="1021"/>
      </w:tabs>
      <w:spacing w:before="60" w:after="60"/>
      <w:ind w:left="1020" w:hanging="340"/>
    </w:pPr>
  </w:style>
  <w:style w:type="paragraph" w:styleId="List4">
    <w:name w:val="List 4"/>
    <w:basedOn w:val="BodyText"/>
    <w:rsid w:val="004B0E5F"/>
    <w:pPr>
      <w:tabs>
        <w:tab w:val="left" w:pos="1361"/>
      </w:tabs>
      <w:spacing w:before="60" w:after="60"/>
      <w:ind w:left="1361" w:hanging="340"/>
    </w:pPr>
  </w:style>
  <w:style w:type="paragraph" w:styleId="List5">
    <w:name w:val="List 5"/>
    <w:basedOn w:val="BodyText"/>
    <w:rsid w:val="004B0E5F"/>
    <w:pPr>
      <w:tabs>
        <w:tab w:val="left" w:pos="1701"/>
      </w:tabs>
      <w:spacing w:before="60" w:after="60"/>
      <w:ind w:left="1701" w:hanging="340"/>
    </w:pPr>
  </w:style>
  <w:style w:type="paragraph" w:styleId="ListBullet3">
    <w:name w:val="List Bullet 3"/>
    <w:basedOn w:val="List3"/>
    <w:rsid w:val="004B0E5F"/>
    <w:pPr>
      <w:numPr>
        <w:numId w:val="14"/>
      </w:numPr>
      <w:tabs>
        <w:tab w:val="clear" w:pos="1021"/>
      </w:tabs>
      <w:ind w:left="1037" w:hanging="357"/>
    </w:pPr>
  </w:style>
  <w:style w:type="paragraph" w:styleId="ListBullet4">
    <w:name w:val="List Bullet 4"/>
    <w:basedOn w:val="List4"/>
    <w:rsid w:val="004B0E5F"/>
    <w:pPr>
      <w:numPr>
        <w:numId w:val="3"/>
      </w:numPr>
      <w:tabs>
        <w:tab w:val="clear" w:pos="1361"/>
      </w:tabs>
    </w:pPr>
  </w:style>
  <w:style w:type="paragraph" w:styleId="ListBullet5">
    <w:name w:val="List Bullet 5"/>
    <w:basedOn w:val="List5"/>
    <w:rsid w:val="004B0E5F"/>
    <w:pPr>
      <w:numPr>
        <w:numId w:val="4"/>
      </w:numPr>
    </w:pPr>
  </w:style>
  <w:style w:type="paragraph" w:styleId="ListContinue2">
    <w:name w:val="List Continue 2"/>
    <w:basedOn w:val="List2"/>
    <w:rsid w:val="004B0E5F"/>
    <w:pPr>
      <w:ind w:firstLine="0"/>
    </w:pPr>
  </w:style>
  <w:style w:type="paragraph" w:styleId="ListContinue3">
    <w:name w:val="List Continue 3"/>
    <w:basedOn w:val="List3"/>
    <w:rsid w:val="004B0E5F"/>
    <w:pPr>
      <w:ind w:left="1021" w:firstLine="0"/>
    </w:pPr>
  </w:style>
  <w:style w:type="paragraph" w:styleId="ListContinue4">
    <w:name w:val="List Continue 4"/>
    <w:basedOn w:val="List4"/>
    <w:rsid w:val="004B0E5F"/>
    <w:pPr>
      <w:ind w:firstLine="0"/>
    </w:pPr>
  </w:style>
  <w:style w:type="paragraph" w:styleId="ListContinue5">
    <w:name w:val="List Continue 5"/>
    <w:basedOn w:val="List5"/>
    <w:rsid w:val="004B0E5F"/>
    <w:pPr>
      <w:ind w:firstLine="0"/>
    </w:pPr>
  </w:style>
  <w:style w:type="paragraph" w:styleId="ListNumber3">
    <w:name w:val="List Number 3"/>
    <w:basedOn w:val="List3"/>
    <w:rsid w:val="004B0E5F"/>
    <w:pPr>
      <w:numPr>
        <w:numId w:val="5"/>
      </w:numPr>
    </w:pPr>
  </w:style>
  <w:style w:type="paragraph" w:styleId="ListNumber4">
    <w:name w:val="List Number 4"/>
    <w:basedOn w:val="List4"/>
    <w:rsid w:val="004B0E5F"/>
    <w:pPr>
      <w:numPr>
        <w:numId w:val="6"/>
      </w:numPr>
    </w:pPr>
  </w:style>
  <w:style w:type="paragraph" w:styleId="ListNumber5">
    <w:name w:val="List Number 5"/>
    <w:basedOn w:val="List5"/>
    <w:rsid w:val="004B0E5F"/>
    <w:pPr>
      <w:numPr>
        <w:numId w:val="7"/>
      </w:numPr>
    </w:pPr>
  </w:style>
  <w:style w:type="paragraph" w:styleId="BlockText">
    <w:name w:val="Block Text"/>
    <w:basedOn w:val="Normal"/>
    <w:rsid w:val="004B0E5F"/>
    <w:pPr>
      <w:spacing w:after="120"/>
      <w:ind w:left="1440" w:right="1440"/>
    </w:pPr>
  </w:style>
  <w:style w:type="character" w:customStyle="1" w:styleId="Subscript">
    <w:name w:val="Subscript"/>
    <w:basedOn w:val="DefaultParagraphFont"/>
    <w:rsid w:val="004B0E5F"/>
    <w:rPr>
      <w:sz w:val="16"/>
      <w:vertAlign w:val="subscript"/>
    </w:rPr>
  </w:style>
  <w:style w:type="character" w:customStyle="1" w:styleId="Superscript">
    <w:name w:val="Superscript"/>
    <w:basedOn w:val="DefaultParagraphFont"/>
    <w:rsid w:val="004B0E5F"/>
    <w:rPr>
      <w:sz w:val="16"/>
      <w:vertAlign w:val="superscript"/>
    </w:rPr>
  </w:style>
  <w:style w:type="character" w:customStyle="1" w:styleId="Symbols">
    <w:name w:val="Symbols"/>
    <w:basedOn w:val="DefaultParagraphFont"/>
    <w:rsid w:val="004B0E5F"/>
    <w:rPr>
      <w:rFonts w:ascii="Symbol" w:hAnsi="Symbol"/>
    </w:rPr>
  </w:style>
  <w:style w:type="character" w:customStyle="1" w:styleId="MenuOptions">
    <w:name w:val="Menu Options"/>
    <w:basedOn w:val="DefaultParagraphFont"/>
    <w:rsid w:val="004B0E5F"/>
    <w:rPr>
      <w:rFonts w:ascii="Arial Narrow" w:hAnsi="Arial Narrow"/>
      <w:smallCaps/>
    </w:rPr>
  </w:style>
  <w:style w:type="character" w:customStyle="1" w:styleId="Buttons">
    <w:name w:val="Buttons"/>
    <w:basedOn w:val="DefaultParagraphFont"/>
    <w:rsid w:val="004B0E5F"/>
    <w:rPr>
      <w:b/>
    </w:rPr>
  </w:style>
  <w:style w:type="character" w:customStyle="1" w:styleId="Underlined">
    <w:name w:val="Underlined"/>
    <w:basedOn w:val="DefaultParagraphFont"/>
    <w:rsid w:val="004B0E5F"/>
    <w:rPr>
      <w:u w:val="single"/>
    </w:rPr>
  </w:style>
  <w:style w:type="paragraph" w:customStyle="1" w:styleId="TableBodyTextRight">
    <w:name w:val="Table Body Text Right"/>
    <w:basedOn w:val="TableBodyText"/>
    <w:rsid w:val="004B0E5F"/>
    <w:pPr>
      <w:widowControl w:val="0"/>
      <w:autoSpaceDE w:val="0"/>
      <w:autoSpaceDN w:val="0"/>
      <w:adjustRightInd w:val="0"/>
      <w:jc w:val="right"/>
    </w:pPr>
    <w:rPr>
      <w:rFonts w:cs="Arial"/>
      <w:szCs w:val="18"/>
    </w:rPr>
  </w:style>
  <w:style w:type="paragraph" w:customStyle="1" w:styleId="CopyrightText">
    <w:name w:val="Copyright Text"/>
    <w:basedOn w:val="BodyText"/>
    <w:rsid w:val="004B0E5F"/>
    <w:rPr>
      <w:sz w:val="18"/>
    </w:rPr>
  </w:style>
  <w:style w:type="paragraph" w:customStyle="1" w:styleId="BodySmallRight">
    <w:name w:val="Body Small Right"/>
    <w:basedOn w:val="BodyTextRight"/>
    <w:rsid w:val="004B0E5F"/>
    <w:rPr>
      <w:sz w:val="18"/>
      <w:szCs w:val="18"/>
    </w:rPr>
  </w:style>
  <w:style w:type="paragraph" w:customStyle="1" w:styleId="MarginEdition">
    <w:name w:val="Margin Edition"/>
    <w:basedOn w:val="MarginNote"/>
    <w:rsid w:val="004B0E5F"/>
    <w:pPr>
      <w:spacing w:before="0" w:after="0"/>
    </w:pPr>
    <w:rPr>
      <w:rFonts w:ascii="Times New Roman" w:hAnsi="Times New Roman"/>
      <w:color w:val="999999"/>
    </w:rPr>
  </w:style>
  <w:style w:type="paragraph" w:customStyle="1" w:styleId="Spacer">
    <w:name w:val="Spacer"/>
    <w:basedOn w:val="Normal"/>
    <w:rsid w:val="004B0E5F"/>
    <w:rPr>
      <w:sz w:val="2"/>
      <w:szCs w:val="2"/>
    </w:rPr>
  </w:style>
  <w:style w:type="character" w:customStyle="1" w:styleId="Small">
    <w:name w:val="Small"/>
    <w:basedOn w:val="DefaultParagraphFont"/>
    <w:rsid w:val="004B0E5F"/>
    <w:rPr>
      <w:sz w:val="16"/>
    </w:rPr>
  </w:style>
  <w:style w:type="paragraph" w:customStyle="1" w:styleId="WideTable">
    <w:name w:val="Wide Table"/>
    <w:basedOn w:val="Normal"/>
    <w:rsid w:val="004B0E5F"/>
    <w:pPr>
      <w:ind w:left="-1418"/>
    </w:pPr>
    <w:rPr>
      <w:sz w:val="2"/>
      <w:szCs w:val="2"/>
    </w:rPr>
  </w:style>
  <w:style w:type="character" w:styleId="PageNumber">
    <w:name w:val="page number"/>
    <w:basedOn w:val="DefaultParagraphFont"/>
    <w:rsid w:val="004B0E5F"/>
  </w:style>
  <w:style w:type="paragraph" w:styleId="Quote">
    <w:name w:val="Quote"/>
    <w:basedOn w:val="Heading1"/>
    <w:link w:val="QuoteChar"/>
    <w:qFormat/>
    <w:rsid w:val="004B0E5F"/>
    <w:rPr>
      <w:b w:val="0"/>
      <w:sz w:val="72"/>
      <w:szCs w:val="72"/>
      <w:lang w:val="en-NZ"/>
    </w:rPr>
  </w:style>
  <w:style w:type="character" w:customStyle="1" w:styleId="QuoteChar">
    <w:name w:val="Quote Char"/>
    <w:basedOn w:val="DefaultParagraphFont"/>
    <w:link w:val="Quote"/>
    <w:rsid w:val="004B0E5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B0E5F"/>
    <w:pPr>
      <w:pageBreakBefore/>
    </w:pPr>
  </w:style>
  <w:style w:type="paragraph" w:customStyle="1" w:styleId="Border">
    <w:name w:val="Border"/>
    <w:basedOn w:val="Normal"/>
    <w:qFormat/>
    <w:rsid w:val="004B0E5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B0E5F"/>
    <w:rPr>
      <w:b/>
      <w:bCs/>
      <w:i/>
      <w:iCs/>
      <w:color w:val="auto"/>
    </w:rPr>
  </w:style>
  <w:style w:type="paragraph" w:styleId="IntenseQuote">
    <w:name w:val="Intense Quote"/>
    <w:basedOn w:val="Normal"/>
    <w:next w:val="Normal"/>
    <w:link w:val="IntenseQuoteChar"/>
    <w:uiPriority w:val="30"/>
    <w:qFormat/>
    <w:rsid w:val="004B0E5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B0E5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B0E5F"/>
    <w:rPr>
      <w:smallCaps/>
      <w:color w:val="auto"/>
      <w:u w:val="single"/>
    </w:rPr>
  </w:style>
  <w:style w:type="character" w:styleId="IntenseReference">
    <w:name w:val="Intense Reference"/>
    <w:basedOn w:val="DefaultParagraphFont"/>
    <w:uiPriority w:val="32"/>
    <w:qFormat/>
    <w:rsid w:val="004B0E5F"/>
    <w:rPr>
      <w:b/>
      <w:bCs/>
      <w:smallCaps/>
      <w:color w:val="auto"/>
      <w:spacing w:val="5"/>
      <w:u w:val="single"/>
    </w:rPr>
  </w:style>
  <w:style w:type="paragraph" w:customStyle="1" w:styleId="2ColumnHeading">
    <w:name w:val="2Column Heading"/>
    <w:basedOn w:val="BodyText"/>
    <w:qFormat/>
    <w:rsid w:val="004B0E5F"/>
    <w:pPr>
      <w:spacing w:after="60"/>
      <w:ind w:left="-2268"/>
    </w:pPr>
    <w:rPr>
      <w:b/>
    </w:rPr>
  </w:style>
  <w:style w:type="paragraph" w:customStyle="1" w:styleId="Heading1TOC">
    <w:name w:val="Heading1 TOC"/>
    <w:basedOn w:val="Normal"/>
    <w:qFormat/>
    <w:rsid w:val="004B0E5F"/>
    <w:pPr>
      <w:spacing w:before="240" w:after="120"/>
    </w:pPr>
    <w:rPr>
      <w:rFonts w:ascii="Times New Roman" w:hAnsi="Times New Roman"/>
      <w:b/>
      <w:sz w:val="32"/>
    </w:rPr>
  </w:style>
  <w:style w:type="paragraph" w:customStyle="1" w:styleId="Heading2TOC">
    <w:name w:val="Heading2 TOC"/>
    <w:basedOn w:val="Normal"/>
    <w:qFormat/>
    <w:rsid w:val="004B0E5F"/>
    <w:pPr>
      <w:spacing w:before="240" w:after="60"/>
    </w:pPr>
    <w:rPr>
      <w:rFonts w:ascii="Times New Roman" w:hAnsi="Times New Roman"/>
      <w:b/>
      <w:sz w:val="28"/>
    </w:rPr>
  </w:style>
  <w:style w:type="character" w:customStyle="1" w:styleId="Underline">
    <w:name w:val="Underline"/>
    <w:basedOn w:val="DefaultParagraphFont"/>
    <w:qFormat/>
    <w:rsid w:val="004B0E5F"/>
    <w:rPr>
      <w:u w:val="single"/>
    </w:rPr>
  </w:style>
  <w:style w:type="character" w:customStyle="1" w:styleId="BoldandItalics">
    <w:name w:val="Bold and Italics"/>
    <w:qFormat/>
    <w:rsid w:val="004B0E5F"/>
    <w:rPr>
      <w:b/>
      <w:i/>
      <w:u w:val="none"/>
    </w:rPr>
  </w:style>
  <w:style w:type="paragraph" w:styleId="BalloonText">
    <w:name w:val="Balloon Text"/>
    <w:basedOn w:val="Normal"/>
    <w:link w:val="BalloonTextChar"/>
    <w:rsid w:val="004B0E5F"/>
    <w:rPr>
      <w:rFonts w:ascii="Tahoma" w:hAnsi="Tahoma" w:cs="Tahoma"/>
      <w:sz w:val="16"/>
      <w:szCs w:val="16"/>
    </w:rPr>
  </w:style>
  <w:style w:type="character" w:customStyle="1" w:styleId="BalloonTextChar">
    <w:name w:val="Balloon Text Char"/>
    <w:basedOn w:val="DefaultParagraphFont"/>
    <w:link w:val="BalloonText"/>
    <w:rsid w:val="004B0E5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B0E5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B0E5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B0E5F"/>
    <w:rPr>
      <w:b/>
      <w:color w:val="660033"/>
      <w:spacing w:val="0"/>
    </w:rPr>
  </w:style>
  <w:style w:type="paragraph" w:customStyle="1" w:styleId="Nameditemlist">
    <w:name w:val="Named item list"/>
    <w:basedOn w:val="BodyText"/>
    <w:qFormat/>
    <w:rsid w:val="004B0E5F"/>
    <w:pPr>
      <w:tabs>
        <w:tab w:val="left" w:pos="2835"/>
      </w:tabs>
      <w:ind w:left="2835" w:hanging="2835"/>
    </w:pPr>
  </w:style>
  <w:style w:type="paragraph" w:customStyle="1" w:styleId="BodyTextnopadding">
    <w:name w:val="Body Text no padding"/>
    <w:basedOn w:val="BodyText"/>
    <w:qFormat/>
    <w:rsid w:val="004B0E5F"/>
    <w:pPr>
      <w:spacing w:before="0" w:after="0"/>
    </w:pPr>
  </w:style>
  <w:style w:type="paragraph" w:customStyle="1" w:styleId="BodyTextBold">
    <w:name w:val="Body Text Bold"/>
    <w:basedOn w:val="BodyText"/>
    <w:qFormat/>
    <w:rsid w:val="004B0E5F"/>
    <w:rPr>
      <w:b/>
    </w:rPr>
  </w:style>
  <w:style w:type="character" w:styleId="Hyperlink">
    <w:name w:val="Hyperlink"/>
    <w:basedOn w:val="DefaultParagraphFont"/>
    <w:uiPriority w:val="99"/>
    <w:unhideWhenUsed/>
    <w:rsid w:val="00421BF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1182</Words>
  <Characters>7391</Characters>
  <Application>Microsoft Office Word</Application>
  <DocSecurity>0</DocSecurity>
  <Lines>273</Lines>
  <Paragraphs>178</Paragraphs>
  <ScaleCrop>false</ScaleCrop>
  <Company>Author-it Software Corporation Ltd.</Company>
  <LinksUpToDate>false</LinksUpToDate>
  <CharactersWithSpaces>8395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MARO006 Contribute to monitoring and controlling a safe navigational watch</dc:title>
  <dc:subject>Approved</dc:subject>
  <dc:creator>Industry Skills Australia</dc:creator>
  <cp:keywords>Release: 1</cp:keywords>
  <dc:description>Review Date: 12 April 2008</dc:description>
  <cp:lastModifiedBy>HSD_TPCMSd.prod</cp:lastModifiedBy>
  <cp:revision>3</cp:revision>
  <dcterms:created xsi:type="dcterms:W3CDTF">2025-03-01T20:32:00Z</dcterms:created>
  <dcterms:modified xsi:type="dcterms:W3CDTF">2025-03-01T20:32:00Z</dcterms:modified>
</cp:coreProperties>
</file>