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1B32" w:rsidP="00461B32">
      <w:pPr>
        <w:pStyle w:val="Title"/>
      </w:pPr>
      <w:r>
        <w:fldChar w:fldCharType="begin"/>
      </w:r>
      <w:r>
        <w:instrText xml:space="preserve"> TITLE   \* MERGEFORMAT </w:instrText>
      </w:r>
      <w:r>
        <w:fldChar w:fldCharType="separate"/>
      </w:r>
      <w:r>
        <w:t>MARO005 Contribute to monitoring and controlling a safe engine watch</w:t>
      </w:r>
      <w:r>
        <w:fldChar w:fldCharType="end"/>
      </w:r>
    </w:p>
    <w:p w:rsidR="00461B32" w:rsidP="00461B32">
      <w:pPr>
        <w:pStyle w:val="Version"/>
        <w:sectPr w:rsidSect="00FC54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54FA" w:rsidP="00FC54FA">
      <w:pPr>
        <w:pStyle w:val="SuperHeading"/>
      </w:pPr>
      <w:r w:rsidRPr="00FC54FA">
        <w:t>MARO005 Contribute to monitoring and controlling a safe engine watch</w:t>
      </w:r>
    </w:p>
    <w:p w:rsidR="00000000" w:rsidRPr="00FC54FA" w:rsidP="00FC54FA">
      <w:pPr>
        <w:pStyle w:val="Heading1"/>
      </w:pPr>
      <w:bookmarkStart w:id="1" w:name="O_845436"/>
      <w:bookmarkEnd w:id="1"/>
      <w:r w:rsidRPr="00FC54FA">
        <w:t>Modification History</w:t>
      </w:r>
    </w:p>
    <w:p w:rsidR="00461B32" w:rsidP="00461B32">
      <w:pPr>
        <w:pStyle w:val="BodyText"/>
      </w:pPr>
      <w:r w:rsidRPr="00FC54FA">
        <w:t>Release 1. New unit of competency.</w:t>
      </w:r>
    </w:p>
    <w:p w:rsidR="00000000" w:rsidRPr="00FC54FA" w:rsidP="00FC54FA">
      <w:pPr>
        <w:pStyle w:val="Heading1"/>
      </w:pPr>
      <w:bookmarkStart w:id="2" w:name="O_845437"/>
      <w:bookmarkEnd w:id="2"/>
      <w:r w:rsidRPr="00FC54FA">
        <w:t>Application</w:t>
      </w:r>
    </w:p>
    <w:tbl>
      <w:tblPr>
        <w:tblW w:w="9498" w:type="dxa"/>
        <w:tblLayout w:type="fixed"/>
        <w:tblCellMar>
          <w:left w:w="62" w:type="dxa"/>
          <w:right w:w="62" w:type="dxa"/>
        </w:tblCellMar>
        <w:tblLook w:val="0000"/>
      </w:tblPr>
      <w:tblGrid>
        <w:gridCol w:w="9498"/>
      </w:tblGrid>
      <w:tr w:rsidTr="00FC54F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C54FA" w:rsidP="00FC54FA">
            <w:pPr>
              <w:pStyle w:val="BodyText"/>
            </w:pPr>
            <w:r w:rsidRPr="00FC54FA">
              <w:t>This unit involves the skills and knowledge required to contribute to a safe engine watch on a vessel while under the direction of the officer in charge of the engineering watch.</w:t>
            </w:r>
          </w:p>
          <w:p w:rsidR="00000000" w:rsidRPr="00FC54FA" w:rsidP="00FC54FA">
            <w:pPr>
              <w:pStyle w:val="BodyText"/>
            </w:pPr>
            <w:r w:rsidRPr="00FC54FA">
              <w:t>This unit applies to an Integrated Rating or Able Seafarer-Engine, who assist</w:t>
            </w:r>
            <w:r w:rsidRPr="00FC54FA">
              <w:t xml:space="preserve">s, under the direction of the officer in charge of the engineering watch, in performing engine watchkeeping duties. </w:t>
            </w:r>
          </w:p>
          <w:p w:rsidR="00000000" w:rsidRPr="00FC54FA" w:rsidP="00FC54FA">
            <w:pPr>
              <w:pStyle w:val="BodyText"/>
            </w:pPr>
            <w:r w:rsidRPr="00FC54FA">
              <w:t>No licensing, legislative or certification requirements apply to this unit at the time of publication.</w:t>
            </w:r>
          </w:p>
        </w:tc>
      </w:tr>
    </w:tbl>
    <w:p w:rsidR="00461B32" w:rsidP="00FC54FA">
      <w:pPr>
        <w:pStyle w:val="BodyText"/>
      </w:pPr>
    </w:p>
    <w:p w:rsidR="00461B32" w:rsidP="00FC54FA">
      <w:pPr>
        <w:pStyle w:val="BodyText"/>
      </w:pPr>
    </w:p>
    <w:p w:rsidR="00000000" w:rsidRPr="00FC54FA" w:rsidP="00FC54FA">
      <w:pPr>
        <w:pStyle w:val="Heading1"/>
      </w:pPr>
      <w:bookmarkStart w:id="3" w:name="O_845438"/>
      <w:bookmarkEnd w:id="3"/>
      <w:r w:rsidRPr="00FC54FA">
        <w:t>Pre-requisite Un</w:t>
      </w:r>
      <w:r w:rsidRPr="00FC54FA">
        <w:t>it</w:t>
      </w:r>
    </w:p>
    <w:p w:rsidR="00461B32" w:rsidP="00461B32">
      <w:pPr>
        <w:pStyle w:val="BodyText"/>
      </w:pPr>
      <w:r w:rsidRPr="00FC54FA">
        <w:t>Not applicable.</w:t>
      </w:r>
    </w:p>
    <w:p w:rsidR="00000000" w:rsidRPr="00FC54FA" w:rsidP="00FC54FA">
      <w:pPr>
        <w:pStyle w:val="Heading1"/>
      </w:pPr>
      <w:bookmarkStart w:id="4" w:name="O_845439"/>
      <w:bookmarkEnd w:id="4"/>
      <w:r w:rsidRPr="00FC54FA">
        <w:t>Competency Field</w:t>
      </w:r>
    </w:p>
    <w:p w:rsidR="00461B32" w:rsidP="00461B32">
      <w:pPr>
        <w:pStyle w:val="BodyText"/>
      </w:pPr>
      <w:r w:rsidRPr="00FC54FA">
        <w:t>O – Watchkeeping</w:t>
      </w:r>
    </w:p>
    <w:p w:rsidR="00000000" w:rsidRPr="00FC54FA" w:rsidP="00FC54FA">
      <w:pPr>
        <w:pStyle w:val="Heading1"/>
      </w:pPr>
      <w:bookmarkStart w:id="5" w:name="O_845440"/>
      <w:bookmarkEnd w:id="5"/>
      <w:r w:rsidRPr="00FC54FA">
        <w:t>Unit Sector</w:t>
      </w:r>
    </w:p>
    <w:p w:rsidR="00461B32" w:rsidP="00461B32">
      <w:pPr>
        <w:pStyle w:val="BodyText"/>
      </w:pPr>
      <w:r w:rsidRPr="00FC54FA">
        <w:t>Not applicable.</w:t>
      </w:r>
    </w:p>
    <w:p w:rsidR="00000000" w:rsidRPr="00FC54FA" w:rsidP="00FC54FA">
      <w:pPr>
        <w:pStyle w:val="Heading1"/>
      </w:pPr>
      <w:bookmarkStart w:id="6" w:name="O_845441"/>
      <w:bookmarkEnd w:id="6"/>
      <w:r w:rsidRPr="00FC54FA">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461B32">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FC54FA" w:rsidP="00FC54FA">
            <w:pPr>
              <w:pStyle w:val="BodyText"/>
            </w:pPr>
            <w:r w:rsidRPr="00FC54FA">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FC54FA">
            <w:pPr>
              <w:pStyle w:val="BodyText"/>
              <w:rPr>
                <w:lang w:val="en-NZ"/>
              </w:rPr>
            </w:pPr>
            <w:r w:rsidRPr="00FC54FA">
              <w:rPr>
                <w:rStyle w:val="SpecialBold"/>
              </w:rPr>
              <w:t>PERFORMANCE CRITERIA</w:t>
            </w:r>
          </w:p>
        </w:tc>
      </w:tr>
      <w:tr w:rsidTr="00461B32">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FC54FA">
            <w:pPr>
              <w:pStyle w:val="BodyText"/>
              <w:rPr>
                <w:lang w:val="en-NZ"/>
              </w:rPr>
            </w:pPr>
            <w:r w:rsidRPr="00FC54FA">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FC54FA">
            <w:pPr>
              <w:pStyle w:val="BodyText"/>
              <w:rPr>
                <w:lang w:val="en-NZ"/>
              </w:rPr>
            </w:pPr>
            <w:r w:rsidRPr="00FC54FA">
              <w:t>Performance criteria describe the performance needed to demonstrate achievement of the element.</w:t>
            </w:r>
          </w:p>
        </w:tc>
      </w:tr>
      <w:tr w:rsidTr="00461B3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C54FA" w:rsidP="00FC54FA">
            <w:pPr>
              <w:pStyle w:val="BodyText"/>
            </w:pPr>
            <w:r w:rsidRPr="00FC54FA">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FC54FA">
            <w:pPr>
              <w:pStyle w:val="BodyText"/>
              <w:rPr>
                <w:lang w:val="en-NZ"/>
              </w:rPr>
            </w:pPr>
            <w:r w:rsidRPr="00FC54FA">
              <w:rPr>
                <w:rStyle w:val="SpecialBold"/>
              </w:rPr>
              <w:t xml:space="preserve">Follow instructions </w:t>
            </w:r>
            <w:r w:rsidRPr="00FC54FA">
              <w:rPr>
                <w:rStyle w:val="SpecialBold"/>
              </w:rPr>
              <w:t>to monitor engine-room machinery and equipment</w:t>
            </w:r>
          </w:p>
        </w:tc>
        <w:tc>
          <w:tcPr>
            <w:tcW w:w="719" w:type="dxa"/>
            <w:tcBorders>
              <w:top w:val="nil"/>
              <w:left w:val="nil"/>
              <w:bottom w:val="nil"/>
              <w:right w:val="nil"/>
            </w:tcBorders>
            <w:tcMar>
              <w:top w:w="0" w:type="dxa"/>
              <w:left w:w="62" w:type="dxa"/>
              <w:bottom w:w="0" w:type="dxa"/>
              <w:right w:w="62" w:type="dxa"/>
            </w:tcMar>
          </w:tcPr>
          <w:p w:rsidR="00000000" w:rsidP="00FC54FA">
            <w:pPr>
              <w:pStyle w:val="BodyText"/>
              <w:rPr>
                <w:lang w:val="en-NZ"/>
              </w:rPr>
            </w:pPr>
            <w:r w:rsidRPr="00FC54FA">
              <w:t>1.1</w:t>
            </w:r>
          </w:p>
        </w:tc>
        <w:tc>
          <w:tcPr>
            <w:tcW w:w="6045" w:type="dxa"/>
            <w:tcBorders>
              <w:top w:val="nil"/>
              <w:left w:val="nil"/>
              <w:bottom w:val="nil"/>
              <w:right w:val="nil"/>
            </w:tcBorders>
            <w:tcMar>
              <w:top w:w="0" w:type="dxa"/>
              <w:left w:w="62" w:type="dxa"/>
              <w:bottom w:w="0" w:type="dxa"/>
              <w:right w:w="62" w:type="dxa"/>
            </w:tcMar>
          </w:tcPr>
          <w:p w:rsidR="00000000" w:rsidP="00FC54FA">
            <w:pPr>
              <w:pStyle w:val="BodyText"/>
              <w:rPr>
                <w:lang w:val="en-NZ"/>
              </w:rPr>
            </w:pPr>
            <w:r w:rsidRPr="00FC54FA">
              <w:t xml:space="preserve">Unsafe conditions and potential hazards are recognised, and </w:t>
            </w:r>
            <w:r w:rsidRPr="00FC54FA">
              <w:t>risk is assessed and repo</w:t>
            </w:r>
            <w:r w:rsidRPr="00FC54FA">
              <w:t>rted according to organisational procedures</w:t>
            </w:r>
          </w:p>
        </w:tc>
      </w:tr>
      <w:tr w:rsidTr="00461B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54FA">
            <w:pPr>
              <w:pStyle w:val="BodyText"/>
              <w:rPr>
                <w:lang w:val="en-NZ"/>
              </w:rPr>
            </w:pPr>
            <w:r w:rsidRPr="00FC54FA">
              <w:t>1.2</w:t>
            </w:r>
          </w:p>
        </w:tc>
        <w:tc>
          <w:tcPr>
            <w:tcW w:w="6045" w:type="dxa"/>
            <w:tcBorders>
              <w:top w:val="nil"/>
              <w:left w:val="nil"/>
              <w:bottom w:val="nil"/>
              <w:right w:val="nil"/>
            </w:tcBorders>
            <w:tcMar>
              <w:top w:w="0" w:type="dxa"/>
              <w:left w:w="62" w:type="dxa"/>
              <w:bottom w:w="0" w:type="dxa"/>
              <w:right w:w="62" w:type="dxa"/>
            </w:tcMar>
          </w:tcPr>
          <w:p w:rsidR="00000000" w:rsidP="00FC54FA">
            <w:pPr>
              <w:pStyle w:val="BodyText"/>
              <w:rPr>
                <w:lang w:val="en-NZ"/>
              </w:rPr>
            </w:pPr>
            <w:r w:rsidRPr="00FC54FA">
              <w:t>Unsafe conditions and hazards are rectified according to organisational procedures</w:t>
            </w:r>
          </w:p>
        </w:tc>
      </w:tr>
      <w:tr w:rsidTr="00461B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54FA">
            <w:pPr>
              <w:pStyle w:val="BodyText"/>
              <w:rPr>
                <w:lang w:val="en-NZ"/>
              </w:rPr>
            </w:pPr>
            <w:r w:rsidRPr="00FC54FA">
              <w:t>1.3</w:t>
            </w:r>
          </w:p>
        </w:tc>
        <w:tc>
          <w:tcPr>
            <w:tcW w:w="6045" w:type="dxa"/>
            <w:tcBorders>
              <w:top w:val="nil"/>
              <w:left w:val="nil"/>
              <w:bottom w:val="nil"/>
              <w:right w:val="nil"/>
            </w:tcBorders>
            <w:tcMar>
              <w:top w:w="0" w:type="dxa"/>
              <w:left w:w="62" w:type="dxa"/>
              <w:bottom w:w="0" w:type="dxa"/>
              <w:right w:w="62" w:type="dxa"/>
            </w:tcMar>
          </w:tcPr>
          <w:p w:rsidR="00000000" w:rsidP="00FC54FA">
            <w:pPr>
              <w:pStyle w:val="BodyText"/>
              <w:rPr>
                <w:lang w:val="en-NZ"/>
              </w:rPr>
            </w:pPr>
            <w:r w:rsidRPr="00FC54FA">
              <w:t>Effective communication is maintained with the officer in charge of the engineering watch about matters relevant to the safety and integrity of the vessel</w:t>
            </w:r>
          </w:p>
        </w:tc>
      </w:tr>
      <w:tr w:rsidTr="00461B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54FA">
            <w:pPr>
              <w:pStyle w:val="BodyText"/>
              <w:rPr>
                <w:lang w:val="en-NZ"/>
              </w:rPr>
            </w:pPr>
            <w:r w:rsidRPr="00FC54FA">
              <w:t>1.4</w:t>
            </w:r>
          </w:p>
        </w:tc>
        <w:tc>
          <w:tcPr>
            <w:tcW w:w="6045" w:type="dxa"/>
            <w:tcBorders>
              <w:top w:val="nil"/>
              <w:left w:val="nil"/>
              <w:bottom w:val="nil"/>
              <w:right w:val="nil"/>
            </w:tcBorders>
            <w:tcMar>
              <w:top w:w="0" w:type="dxa"/>
              <w:left w:w="62" w:type="dxa"/>
              <w:bottom w:w="0" w:type="dxa"/>
              <w:right w:w="62" w:type="dxa"/>
            </w:tcMar>
          </w:tcPr>
          <w:p w:rsidR="00000000" w:rsidP="00FC54FA">
            <w:pPr>
              <w:pStyle w:val="BodyText"/>
              <w:rPr>
                <w:lang w:val="en-NZ"/>
              </w:rPr>
            </w:pPr>
            <w:r w:rsidRPr="00FC54FA">
              <w:t>Procedures for relief, maintenance and handover of a watch are followed</w:t>
            </w:r>
          </w:p>
        </w:tc>
      </w:tr>
      <w:tr w:rsidTr="00461B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54FA">
            <w:pPr>
              <w:pStyle w:val="BodyText"/>
              <w:rPr>
                <w:lang w:val="en-NZ"/>
              </w:rPr>
            </w:pPr>
            <w:r w:rsidRPr="00FC54FA">
              <w:t>1.5</w:t>
            </w:r>
          </w:p>
        </w:tc>
        <w:tc>
          <w:tcPr>
            <w:tcW w:w="6045" w:type="dxa"/>
            <w:tcBorders>
              <w:top w:val="nil"/>
              <w:left w:val="nil"/>
              <w:bottom w:val="nil"/>
              <w:right w:val="nil"/>
            </w:tcBorders>
            <w:tcMar>
              <w:top w:w="0" w:type="dxa"/>
              <w:left w:w="62" w:type="dxa"/>
              <w:bottom w:w="0" w:type="dxa"/>
              <w:right w:w="62" w:type="dxa"/>
            </w:tcMar>
          </w:tcPr>
          <w:p w:rsidR="00000000" w:rsidP="00FC54FA">
            <w:pPr>
              <w:pStyle w:val="BodyText"/>
              <w:rPr>
                <w:lang w:val="en-NZ"/>
              </w:rPr>
            </w:pPr>
            <w:r w:rsidRPr="00FC54FA">
              <w:t>Emergency situations are promptly reported to the officer in charge of the engineering watch</w:t>
            </w:r>
          </w:p>
        </w:tc>
      </w:tr>
      <w:tr w:rsidTr="00461B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54FA">
            <w:pPr>
              <w:pStyle w:val="BodyText"/>
              <w:rPr>
                <w:lang w:val="en-NZ"/>
              </w:rPr>
            </w:pPr>
            <w:r w:rsidRPr="00FC54FA">
              <w:t>1.6</w:t>
            </w:r>
          </w:p>
        </w:tc>
        <w:tc>
          <w:tcPr>
            <w:tcW w:w="6045" w:type="dxa"/>
            <w:tcBorders>
              <w:top w:val="nil"/>
              <w:left w:val="nil"/>
              <w:bottom w:val="nil"/>
              <w:right w:val="nil"/>
            </w:tcBorders>
            <w:tcMar>
              <w:top w:w="0" w:type="dxa"/>
              <w:left w:w="62" w:type="dxa"/>
              <w:bottom w:w="0" w:type="dxa"/>
              <w:right w:w="62" w:type="dxa"/>
            </w:tcMar>
          </w:tcPr>
          <w:p w:rsidR="00000000" w:rsidP="00FC54FA">
            <w:pPr>
              <w:pStyle w:val="BodyText"/>
              <w:rPr>
                <w:lang w:val="en-NZ"/>
              </w:rPr>
            </w:pPr>
            <w:r w:rsidRPr="00FC54FA">
              <w:t>Alarms are recognised and reported</w:t>
            </w:r>
          </w:p>
        </w:tc>
      </w:tr>
      <w:tr w:rsidTr="00461B3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C54FA" w:rsidP="00FC54FA">
            <w:pPr>
              <w:pStyle w:val="BodyText"/>
            </w:pPr>
            <w:r w:rsidRPr="00FC54FA">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FC54FA">
            <w:pPr>
              <w:pStyle w:val="BodyText"/>
              <w:rPr>
                <w:lang w:val="en-NZ"/>
              </w:rPr>
            </w:pPr>
            <w:r w:rsidRPr="00FC54FA">
              <w:rPr>
                <w:rStyle w:val="SpecialBold"/>
              </w:rPr>
              <w:t>Respond to potential emergency situations</w:t>
            </w:r>
          </w:p>
        </w:tc>
        <w:tc>
          <w:tcPr>
            <w:tcW w:w="719" w:type="dxa"/>
            <w:tcBorders>
              <w:top w:val="nil"/>
              <w:left w:val="nil"/>
              <w:bottom w:val="nil"/>
              <w:right w:val="nil"/>
            </w:tcBorders>
            <w:tcMar>
              <w:top w:w="0" w:type="dxa"/>
              <w:left w:w="62" w:type="dxa"/>
              <w:bottom w:w="0" w:type="dxa"/>
              <w:right w:w="62" w:type="dxa"/>
            </w:tcMar>
          </w:tcPr>
          <w:p w:rsidR="00000000" w:rsidP="00FC54FA">
            <w:pPr>
              <w:pStyle w:val="BodyText"/>
              <w:rPr>
                <w:lang w:val="en-NZ"/>
              </w:rPr>
            </w:pPr>
            <w:r w:rsidRPr="00FC54FA">
              <w:t>2.1</w:t>
            </w:r>
          </w:p>
        </w:tc>
        <w:tc>
          <w:tcPr>
            <w:tcW w:w="6045" w:type="dxa"/>
            <w:tcBorders>
              <w:top w:val="nil"/>
              <w:left w:val="nil"/>
              <w:bottom w:val="nil"/>
              <w:right w:val="nil"/>
            </w:tcBorders>
            <w:tcMar>
              <w:top w:w="0" w:type="dxa"/>
              <w:left w:w="62" w:type="dxa"/>
              <w:bottom w:w="0" w:type="dxa"/>
              <w:right w:w="62" w:type="dxa"/>
            </w:tcMar>
          </w:tcPr>
          <w:p w:rsidR="00000000" w:rsidP="00FC54FA">
            <w:pPr>
              <w:pStyle w:val="BodyText"/>
              <w:rPr>
                <w:lang w:val="en-NZ"/>
              </w:rPr>
            </w:pPr>
            <w:r w:rsidRPr="00FC54FA">
              <w:t xml:space="preserve">Control measures to minimise a potential emergency are implemented </w:t>
            </w:r>
          </w:p>
        </w:tc>
      </w:tr>
      <w:tr w:rsidTr="00461B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54FA">
            <w:pPr>
              <w:pStyle w:val="BodyText"/>
              <w:rPr>
                <w:lang w:val="en-NZ"/>
              </w:rPr>
            </w:pPr>
            <w:r w:rsidRPr="00FC54FA">
              <w:t>2.2</w:t>
            </w:r>
          </w:p>
        </w:tc>
        <w:tc>
          <w:tcPr>
            <w:tcW w:w="6045" w:type="dxa"/>
            <w:tcBorders>
              <w:top w:val="nil"/>
              <w:left w:val="nil"/>
              <w:bottom w:val="nil"/>
              <w:right w:val="nil"/>
            </w:tcBorders>
            <w:tcMar>
              <w:top w:w="0" w:type="dxa"/>
              <w:left w:w="62" w:type="dxa"/>
              <w:bottom w:w="0" w:type="dxa"/>
              <w:right w:w="62" w:type="dxa"/>
            </w:tcMar>
          </w:tcPr>
          <w:p w:rsidR="00000000" w:rsidP="00FC54FA">
            <w:pPr>
              <w:pStyle w:val="BodyText"/>
              <w:rPr>
                <w:lang w:val="en-NZ"/>
              </w:rPr>
            </w:pPr>
            <w:r w:rsidRPr="00FC54FA">
              <w:t>Containment procedures are applied as required</w:t>
            </w:r>
          </w:p>
        </w:tc>
      </w:tr>
      <w:tr w:rsidTr="00461B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54FA">
            <w:pPr>
              <w:pStyle w:val="BodyText"/>
              <w:rPr>
                <w:lang w:val="en-NZ"/>
              </w:rPr>
            </w:pPr>
            <w:r w:rsidRPr="00FC54FA">
              <w:t>2.3</w:t>
            </w:r>
          </w:p>
        </w:tc>
        <w:tc>
          <w:tcPr>
            <w:tcW w:w="6045" w:type="dxa"/>
            <w:tcBorders>
              <w:top w:val="nil"/>
              <w:left w:val="nil"/>
              <w:bottom w:val="nil"/>
              <w:right w:val="nil"/>
            </w:tcBorders>
            <w:tcMar>
              <w:top w:w="0" w:type="dxa"/>
              <w:left w:w="62" w:type="dxa"/>
              <w:bottom w:w="0" w:type="dxa"/>
              <w:right w:w="62" w:type="dxa"/>
            </w:tcMar>
          </w:tcPr>
          <w:p w:rsidR="00000000" w:rsidP="00FC54FA">
            <w:pPr>
              <w:pStyle w:val="BodyText"/>
              <w:rPr>
                <w:lang w:val="en-NZ"/>
              </w:rPr>
            </w:pPr>
            <w:r w:rsidRPr="00FC54FA">
              <w:t>Appropriate safety procedures are followed and personal protective equipment is used according to organisational procedures</w:t>
            </w:r>
          </w:p>
        </w:tc>
      </w:tr>
      <w:tr w:rsidTr="00461B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54FA">
            <w:pPr>
              <w:pStyle w:val="BodyText"/>
              <w:rPr>
                <w:lang w:val="en-NZ"/>
              </w:rPr>
            </w:pPr>
            <w:r w:rsidRPr="00FC54FA">
              <w:t>2.4</w:t>
            </w:r>
          </w:p>
        </w:tc>
        <w:tc>
          <w:tcPr>
            <w:tcW w:w="6045" w:type="dxa"/>
            <w:tcBorders>
              <w:top w:val="nil"/>
              <w:left w:val="nil"/>
              <w:bottom w:val="nil"/>
              <w:right w:val="nil"/>
            </w:tcBorders>
            <w:tcMar>
              <w:top w:w="0" w:type="dxa"/>
              <w:left w:w="62" w:type="dxa"/>
              <w:bottom w:w="0" w:type="dxa"/>
              <w:right w:w="62" w:type="dxa"/>
            </w:tcMar>
          </w:tcPr>
          <w:p w:rsidR="00000000" w:rsidP="00FC54FA">
            <w:pPr>
              <w:pStyle w:val="BodyText"/>
              <w:rPr>
                <w:lang w:val="en-NZ"/>
              </w:rPr>
            </w:pPr>
            <w:r w:rsidRPr="00FC54FA">
              <w:t>Emergency is eliminated where possible or actions are taken to cont</w:t>
            </w:r>
            <w:r w:rsidRPr="00FC54FA">
              <w:t>rol the emergency</w:t>
            </w:r>
          </w:p>
        </w:tc>
      </w:tr>
      <w:tr w:rsidTr="00461B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54FA">
            <w:pPr>
              <w:pStyle w:val="BodyText"/>
              <w:rPr>
                <w:lang w:val="en-NZ"/>
              </w:rPr>
            </w:pPr>
            <w:r w:rsidRPr="00FC54FA">
              <w:t>2.5</w:t>
            </w:r>
          </w:p>
        </w:tc>
        <w:tc>
          <w:tcPr>
            <w:tcW w:w="6045" w:type="dxa"/>
            <w:tcBorders>
              <w:top w:val="nil"/>
              <w:left w:val="nil"/>
              <w:bottom w:val="nil"/>
              <w:right w:val="nil"/>
            </w:tcBorders>
            <w:tcMar>
              <w:top w:w="0" w:type="dxa"/>
              <w:left w:w="62" w:type="dxa"/>
              <w:bottom w:w="0" w:type="dxa"/>
              <w:right w:w="62" w:type="dxa"/>
            </w:tcMar>
          </w:tcPr>
          <w:p w:rsidR="00000000" w:rsidP="00FC54FA">
            <w:pPr>
              <w:pStyle w:val="BodyText"/>
              <w:rPr>
                <w:lang w:val="en-NZ"/>
              </w:rPr>
            </w:pPr>
            <w:r w:rsidRPr="00FC54FA">
              <w:t>Appropriate firefighting equipment is identified to carry out firefighting operations</w:t>
            </w:r>
          </w:p>
        </w:tc>
      </w:tr>
      <w:tr w:rsidTr="00461B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54FA">
            <w:pPr>
              <w:pStyle w:val="BodyText"/>
              <w:rPr>
                <w:lang w:val="en-NZ"/>
              </w:rPr>
            </w:pPr>
            <w:r w:rsidRPr="00FC54FA">
              <w:t>2.6</w:t>
            </w:r>
          </w:p>
        </w:tc>
        <w:tc>
          <w:tcPr>
            <w:tcW w:w="6045" w:type="dxa"/>
            <w:tcBorders>
              <w:top w:val="nil"/>
              <w:left w:val="nil"/>
              <w:bottom w:val="nil"/>
              <w:right w:val="nil"/>
            </w:tcBorders>
            <w:tcMar>
              <w:top w:w="0" w:type="dxa"/>
              <w:left w:w="62" w:type="dxa"/>
              <w:bottom w:w="0" w:type="dxa"/>
              <w:right w:w="62" w:type="dxa"/>
            </w:tcMar>
          </w:tcPr>
          <w:p w:rsidR="00000000" w:rsidP="00FC54FA">
            <w:pPr>
              <w:pStyle w:val="BodyText"/>
              <w:rPr>
                <w:lang w:val="en-NZ"/>
              </w:rPr>
            </w:pPr>
            <w:r w:rsidRPr="00FC54FA">
              <w:t>Unsafe conditions and potential hazards are recognised, and risk is assessed and reported to the officer in charge of the engineering watch according to organisational procedures</w:t>
            </w:r>
          </w:p>
        </w:tc>
      </w:tr>
      <w:tr w:rsidTr="00461B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54FA">
            <w:pPr>
              <w:pStyle w:val="BodyText"/>
              <w:rPr>
                <w:lang w:val="en-NZ"/>
              </w:rPr>
            </w:pPr>
            <w:r w:rsidRPr="00FC54FA">
              <w:t>2.7</w:t>
            </w:r>
          </w:p>
        </w:tc>
        <w:tc>
          <w:tcPr>
            <w:tcW w:w="6045" w:type="dxa"/>
            <w:tcBorders>
              <w:top w:val="nil"/>
              <w:left w:val="nil"/>
              <w:bottom w:val="nil"/>
              <w:right w:val="nil"/>
            </w:tcBorders>
            <w:tcMar>
              <w:top w:w="0" w:type="dxa"/>
              <w:left w:w="62" w:type="dxa"/>
              <w:bottom w:w="0" w:type="dxa"/>
              <w:right w:w="62" w:type="dxa"/>
            </w:tcMar>
          </w:tcPr>
          <w:p w:rsidR="00000000" w:rsidRPr="00FC54FA" w:rsidP="00FC54FA">
            <w:pPr>
              <w:pStyle w:val="BodyText"/>
            </w:pPr>
            <w:r w:rsidRPr="00FC54FA">
              <w:t>Unsafe conditions and hazards are rectified according to organisationa</w:t>
            </w:r>
            <w:r w:rsidRPr="00FC54FA">
              <w:t>l procedures</w:t>
            </w:r>
          </w:p>
        </w:tc>
      </w:tr>
    </w:tbl>
    <w:p w:rsidR="00461B32" w:rsidP="00FC54FA">
      <w:pPr>
        <w:pStyle w:val="BodyText"/>
      </w:pPr>
    </w:p>
    <w:p w:rsidR="00461B32" w:rsidP="00FC54FA">
      <w:pPr>
        <w:pStyle w:val="BodyText"/>
      </w:pPr>
    </w:p>
    <w:p w:rsidR="00000000" w:rsidRPr="00FC54FA" w:rsidP="00FC54FA">
      <w:pPr>
        <w:pStyle w:val="Heading1"/>
      </w:pPr>
      <w:bookmarkStart w:id="7" w:name="O_845442"/>
      <w:bookmarkEnd w:id="7"/>
      <w:r w:rsidRPr="00FC54FA">
        <w:t>Foundation Skills</w:t>
      </w:r>
    </w:p>
    <w:p w:rsidR="00461B32" w:rsidP="00461B32">
      <w:pPr>
        <w:pStyle w:val="BodyText"/>
      </w:pPr>
      <w:r w:rsidRPr="00FC54FA">
        <w:t>Foundation skills essential to performance are explicit in the performance criteria of this unit of competency.</w:t>
      </w:r>
    </w:p>
    <w:p w:rsidR="00000000" w:rsidRPr="00FC54FA" w:rsidP="00FC54FA">
      <w:pPr>
        <w:pStyle w:val="Heading1"/>
      </w:pPr>
      <w:bookmarkStart w:id="8" w:name="O_845443"/>
      <w:bookmarkEnd w:id="8"/>
      <w:r w:rsidRPr="00FC54FA">
        <w:t>Range of Conditions</w:t>
      </w:r>
    </w:p>
    <w:tbl>
      <w:tblPr>
        <w:tblW w:w="9498" w:type="dxa"/>
        <w:tblLayout w:type="fixed"/>
        <w:tblCellMar>
          <w:left w:w="62" w:type="dxa"/>
          <w:right w:w="62" w:type="dxa"/>
        </w:tblCellMar>
        <w:tblLook w:val="0000"/>
      </w:tblPr>
      <w:tblGrid>
        <w:gridCol w:w="2735"/>
        <w:gridCol w:w="6763"/>
      </w:tblGrid>
      <w:tr w:rsidTr="00FC54FA">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FC54FA" w:rsidP="00FC54FA">
            <w:pPr>
              <w:pStyle w:val="BodyText"/>
            </w:pPr>
            <w:r w:rsidRPr="00FC54FA">
              <w:t>Range is restricted to essential operating conditions and any other variables essential to the work environment.</w:t>
            </w:r>
          </w:p>
          <w:p w:rsidR="00000000" w:rsidP="00FC54FA">
            <w:pPr>
              <w:pStyle w:val="BodyText"/>
              <w:rPr>
                <w:lang w:val="en-NZ"/>
              </w:rPr>
            </w:pPr>
            <w:r w:rsidRPr="00FC54FA">
              <w:t>Non-essential conditions can be found in the Companion Volume Implementation Guide.</w:t>
            </w:r>
          </w:p>
        </w:tc>
      </w:tr>
      <w:tr w:rsidTr="00FC54F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C54FA">
            <w:pPr>
              <w:pStyle w:val="BodyText"/>
              <w:rPr>
                <w:lang w:val="en-NZ"/>
              </w:rPr>
            </w:pPr>
            <w:r w:rsidRPr="00FC54FA">
              <w:t>Emergency situations include one or more of the following</w:t>
            </w:r>
            <w:r w:rsidRPr="00FC54FA">
              <w:t>:</w:t>
            </w:r>
          </w:p>
        </w:tc>
        <w:tc>
          <w:tcPr>
            <w:tcW w:w="6763" w:type="dxa"/>
            <w:tcBorders>
              <w:top w:val="nil"/>
              <w:left w:val="nil"/>
              <w:bottom w:val="nil"/>
              <w:right w:val="nil"/>
            </w:tcBorders>
            <w:tcMar>
              <w:top w:w="0" w:type="dxa"/>
              <w:left w:w="62" w:type="dxa"/>
              <w:bottom w:w="0" w:type="dxa"/>
              <w:right w:w="62" w:type="dxa"/>
            </w:tcMar>
          </w:tcPr>
          <w:p w:rsidR="00000000" w:rsidRPr="00FC54FA" w:rsidP="00FC54FA">
            <w:pPr>
              <w:pStyle w:val="ListBullet"/>
            </w:pPr>
            <w:r w:rsidRPr="00FC54FA">
              <w:t>crankcase and gearbox explosions</w:t>
            </w:r>
          </w:p>
          <w:p w:rsidR="00000000" w:rsidRPr="00FC54FA" w:rsidP="00FC54FA">
            <w:pPr>
              <w:pStyle w:val="ListBullet"/>
            </w:pPr>
            <w:r w:rsidRPr="00FC54FA">
              <w:t>fire, including engine room scavenge fires</w:t>
            </w:r>
          </w:p>
          <w:p w:rsidR="00000000" w:rsidRPr="00FC54FA" w:rsidP="00FC54FA">
            <w:pPr>
              <w:pStyle w:val="ListBullet"/>
            </w:pPr>
            <w:r w:rsidRPr="00FC54FA">
              <w:t>gearbox failure</w:t>
            </w:r>
          </w:p>
          <w:p w:rsidR="00000000" w:rsidRPr="00FC54FA" w:rsidP="00FC54FA">
            <w:pPr>
              <w:pStyle w:val="ListBullet"/>
            </w:pPr>
            <w:r w:rsidRPr="00FC54FA">
              <w:t xml:space="preserve">generator failure </w:t>
            </w:r>
          </w:p>
          <w:p w:rsidR="00000000" w:rsidRPr="00FC54FA" w:rsidP="00FC54FA">
            <w:pPr>
              <w:pStyle w:val="ListBullet"/>
            </w:pPr>
            <w:r w:rsidRPr="00FC54FA">
              <w:t>loss of engine cooling water</w:t>
            </w:r>
          </w:p>
          <w:p w:rsidR="00000000" w:rsidRPr="00FC54FA" w:rsidP="00FC54FA">
            <w:pPr>
              <w:pStyle w:val="ListBullet"/>
            </w:pPr>
            <w:r w:rsidRPr="00FC54FA">
              <w:t>starting air-line</w:t>
            </w:r>
          </w:p>
        </w:tc>
      </w:tr>
    </w:tbl>
    <w:p w:rsidR="00461B32" w:rsidP="00FC54FA">
      <w:pPr>
        <w:pStyle w:val="BodyText"/>
      </w:pPr>
    </w:p>
    <w:p w:rsidR="00461B32" w:rsidP="00FC54FA">
      <w:pPr>
        <w:pStyle w:val="BodyText"/>
      </w:pPr>
    </w:p>
    <w:p w:rsidR="00000000" w:rsidRPr="00FC54FA" w:rsidP="00FC54FA">
      <w:pPr>
        <w:pStyle w:val="Heading1"/>
      </w:pPr>
      <w:bookmarkStart w:id="9" w:name="O_845444"/>
      <w:bookmarkEnd w:id="9"/>
      <w:r w:rsidRPr="00FC54FA">
        <w:t>Unit Mapping Information</w:t>
      </w:r>
    </w:p>
    <w:p w:rsidR="00461B32" w:rsidP="00461B32">
      <w:pPr>
        <w:pStyle w:val="BodyText"/>
      </w:pPr>
      <w:r w:rsidRPr="00FC54FA">
        <w:t>This unit replaces and is equivalent to MARO3001A Contribute to monitoring and controlling a safe engine watch.</w:t>
      </w:r>
    </w:p>
    <w:p w:rsidR="00000000" w:rsidRPr="00FC54FA" w:rsidP="00FC54FA">
      <w:pPr>
        <w:pStyle w:val="Heading1"/>
      </w:pPr>
      <w:bookmarkStart w:id="10" w:name="O_845451"/>
      <w:bookmarkEnd w:id="10"/>
      <w:r w:rsidRPr="00FC54FA">
        <w:t>Links</w:t>
      </w:r>
    </w:p>
    <w:p w:rsidR="00000000" w:rsidRPr="00FC54FA" w:rsidP="00461B32">
      <w:pPr>
        <w:pStyle w:val="BodyText"/>
      </w:pPr>
      <w:r w:rsidRPr="00FC54FA">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6F4044">
        <w:rPr>
          <w:rStyle w:val="Hyperlink"/>
        </w:rPr>
        <w:t>https://vetnet.gov.au/Pages/TrainingDocs.aspx?q=772efb7b-4cce-47fe-9bbd-ee3b1d1eb4c2</w:t>
      </w:r>
      <w:r>
        <w:fldChar w:fldCharType="end"/>
      </w:r>
    </w:p>
    <w:p w:rsidR="00000000" w:rsidRPr="00FC54FA" w:rsidP="00461B32">
      <w:pPr>
        <w:pStyle w:val="BodyText"/>
        <w:sectPr w:rsidSect="00FC54FA">
          <w:headerReference w:type="default" r:id="rId10"/>
          <w:footerReference w:type="default" r:id="rId11"/>
          <w:pgSz w:w="11908" w:h="16833"/>
          <w:pgMar w:top="1702" w:right="1418" w:bottom="1702" w:left="1418" w:header="992" w:footer="992" w:gutter="0"/>
          <w:cols w:space="720"/>
          <w:noEndnote/>
          <w:docGrid w:linePitch="299"/>
        </w:sectPr>
      </w:pPr>
    </w:p>
    <w:p w:rsidR="00000000" w:rsidRPr="00FC54FA" w:rsidP="00FC54FA">
      <w:pPr>
        <w:pStyle w:val="SuperHeading"/>
      </w:pPr>
      <w:r w:rsidRPr="00FC54FA">
        <w:t>Assessment Requirements for MARO005 Contribute to monitoring and controlling a safe engine watch</w:t>
      </w:r>
    </w:p>
    <w:p w:rsidR="00000000" w:rsidRPr="00FC54FA" w:rsidP="00FC54FA">
      <w:pPr>
        <w:pStyle w:val="Heading1"/>
      </w:pPr>
      <w:bookmarkStart w:id="11" w:name="O_845446"/>
      <w:bookmarkEnd w:id="11"/>
      <w:r w:rsidRPr="00FC54FA">
        <w:t>Modification History</w:t>
      </w:r>
    </w:p>
    <w:p w:rsidR="00461B32" w:rsidP="00461B32">
      <w:pPr>
        <w:pStyle w:val="BodyText"/>
      </w:pPr>
      <w:r w:rsidRPr="00FC54FA">
        <w:t>Release 1. New unit of competency.</w:t>
      </w:r>
    </w:p>
    <w:p w:rsidR="00000000" w:rsidRPr="00FC54FA" w:rsidP="00FC54FA">
      <w:pPr>
        <w:pStyle w:val="Heading1"/>
      </w:pPr>
      <w:bookmarkStart w:id="12" w:name="O_845447"/>
      <w:bookmarkEnd w:id="12"/>
      <w:r w:rsidRPr="00FC54FA">
        <w:t>Performance Evidence</w:t>
      </w:r>
    </w:p>
    <w:tbl>
      <w:tblPr>
        <w:tblW w:w="9498" w:type="dxa"/>
        <w:tblLayout w:type="fixed"/>
        <w:tblCellMar>
          <w:left w:w="62" w:type="dxa"/>
          <w:right w:w="62" w:type="dxa"/>
        </w:tblCellMar>
        <w:tblLook w:val="0000"/>
      </w:tblPr>
      <w:tblGrid>
        <w:gridCol w:w="9498"/>
      </w:tblGrid>
      <w:tr w:rsidTr="00FC54FA">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FC54FA">
            <w:pPr>
              <w:pStyle w:val="BodyText"/>
              <w:rPr>
                <w:lang w:val="en-NZ"/>
              </w:rPr>
            </w:pPr>
            <w:r w:rsidRPr="00FC54FA">
              <w:t>Evidence required to demonstrate competence in this unit must be relevant to and satisfy all of the requirements of the elements and performance criteria on at least one occasion and include:</w:t>
            </w:r>
          </w:p>
        </w:tc>
      </w:tr>
      <w:tr w:rsidTr="00FC54FA">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FC54FA" w:rsidP="00FC54FA">
            <w:pPr>
              <w:pStyle w:val="ListBullet"/>
            </w:pPr>
            <w:r w:rsidRPr="00FC54FA">
              <w:t>applying relevant work health and</w:t>
            </w:r>
            <w:r w:rsidRPr="00FC54FA">
              <w:t xml:space="preserve"> safety (WHS)/occupational health and safety (OHS) requirements and work practices</w:t>
            </w:r>
          </w:p>
          <w:p w:rsidR="00000000" w:rsidRPr="00FC54FA" w:rsidP="00FC54FA">
            <w:pPr>
              <w:pStyle w:val="ListBullet"/>
            </w:pPr>
            <w:r w:rsidRPr="00FC54FA">
              <w:t>communicating clearly and concisely and acknowledging orders in a seamanlike manner</w:t>
            </w:r>
          </w:p>
          <w:p w:rsidR="00000000" w:rsidRPr="00FC54FA" w:rsidP="00FC54FA">
            <w:pPr>
              <w:pStyle w:val="ListBullet"/>
            </w:pPr>
            <w:r w:rsidRPr="00FC54FA">
              <w:t>communicating effectively with the officer in charge of the engineering watch about matters relevant to watchkeeping duties</w:t>
            </w:r>
          </w:p>
          <w:p w:rsidR="00000000" w:rsidRPr="00FC54FA" w:rsidP="00FC54FA">
            <w:pPr>
              <w:pStyle w:val="ListBullet"/>
            </w:pPr>
            <w:r w:rsidRPr="00FC54FA">
              <w:t>conforming to accepted practices and procedures in the maintenance, handover and relief of the watch</w:t>
            </w:r>
          </w:p>
          <w:p w:rsidR="00000000" w:rsidRPr="00FC54FA" w:rsidP="00FC54FA">
            <w:pPr>
              <w:pStyle w:val="ListBullet"/>
            </w:pPr>
            <w:r w:rsidRPr="00FC54FA">
              <w:t>conforming to established proce</w:t>
            </w:r>
            <w:r w:rsidRPr="00FC54FA">
              <w:t>dures and practices in taking initial action on becoming aware of an emergency or abnormal situation</w:t>
            </w:r>
          </w:p>
          <w:p w:rsidR="00000000" w:rsidRPr="00FC54FA" w:rsidP="00FC54FA">
            <w:pPr>
              <w:pStyle w:val="ListBullet"/>
            </w:pPr>
            <w:r w:rsidRPr="00FC54FA">
              <w:t>maintaining the integrity of emergency alarm systems at all times</w:t>
            </w:r>
          </w:p>
          <w:p w:rsidR="00000000" w:rsidRPr="00FC54FA" w:rsidP="00FC54FA">
            <w:pPr>
              <w:pStyle w:val="ListBullet"/>
            </w:pPr>
            <w:r w:rsidRPr="00FC54FA">
              <w:t>monitoring and anticipating hazards and risks that may arise during engine watchkeeping d</w:t>
            </w:r>
            <w:r w:rsidRPr="00FC54FA">
              <w:t>uties</w:t>
            </w:r>
          </w:p>
          <w:p w:rsidR="00000000" w:rsidRPr="00FC54FA" w:rsidP="00FC54FA">
            <w:pPr>
              <w:pStyle w:val="ListBullet"/>
            </w:pPr>
            <w:r w:rsidRPr="00FC54FA">
              <w:t>monitoring engine-room machinery and equipment including:</w:t>
            </w:r>
          </w:p>
          <w:p w:rsidR="00000000" w:rsidRPr="00FC54FA" w:rsidP="00FC54FA">
            <w:pPr>
              <w:pStyle w:val="ListBullet2"/>
            </w:pPr>
            <w:r w:rsidRPr="00FC54FA">
              <w:t xml:space="preserve">boiler water levels and steam pressure </w:t>
            </w:r>
          </w:p>
          <w:p w:rsidR="00000000" w:rsidRPr="00FC54FA" w:rsidP="00FC54FA">
            <w:pPr>
              <w:pStyle w:val="ListBullet2"/>
            </w:pPr>
            <w:r w:rsidRPr="00FC54FA">
              <w:t>engine</w:t>
            </w:r>
            <w:r w:rsidRPr="00FC54FA">
              <w:noBreakHyphen/>
              <w:t>room machinery temperatures</w:t>
            </w:r>
          </w:p>
          <w:p w:rsidR="00000000" w:rsidRPr="00FC54FA" w:rsidP="00FC54FA">
            <w:pPr>
              <w:pStyle w:val="ListBullet2"/>
            </w:pPr>
            <w:r w:rsidRPr="00FC54FA">
              <w:t>oil levels</w:t>
            </w:r>
          </w:p>
          <w:p w:rsidR="00000000" w:rsidRPr="00FC54FA" w:rsidP="00FC54FA">
            <w:pPr>
              <w:pStyle w:val="ListBullet"/>
            </w:pPr>
            <w:r w:rsidRPr="00FC54FA">
              <w:t>monitoring propulsion and auxiliary machinery according to instructions during watchkeeping duties</w:t>
            </w:r>
          </w:p>
          <w:p w:rsidR="00000000" w:rsidRPr="00FC54FA" w:rsidP="00FC54FA">
            <w:pPr>
              <w:pStyle w:val="ListBullet"/>
            </w:pPr>
            <w:r w:rsidRPr="00FC54FA">
              <w:t>perfo</w:t>
            </w:r>
            <w:r w:rsidRPr="00FC54FA">
              <w:t>rming basic engine watchkeeping duties under the direction of the officer in charge of the engineering watch on a vessel moored, at anchor or under way</w:t>
            </w:r>
          </w:p>
          <w:p w:rsidR="00000000" w:rsidRPr="00FC54FA" w:rsidP="00FC54FA">
            <w:pPr>
              <w:pStyle w:val="ListBullet"/>
            </w:pPr>
            <w:r w:rsidRPr="00FC54FA">
              <w:t>recognising potential hazards, assessing risks and reporting them to the officer of the watch</w:t>
            </w:r>
          </w:p>
          <w:p w:rsidR="00000000" w:rsidRPr="00FC54FA" w:rsidP="00FC54FA">
            <w:pPr>
              <w:pStyle w:val="ListBullet"/>
            </w:pPr>
            <w:r w:rsidRPr="00FC54FA">
              <w:t>responding to engine orders given by the officer in charge of the engineering watch</w:t>
            </w:r>
          </w:p>
          <w:p w:rsidR="00000000" w:rsidRPr="00FC54FA" w:rsidP="00FC54FA">
            <w:pPr>
              <w:pStyle w:val="ListBullet"/>
            </w:pPr>
            <w:r w:rsidRPr="00FC54FA">
              <w:t>seeking advice/clarification from the officer in charge of the engineering watch where watch information or instructions are not clearly understood</w:t>
            </w:r>
          </w:p>
          <w:p w:rsidR="00000000" w:rsidRPr="00FC54FA" w:rsidP="00FC54FA">
            <w:pPr>
              <w:pStyle w:val="ListBullet"/>
            </w:pPr>
            <w:r w:rsidRPr="00FC54FA">
              <w:t>using internal communica</w:t>
            </w:r>
            <w:r w:rsidRPr="00FC54FA">
              <w:t>tions and alarm systems.</w:t>
            </w:r>
          </w:p>
        </w:tc>
      </w:tr>
    </w:tbl>
    <w:p w:rsidR="00461B32" w:rsidP="00FC54FA">
      <w:pPr>
        <w:pStyle w:val="BodyText"/>
      </w:pPr>
    </w:p>
    <w:p w:rsidR="00461B32" w:rsidP="00FC54FA">
      <w:pPr>
        <w:pStyle w:val="BodyText"/>
      </w:pPr>
    </w:p>
    <w:p w:rsidR="00000000" w:rsidRPr="00FC54FA" w:rsidP="00FC54FA">
      <w:pPr>
        <w:pStyle w:val="Heading1"/>
      </w:pPr>
      <w:bookmarkStart w:id="13" w:name="O_845448"/>
      <w:bookmarkEnd w:id="13"/>
      <w:r w:rsidRPr="00FC54FA">
        <w:t>Knowledge Evidence</w:t>
      </w:r>
    </w:p>
    <w:tbl>
      <w:tblPr>
        <w:tblW w:w="9498" w:type="dxa"/>
        <w:tblLayout w:type="fixed"/>
        <w:tblCellMar>
          <w:left w:w="62" w:type="dxa"/>
          <w:right w:w="62" w:type="dxa"/>
        </w:tblCellMar>
        <w:tblLook w:val="0000"/>
      </w:tblPr>
      <w:tblGrid>
        <w:gridCol w:w="9498"/>
      </w:tblGrid>
      <w:tr w:rsidTr="00FC54FA">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FC54FA">
            <w:pPr>
              <w:pStyle w:val="BodyText"/>
              <w:rPr>
                <w:lang w:val="en-NZ"/>
              </w:rPr>
            </w:pPr>
            <w:r w:rsidRPr="00FC54FA">
              <w:t>Evidence required to demonstrate competence in this unit must be relevant to and satisfy all of the requirements of the elements and performance criteria and include knowledge of:</w:t>
            </w:r>
          </w:p>
        </w:tc>
      </w:tr>
      <w:tr w:rsidTr="00FC54FA">
        <w:tblPrEx>
          <w:tblW w:w="9498" w:type="dxa"/>
          <w:tblLayout w:type="fixed"/>
          <w:tblCellMar>
            <w:left w:w="62" w:type="dxa"/>
            <w:right w:w="62" w:type="dxa"/>
          </w:tblCellMar>
          <w:tblLook w:val="0000"/>
        </w:tblPrEx>
        <w:trPr>
          <w:trHeight w:val="142"/>
        </w:trPr>
        <w:tc>
          <w:tcPr>
            <w:tcW w:w="9498" w:type="dxa"/>
            <w:tcBorders>
              <w:top w:val="nil"/>
              <w:left w:val="nil"/>
              <w:bottom w:val="nil"/>
              <w:right w:val="nil"/>
            </w:tcBorders>
            <w:tcMar>
              <w:top w:w="0" w:type="dxa"/>
              <w:left w:w="62" w:type="dxa"/>
              <w:bottom w:w="0" w:type="dxa"/>
              <w:right w:w="62" w:type="dxa"/>
            </w:tcMar>
          </w:tcPr>
          <w:p w:rsidR="00000000" w:rsidRPr="00FC54FA" w:rsidP="00FC54FA">
            <w:pPr>
              <w:pStyle w:val="ListBullet"/>
            </w:pPr>
            <w:r w:rsidRPr="00FC54FA">
              <w:t>alarms associated with engine</w:t>
            </w:r>
            <w:r w:rsidRPr="00FC54FA">
              <w:noBreakHyphen/>
              <w:t>room machinery and their meaning</w:t>
            </w:r>
          </w:p>
          <w:p w:rsidR="00000000" w:rsidRPr="00FC54FA" w:rsidP="00FC54FA">
            <w:pPr>
              <w:pStyle w:val="ListBullet"/>
            </w:pPr>
            <w:r w:rsidRPr="00FC54FA">
              <w:t>basic knowledge and correct use of monitoring equipment used in the engine room</w:t>
            </w:r>
          </w:p>
          <w:p w:rsidR="00000000" w:rsidRPr="00FC54FA" w:rsidP="00FC54FA">
            <w:pPr>
              <w:pStyle w:val="ListBullet"/>
            </w:pPr>
            <w:r w:rsidRPr="00FC54FA">
              <w:t>emergency duties and alarm signals</w:t>
            </w:r>
          </w:p>
          <w:p w:rsidR="00000000" w:rsidRPr="00FC54FA" w:rsidP="00FC54FA">
            <w:pPr>
              <w:pStyle w:val="ListBullet"/>
            </w:pPr>
            <w:r w:rsidRPr="00FC54FA">
              <w:t>engine</w:t>
            </w:r>
            <w:r w:rsidRPr="00FC54FA">
              <w:noBreakHyphen/>
              <w:t>room alarm systems and the difference between the various alarms</w:t>
            </w:r>
          </w:p>
          <w:p w:rsidR="00000000" w:rsidRPr="00FC54FA" w:rsidP="00FC54FA">
            <w:pPr>
              <w:pStyle w:val="ListBullet"/>
            </w:pPr>
            <w:r w:rsidRPr="00FC54FA">
              <w:t>engine</w:t>
            </w:r>
            <w:r w:rsidRPr="00FC54FA">
              <w:noBreakHyphen/>
              <w:t>room emergency situations, and appropriate action and solutions</w:t>
            </w:r>
          </w:p>
          <w:p w:rsidR="00000000" w:rsidRPr="00FC54FA" w:rsidP="00FC54FA">
            <w:pPr>
              <w:pStyle w:val="ListBullet"/>
            </w:pPr>
            <w:r w:rsidRPr="00FC54FA">
              <w:t>escape routes from machinery spaces</w:t>
            </w:r>
          </w:p>
          <w:p w:rsidR="00000000" w:rsidRPr="00FC54FA" w:rsidP="00FC54FA">
            <w:pPr>
              <w:pStyle w:val="ListBullet"/>
            </w:pPr>
            <w:r w:rsidRPr="00FC54FA">
              <w:t>function and operation of main propulsion and auxiliary machinery</w:t>
            </w:r>
          </w:p>
          <w:p w:rsidR="00000000" w:rsidRPr="00FC54FA" w:rsidP="00FC54FA">
            <w:pPr>
              <w:pStyle w:val="ListBullet"/>
            </w:pPr>
            <w:r w:rsidRPr="00FC54FA">
              <w:t>information required to maintain a safe engine watch</w:t>
            </w:r>
          </w:p>
          <w:p w:rsidR="00000000" w:rsidRPr="00FC54FA" w:rsidP="00FC54FA">
            <w:pPr>
              <w:pStyle w:val="ListBullet"/>
            </w:pPr>
            <w:r w:rsidRPr="00FC54FA">
              <w:t>monitoring equipment used in the eng</w:t>
            </w:r>
            <w:r w:rsidRPr="00FC54FA">
              <w:t>ine room</w:t>
            </w:r>
          </w:p>
          <w:p w:rsidR="00000000" w:rsidRPr="00FC54FA" w:rsidP="00FC54FA">
            <w:pPr>
              <w:pStyle w:val="ListBullet"/>
            </w:pPr>
            <w:r w:rsidRPr="00FC54FA">
              <w:t>orders as they relate to watchkeeping provided by the officer in charge of the engineering watch</w:t>
            </w:r>
          </w:p>
          <w:p w:rsidR="00000000" w:rsidRPr="00FC54FA" w:rsidP="00FC54FA">
            <w:pPr>
              <w:pStyle w:val="ListBullet"/>
            </w:pPr>
            <w:r w:rsidRPr="00FC54FA">
              <w:t>procedures for the relief, maintenance and handover of a watch</w:t>
            </w:r>
          </w:p>
          <w:p w:rsidR="00000000" w:rsidRPr="00FC54FA" w:rsidP="00FC54FA">
            <w:pPr>
              <w:pStyle w:val="ListBullet"/>
            </w:pPr>
            <w:r w:rsidRPr="00FC54FA">
              <w:t>relevant WHS/OHS requirements, work practices and pollution control regulation and poli</w:t>
            </w:r>
            <w:r w:rsidRPr="00FC54FA">
              <w:t>cies</w:t>
            </w:r>
          </w:p>
          <w:p w:rsidR="00000000" w:rsidRPr="00FC54FA" w:rsidP="00FC54FA">
            <w:pPr>
              <w:pStyle w:val="ListBullet"/>
            </w:pPr>
            <w:r w:rsidRPr="00FC54FA">
              <w:t>requirements for the safe operation of boilers</w:t>
            </w:r>
          </w:p>
          <w:p w:rsidR="00000000" w:rsidRPr="00FC54FA" w:rsidP="00FC54FA">
            <w:pPr>
              <w:pStyle w:val="ListBullet"/>
            </w:pPr>
            <w:r w:rsidRPr="00FC54FA">
              <w:t>shipboard terms and definitions</w:t>
            </w:r>
          </w:p>
          <w:p w:rsidR="00000000" w:rsidRPr="00FC54FA" w:rsidP="00FC54FA">
            <w:pPr>
              <w:pStyle w:val="ListBullet"/>
            </w:pPr>
            <w:r w:rsidRPr="00FC54FA">
              <w:t>terms used in machinery spaces, and names of machinery and equipment.</w:t>
            </w:r>
          </w:p>
        </w:tc>
      </w:tr>
    </w:tbl>
    <w:p w:rsidR="00461B32" w:rsidP="00FC54FA">
      <w:pPr>
        <w:pStyle w:val="BodyText"/>
      </w:pPr>
    </w:p>
    <w:p w:rsidR="00461B32" w:rsidP="00FC54FA">
      <w:pPr>
        <w:pStyle w:val="BodyText"/>
      </w:pPr>
    </w:p>
    <w:p w:rsidR="00000000" w:rsidRPr="00FC54FA" w:rsidP="00FC54FA">
      <w:pPr>
        <w:pStyle w:val="Heading1"/>
      </w:pPr>
      <w:bookmarkStart w:id="14" w:name="O_845449"/>
      <w:bookmarkEnd w:id="14"/>
      <w:r w:rsidRPr="00FC54FA">
        <w:t>Assessment Conditions</w:t>
      </w:r>
    </w:p>
    <w:tbl>
      <w:tblPr>
        <w:tblW w:w="9498" w:type="dxa"/>
        <w:tblLayout w:type="fixed"/>
        <w:tblCellMar>
          <w:left w:w="62" w:type="dxa"/>
          <w:right w:w="62" w:type="dxa"/>
        </w:tblCellMar>
        <w:tblLook w:val="0000"/>
      </w:tblPr>
      <w:tblGrid>
        <w:gridCol w:w="9498"/>
      </w:tblGrid>
      <w:tr w:rsidTr="00FC54F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C54FA" w:rsidP="00FC54FA">
            <w:pPr>
              <w:pStyle w:val="BodyText"/>
            </w:pPr>
            <w:r w:rsidRPr="00FC54FA">
              <w:t xml:space="preserve">As a minimum, assessors must satisfy applicable regulatory requirements, which include requirements in the </w:t>
            </w:r>
            <w:r w:rsidRPr="00FC54FA">
              <w:rPr>
                <w:rStyle w:val="Emphasis"/>
              </w:rPr>
              <w:t>Standards for Registered Training Organisations</w:t>
            </w:r>
            <w:r w:rsidRPr="00FC54FA">
              <w:t xml:space="preserve"> current at the time of assessment. </w:t>
            </w:r>
          </w:p>
          <w:p w:rsidR="00000000" w:rsidRPr="00FC54FA" w:rsidP="00FC54FA">
            <w:pPr>
              <w:pStyle w:val="BodyText"/>
            </w:pPr>
            <w:r w:rsidRPr="00FC54FA">
              <w:t>As a minimum, assessment must satisfy applicable regulatory requi</w:t>
            </w:r>
            <w:r w:rsidRPr="00FC54FA">
              <w:t xml:space="preserve">rements, which include requirements in the </w:t>
            </w:r>
            <w:r w:rsidRPr="00FC54FA">
              <w:rPr>
                <w:rStyle w:val="Emphasis"/>
              </w:rPr>
              <w:t>Standards for Registered Training Organisations</w:t>
            </w:r>
            <w:r w:rsidRPr="00FC54FA">
              <w:t xml:space="preserve"> current at the time of assessment.</w:t>
            </w:r>
          </w:p>
          <w:p w:rsidR="00000000" w:rsidRPr="00FC54FA" w:rsidP="00FC54FA">
            <w:pPr>
              <w:pStyle w:val="BodyText"/>
            </w:pPr>
            <w:r w:rsidRPr="00FC54FA">
              <w:t>Assessment processes and techniques must be appropriate to the language, literacy and numeracy requirements of the work being perf</w:t>
            </w:r>
            <w:r w:rsidRPr="00FC54FA">
              <w:t>ormed and the needs of the candidate.</w:t>
            </w:r>
          </w:p>
          <w:p w:rsidR="00000000" w:rsidRPr="00FC54FA" w:rsidP="00FC54FA">
            <w:pPr>
              <w:pStyle w:val="BodyText"/>
            </w:pPr>
            <w:r w:rsidRPr="00FC54FA">
              <w:t xml:space="preserve">Assessment of engine watchkeeping duties must occur in workplace operational situations. Where this is not available, in simulated workplace operational situations that replicate workplace conditions. </w:t>
            </w:r>
          </w:p>
          <w:p w:rsidR="00000000" w:rsidRPr="00FC54FA" w:rsidP="00FC54FA">
            <w:pPr>
              <w:pStyle w:val="BodyText"/>
            </w:pPr>
            <w:r w:rsidRPr="00FC54FA">
              <w:t>Resources for as</w:t>
            </w:r>
            <w:r w:rsidRPr="00FC54FA">
              <w:t>sessment include access to:</w:t>
            </w:r>
          </w:p>
          <w:p w:rsidR="00000000" w:rsidRPr="00FC54FA" w:rsidP="00FC54FA">
            <w:pPr>
              <w:pStyle w:val="ListBullet"/>
            </w:pPr>
            <w:r w:rsidRPr="00FC54FA">
              <w:t>relevant documentation including workplace procedures, regulations, codes of practice and operation manuals</w:t>
            </w:r>
          </w:p>
          <w:p w:rsidR="00000000" w:rsidRPr="00FC54FA" w:rsidP="00FC54FA">
            <w:pPr>
              <w:pStyle w:val="ListBullet"/>
            </w:pPr>
            <w:r w:rsidRPr="00FC54FA">
              <w:t>tools, equipment and personal protective equipment that replicate and are currently used in industry</w:t>
            </w:r>
          </w:p>
          <w:p w:rsidR="00000000" w:rsidRPr="00FC54FA" w:rsidP="00FC54FA">
            <w:pPr>
              <w:pStyle w:val="ListBullet"/>
            </w:pPr>
            <w:r w:rsidRPr="00FC54FA">
              <w:t>firefighting equipment including:</w:t>
            </w:r>
          </w:p>
          <w:p w:rsidR="00000000" w:rsidRPr="00FC54FA" w:rsidP="00FC54FA">
            <w:pPr>
              <w:pStyle w:val="ListBullet2"/>
            </w:pPr>
            <w:r w:rsidRPr="00FC54FA">
              <w:t>fixed gas systems</w:t>
            </w:r>
          </w:p>
          <w:p w:rsidR="00000000" w:rsidRPr="00FC54FA" w:rsidP="00FC54FA">
            <w:pPr>
              <w:pStyle w:val="ListBullet2"/>
            </w:pPr>
            <w:r w:rsidRPr="00FC54FA">
              <w:t>fixed water systems</w:t>
            </w:r>
          </w:p>
          <w:p w:rsidR="00000000" w:rsidRPr="00FC54FA" w:rsidP="00FC54FA">
            <w:pPr>
              <w:pStyle w:val="ListBullet2"/>
            </w:pPr>
            <w:r w:rsidRPr="00FC54FA">
              <w:t>portable extinguishers</w:t>
            </w:r>
          </w:p>
          <w:p w:rsidR="00000000" w:rsidRPr="00FC54FA" w:rsidP="00FC54FA">
            <w:pPr>
              <w:pStyle w:val="ListBullet"/>
            </w:pPr>
            <w:r w:rsidRPr="00FC54FA">
              <w:t xml:space="preserve">alarms including: </w:t>
            </w:r>
          </w:p>
          <w:p w:rsidR="00000000" w:rsidRPr="00FC54FA" w:rsidP="00FC54FA">
            <w:pPr>
              <w:pStyle w:val="ListBullet2"/>
            </w:pPr>
            <w:r w:rsidRPr="00FC54FA">
              <w:t>bilge</w:t>
            </w:r>
          </w:p>
          <w:p w:rsidR="00000000" w:rsidRPr="00FC54FA" w:rsidP="00FC54FA">
            <w:pPr>
              <w:pStyle w:val="ListBullet2"/>
            </w:pPr>
            <w:r w:rsidRPr="00FC54FA">
              <w:t>boiler level and pressure</w:t>
            </w:r>
          </w:p>
          <w:p w:rsidR="00000000" w:rsidRPr="00FC54FA" w:rsidP="00FC54FA">
            <w:pPr>
              <w:pStyle w:val="ListBullet2"/>
            </w:pPr>
            <w:r w:rsidRPr="00FC54FA">
              <w:t>fire extinguishing gas alarms</w:t>
            </w:r>
          </w:p>
          <w:p w:rsidR="00000000" w:rsidRPr="00FC54FA" w:rsidP="00FC54FA">
            <w:pPr>
              <w:pStyle w:val="ListBullet2"/>
            </w:pPr>
            <w:r w:rsidRPr="00FC54FA">
              <w:t>temperature.</w:t>
            </w:r>
          </w:p>
        </w:tc>
      </w:tr>
    </w:tbl>
    <w:p w:rsidR="00461B32" w:rsidP="00FC54FA">
      <w:pPr>
        <w:pStyle w:val="BodyText"/>
      </w:pPr>
    </w:p>
    <w:p w:rsidR="00461B32" w:rsidP="00FC54FA">
      <w:pPr>
        <w:pStyle w:val="BodyText"/>
      </w:pPr>
    </w:p>
    <w:p w:rsidR="00000000" w:rsidRPr="00FC54FA" w:rsidP="00FC54FA">
      <w:pPr>
        <w:pStyle w:val="Heading1"/>
      </w:pPr>
      <w:bookmarkStart w:id="15" w:name="O_845452"/>
      <w:bookmarkEnd w:id="15"/>
      <w:r w:rsidRPr="00FC54FA">
        <w:t>Links</w:t>
      </w:r>
    </w:p>
    <w:p w:rsidR="00000000" w:rsidRPr="00FC54FA" w:rsidP="00461B32">
      <w:pPr>
        <w:pStyle w:val="BodyText"/>
      </w:pPr>
      <w:r w:rsidRPr="00FC54FA">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6F4044">
        <w:rPr>
          <w:rStyle w:val="Hyperlink"/>
        </w:rPr>
        <w:t>https://vetnet.gov.au/Pages/TrainingDocs.aspx?q=772efb7b-4cce-47fe-9bbd-ee3b1d1eb4c2</w:t>
      </w:r>
      <w:r>
        <w:fldChar w:fldCharType="end"/>
      </w:r>
    </w:p>
    <w:p w:rsidR="00000000" w:rsidRPr="00FC54FA" w:rsidP="00FC54FA"/>
    <w:sectPr w:rsidSect="00FC54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4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4FA" w:rsidRPr="00461B32" w:rsidP="00461B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4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B32" w:rsidP="00FC54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61B32" w:rsidP="00FC54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61B32" w:rsidP="00FC54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4FA" w:rsidP="00FC54FA">
    <w:pPr>
      <w:pStyle w:val="Footer"/>
      <w:framePr w:wrap="around"/>
    </w:pPr>
    <w:r>
      <w:fldChar w:fldCharType="begin"/>
    </w:r>
    <w:r>
      <w:instrText xml:space="preserve"> DOCPROPERTY  Subject  \* MERGEFORMAT </w:instrText>
    </w:r>
    <w:r>
      <w:fldChar w:fldCharType="separate"/>
    </w:r>
    <w:r w:rsidR="00461B32">
      <w:t>Approved</w:t>
    </w:r>
    <w:r w:rsidR="00461B32">
      <w:fldChar w:fldCharType="end"/>
    </w:r>
    <w:r>
      <w:tab/>
      <w:t xml:space="preserve">Page </w:t>
    </w:r>
    <w:r>
      <w:fldChar w:fldCharType="begin"/>
    </w:r>
    <w:r>
      <w:instrText xml:space="preserve"> PAGE  \* Arabic  \* MERGEFORMAT </w:instrText>
    </w:r>
    <w:r>
      <w:fldChar w:fldCharType="separate"/>
    </w:r>
    <w:r w:rsidR="00461B3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61B32">
      <w:rPr>
        <w:noProof/>
      </w:rPr>
      <w:t>4</w:t>
    </w:r>
    <w:r>
      <w:rPr>
        <w:noProof/>
      </w:rPr>
      <w:fldChar w:fldCharType="end"/>
    </w:r>
  </w:p>
  <w:p w:rsidR="00FC54FA" w:rsidP="00FC54FA">
    <w:pPr>
      <w:pStyle w:val="Footer"/>
      <w:framePr w:wrap="around"/>
    </w:pPr>
    <w:r>
      <w:t xml:space="preserve">© Commonwealth of Australia, </w:t>
    </w:r>
    <w:r>
      <w:fldChar w:fldCharType="begin"/>
    </w:r>
    <w:r>
      <w:instrText xml:space="preserve"> DATE  \@ "yyyy"  \* MERGEFORMAT </w:instrText>
    </w:r>
    <w:r>
      <w:fldChar w:fldCharType="separate"/>
    </w:r>
    <w:r w:rsidR="00461B32">
      <w:rPr>
        <w:noProof/>
      </w:rPr>
      <w:t>2025</w:t>
    </w:r>
    <w:r>
      <w:fldChar w:fldCharType="end"/>
    </w:r>
    <w:r>
      <w:tab/>
    </w:r>
    <w:r>
      <w:fldChar w:fldCharType="begin"/>
    </w:r>
    <w:r>
      <w:instrText xml:space="preserve"> DOCPROPERTY  Author  \* MERGEFORMAT </w:instrText>
    </w:r>
    <w:r>
      <w:fldChar w:fldCharType="separate"/>
    </w:r>
    <w:r w:rsidR="00461B32">
      <w:t>Industry Skills Australia</w:t>
    </w:r>
    <w:r w:rsidR="00461B32">
      <w:fldChar w:fldCharType="end"/>
    </w:r>
  </w:p>
  <w:p w:rsidR="00FC54FA" w:rsidP="00FC54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4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B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54FA" w:rsidRPr="00461B32" w:rsidP="00461B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4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B32" w:rsidRPr="002D2AF8" w:rsidP="00FC54FA">
    <w:pPr>
      <w:pStyle w:val="Header"/>
      <w:framePr w:wrap="around"/>
    </w:pPr>
    <w:r>
      <w:fldChar w:fldCharType="begin"/>
    </w:r>
    <w:r>
      <w:instrText xml:space="preserve"> TITLE   \* MERGEFORMAT </w:instrText>
    </w:r>
    <w:r>
      <w:fldChar w:fldCharType="separate"/>
    </w:r>
    <w:r>
      <w:t>MARO005 Contribute to monitoring and controlling a safe engine watch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61B32" w:rsidP="00FC54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4FA" w:rsidRPr="002D2AF8" w:rsidP="00FC54FA">
    <w:pPr>
      <w:pStyle w:val="Header"/>
      <w:framePr w:wrap="around"/>
    </w:pPr>
    <w:r>
      <w:fldChar w:fldCharType="begin"/>
    </w:r>
    <w:r>
      <w:instrText xml:space="preserve"> TITLE   \* MERGEFORMAT </w:instrText>
    </w:r>
    <w:r>
      <w:fldChar w:fldCharType="separate"/>
    </w:r>
    <w:r w:rsidR="00461B32">
      <w:t>MARO005 Contribute to monitoring and controlling a safe engine watch</w:t>
    </w:r>
    <w:r w:rsidR="00461B32">
      <w:fldChar w:fldCharType="end"/>
    </w:r>
    <w:r>
      <w:tab/>
      <w:t xml:space="preserve">Date this document was generated: </w:t>
    </w:r>
    <w:r>
      <w:fldChar w:fldCharType="begin"/>
    </w:r>
    <w:r>
      <w:instrText xml:space="preserve"> CREATEDATE  \@ "d MMMM yyyy"  \* MERGEFORMAT </w:instrText>
    </w:r>
    <w:r>
      <w:fldChar w:fldCharType="separate"/>
    </w:r>
    <w:r w:rsidR="00461B32">
      <w:rPr>
        <w:noProof/>
      </w:rPr>
      <w:t>2 March 2025</w:t>
    </w:r>
    <w:r>
      <w:fldChar w:fldCharType="end"/>
    </w:r>
  </w:p>
  <w:p w:rsidR="00FC54FA" w:rsidP="00FC54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5660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4C1B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B04E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4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54FA"/>
    <w:pPr>
      <w:spacing w:before="360" w:after="60"/>
      <w:outlineLvl w:val="0"/>
    </w:pPr>
    <w:rPr>
      <w:sz w:val="32"/>
    </w:rPr>
  </w:style>
  <w:style w:type="paragraph" w:styleId="Heading2">
    <w:name w:val="heading 2"/>
    <w:basedOn w:val="HeadingBase"/>
    <w:next w:val="BodyText"/>
    <w:link w:val="Heading2Char"/>
    <w:qFormat/>
    <w:rsid w:val="00FC54FA"/>
    <w:pPr>
      <w:keepLines/>
      <w:spacing w:before="240" w:after="120"/>
      <w:outlineLvl w:val="1"/>
    </w:pPr>
    <w:rPr>
      <w:sz w:val="28"/>
      <w:szCs w:val="40"/>
    </w:rPr>
  </w:style>
  <w:style w:type="paragraph" w:styleId="Heading3">
    <w:name w:val="heading 3"/>
    <w:basedOn w:val="HeadingBase"/>
    <w:next w:val="BodyText"/>
    <w:link w:val="Heading3Char"/>
    <w:qFormat/>
    <w:rsid w:val="00FC54FA"/>
    <w:pPr>
      <w:spacing w:before="180" w:after="120"/>
      <w:outlineLvl w:val="2"/>
    </w:pPr>
    <w:rPr>
      <w:spacing w:val="-10"/>
      <w:kern w:val="32"/>
    </w:rPr>
  </w:style>
  <w:style w:type="paragraph" w:styleId="Heading4">
    <w:name w:val="heading 4"/>
    <w:basedOn w:val="HeadingBase"/>
    <w:next w:val="BodyText"/>
    <w:link w:val="Heading4Char"/>
    <w:qFormat/>
    <w:rsid w:val="00FC54FA"/>
    <w:pPr>
      <w:spacing w:before="160" w:after="120"/>
      <w:outlineLvl w:val="3"/>
    </w:pPr>
    <w:rPr>
      <w:sz w:val="22"/>
    </w:rPr>
  </w:style>
  <w:style w:type="paragraph" w:styleId="Heading5">
    <w:name w:val="heading 5"/>
    <w:basedOn w:val="HeadingBase"/>
    <w:next w:val="Normal"/>
    <w:link w:val="Heading5Char"/>
    <w:qFormat/>
    <w:rsid w:val="00FC54FA"/>
    <w:pPr>
      <w:spacing w:before="80"/>
      <w:outlineLvl w:val="4"/>
    </w:pPr>
    <w:rPr>
      <w:color w:val="918585"/>
      <w:sz w:val="20"/>
    </w:rPr>
  </w:style>
  <w:style w:type="paragraph" w:styleId="Heading6">
    <w:name w:val="heading 6"/>
    <w:basedOn w:val="HeadingBase"/>
    <w:next w:val="Normal"/>
    <w:link w:val="Heading6Char"/>
    <w:qFormat/>
    <w:rsid w:val="00FC54FA"/>
    <w:pPr>
      <w:spacing w:before="60"/>
      <w:outlineLvl w:val="5"/>
    </w:pPr>
    <w:rPr>
      <w:color w:val="918585"/>
      <w:sz w:val="20"/>
    </w:rPr>
  </w:style>
  <w:style w:type="paragraph" w:styleId="Heading7">
    <w:name w:val="heading 7"/>
    <w:basedOn w:val="Normal"/>
    <w:next w:val="Normal"/>
    <w:link w:val="Heading7Char"/>
    <w:qFormat/>
    <w:rsid w:val="00FC54FA"/>
    <w:pPr>
      <w:ind w:left="720"/>
      <w:outlineLvl w:val="6"/>
    </w:pPr>
    <w:rPr>
      <w:i/>
    </w:rPr>
  </w:style>
  <w:style w:type="paragraph" w:styleId="Heading8">
    <w:name w:val="heading 8"/>
    <w:basedOn w:val="Normal"/>
    <w:next w:val="Normal"/>
    <w:link w:val="Heading8Char"/>
    <w:qFormat/>
    <w:rsid w:val="00FC54FA"/>
    <w:pPr>
      <w:ind w:left="720"/>
      <w:outlineLvl w:val="7"/>
    </w:pPr>
    <w:rPr>
      <w:i/>
    </w:rPr>
  </w:style>
  <w:style w:type="paragraph" w:styleId="Heading9">
    <w:name w:val="heading 9"/>
    <w:basedOn w:val="Normal"/>
    <w:next w:val="Normal"/>
    <w:link w:val="Heading9Char"/>
    <w:qFormat/>
    <w:rsid w:val="00FC54FA"/>
    <w:pPr>
      <w:ind w:left="720"/>
      <w:outlineLvl w:val="8"/>
    </w:pPr>
    <w:rPr>
      <w:i/>
    </w:rPr>
  </w:style>
  <w:style w:type="character" w:default="1" w:styleId="DefaultParagraphFont">
    <w:name w:val="Default Paragraph Font"/>
    <w:uiPriority w:val="1"/>
    <w:unhideWhenUsed/>
    <w:rsid w:val="00FC54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54FA"/>
  </w:style>
  <w:style w:type="character" w:customStyle="1" w:styleId="Heading1Char">
    <w:name w:val="Heading 1 Char"/>
    <w:basedOn w:val="DefaultParagraphFont"/>
    <w:link w:val="Heading1"/>
    <w:rsid w:val="00FC54FA"/>
    <w:rPr>
      <w:rFonts w:ascii="Times New Roman" w:eastAsia="Times New Roman" w:hAnsi="Times New Roman" w:cs="Times New Roman"/>
      <w:b/>
      <w:sz w:val="32"/>
      <w:szCs w:val="20"/>
      <w:lang w:eastAsia="en-US"/>
    </w:rPr>
  </w:style>
  <w:style w:type="paragraph" w:styleId="BodyText">
    <w:name w:val="Body Text"/>
    <w:basedOn w:val="Normal"/>
    <w:link w:val="BodyTextChar"/>
    <w:rsid w:val="00FC54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54FA"/>
    <w:rPr>
      <w:rFonts w:ascii="Times New Roman" w:eastAsia="Times New Roman" w:hAnsi="Times New Roman" w:cs="Times New Roman"/>
      <w:sz w:val="24"/>
      <w:lang w:eastAsia="en-US"/>
    </w:rPr>
  </w:style>
  <w:style w:type="paragraph" w:styleId="ListBullet">
    <w:name w:val="List Bullet"/>
    <w:basedOn w:val="List"/>
    <w:rsid w:val="00FC54FA"/>
    <w:pPr>
      <w:numPr>
        <w:numId w:val="12"/>
      </w:numPr>
      <w:tabs>
        <w:tab w:val="clear" w:pos="340"/>
      </w:tabs>
      <w:spacing w:before="40" w:after="40"/>
    </w:pPr>
  </w:style>
  <w:style w:type="character" w:customStyle="1" w:styleId="SpecialBold">
    <w:name w:val="Special Bold"/>
    <w:basedOn w:val="DefaultParagraphFont"/>
    <w:rsid w:val="00FC54FA"/>
    <w:rPr>
      <w:b/>
      <w:spacing w:val="0"/>
    </w:rPr>
  </w:style>
  <w:style w:type="paragraph" w:styleId="ListBullet2">
    <w:name w:val="List Bullet 2"/>
    <w:basedOn w:val="List2"/>
    <w:rsid w:val="00FC54FA"/>
    <w:pPr>
      <w:numPr>
        <w:numId w:val="13"/>
      </w:numPr>
      <w:tabs>
        <w:tab w:val="clear" w:pos="680"/>
      </w:tabs>
    </w:pPr>
  </w:style>
  <w:style w:type="character" w:styleId="Emphasis">
    <w:name w:val="Emphasis"/>
    <w:basedOn w:val="DefaultParagraphFont"/>
    <w:qFormat/>
    <w:rsid w:val="00FC54FA"/>
    <w:rPr>
      <w:i/>
    </w:rPr>
  </w:style>
  <w:style w:type="paragraph" w:customStyle="1" w:styleId="SuperHeading">
    <w:name w:val="SuperHeading"/>
    <w:basedOn w:val="Normal"/>
    <w:rsid w:val="00FC54FA"/>
    <w:pPr>
      <w:spacing w:before="240" w:after="120"/>
      <w:outlineLvl w:val="0"/>
    </w:pPr>
    <w:rPr>
      <w:rFonts w:ascii="Times New Roman" w:hAnsi="Times New Roman"/>
      <w:b/>
      <w:sz w:val="32"/>
    </w:rPr>
  </w:style>
  <w:style w:type="paragraph" w:customStyle="1" w:styleId="AllowPageBreak">
    <w:name w:val="AllowPageBreak"/>
    <w:rsid w:val="00FC54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54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54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54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54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54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54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54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54FA"/>
    <w:rPr>
      <w:rFonts w:ascii="Courier New" w:eastAsia="Times New Roman" w:hAnsi="Courier New" w:cs="Times New Roman"/>
      <w:i/>
      <w:szCs w:val="20"/>
      <w:lang w:eastAsia="en-US"/>
    </w:rPr>
  </w:style>
  <w:style w:type="paragraph" w:customStyle="1" w:styleId="HeadingBase">
    <w:name w:val="Heading Base"/>
    <w:rsid w:val="00FC54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54FA"/>
    <w:pPr>
      <w:tabs>
        <w:tab w:val="right" w:leader="dot" w:pos="9072"/>
      </w:tabs>
      <w:ind w:left="567"/>
    </w:pPr>
    <w:rPr>
      <w:szCs w:val="22"/>
    </w:rPr>
  </w:style>
  <w:style w:type="paragraph" w:customStyle="1" w:styleId="TOCBase">
    <w:name w:val="TOC Base"/>
    <w:rsid w:val="00FC54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54FA"/>
    <w:pPr>
      <w:tabs>
        <w:tab w:val="right" w:leader="dot" w:pos="9072"/>
      </w:tabs>
      <w:spacing w:before="40" w:after="40"/>
      <w:ind w:left="284"/>
    </w:pPr>
    <w:rPr>
      <w:rFonts w:ascii="Times New Roman" w:hAnsi="Times New Roman"/>
    </w:rPr>
  </w:style>
  <w:style w:type="paragraph" w:styleId="TOC1">
    <w:name w:val="toc 1"/>
    <w:basedOn w:val="TOCBase"/>
    <w:next w:val="Normal"/>
    <w:rsid w:val="00FC54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54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54FA"/>
    <w:rPr>
      <w:rFonts w:ascii="Times New Roman" w:eastAsia="Times New Roman" w:hAnsi="Times New Roman" w:cs="Times New Roman"/>
      <w:sz w:val="16"/>
      <w:lang w:eastAsia="en-US"/>
    </w:rPr>
  </w:style>
  <w:style w:type="paragraph" w:styleId="Title">
    <w:name w:val="Title"/>
    <w:basedOn w:val="HeadingBase"/>
    <w:link w:val="TitleChar"/>
    <w:qFormat/>
    <w:rsid w:val="00FC54FA"/>
    <w:pPr>
      <w:spacing w:before="5040"/>
      <w:jc w:val="center"/>
    </w:pPr>
    <w:rPr>
      <w:sz w:val="48"/>
      <w:szCs w:val="72"/>
      <w:lang w:val="en-US"/>
    </w:rPr>
  </w:style>
  <w:style w:type="character" w:customStyle="1" w:styleId="TitleChar">
    <w:name w:val="Title Char"/>
    <w:basedOn w:val="DefaultParagraphFont"/>
    <w:link w:val="Title"/>
    <w:rsid w:val="00FC54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54FA"/>
    <w:pPr>
      <w:tabs>
        <w:tab w:val="left" w:pos="3600"/>
        <w:tab w:val="left" w:pos="3958"/>
      </w:tabs>
    </w:pPr>
  </w:style>
  <w:style w:type="paragraph" w:styleId="List">
    <w:name w:val="List"/>
    <w:basedOn w:val="BodyText"/>
    <w:next w:val="BodyText"/>
    <w:rsid w:val="00FC54FA"/>
    <w:pPr>
      <w:tabs>
        <w:tab w:val="left" w:pos="340"/>
      </w:tabs>
      <w:spacing w:before="60" w:after="60"/>
      <w:ind w:left="340" w:hanging="340"/>
    </w:pPr>
  </w:style>
  <w:style w:type="paragraph" w:customStyle="1" w:styleId="Note">
    <w:name w:val="Note"/>
    <w:basedOn w:val="BodyText"/>
    <w:rsid w:val="00FC54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54FA"/>
    <w:pPr>
      <w:framePr w:wrap="auto" w:hAnchor="text" w:y="6049"/>
    </w:pPr>
    <w:rPr>
      <w:color w:val="000000"/>
      <w:sz w:val="40"/>
    </w:rPr>
  </w:style>
  <w:style w:type="paragraph" w:customStyle="1" w:styleId="TOCTitle">
    <w:name w:val="TOCTitle"/>
    <w:basedOn w:val="Heading1"/>
    <w:rsid w:val="00FC54FA"/>
    <w:pPr>
      <w:spacing w:after="240"/>
      <w:jc w:val="center"/>
      <w:outlineLvl w:val="9"/>
    </w:pPr>
    <w:rPr>
      <w:caps/>
    </w:rPr>
  </w:style>
  <w:style w:type="paragraph" w:customStyle="1" w:styleId="Version">
    <w:name w:val="Version"/>
    <w:rsid w:val="00FC54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54FA"/>
    <w:pPr>
      <w:keepNext w:val="0"/>
      <w:tabs>
        <w:tab w:val="right" w:pos="4176"/>
      </w:tabs>
      <w:ind w:left="198" w:hanging="198"/>
    </w:pPr>
    <w:rPr>
      <w:rFonts w:ascii="Garamond" w:hAnsi="Garamond"/>
    </w:rPr>
  </w:style>
  <w:style w:type="paragraph" w:styleId="IndexHeading">
    <w:name w:val="index heading"/>
    <w:basedOn w:val="Normal"/>
    <w:next w:val="Index1"/>
    <w:semiHidden/>
    <w:rsid w:val="00FC54FA"/>
    <w:pPr>
      <w:spacing w:before="120" w:after="120"/>
    </w:pPr>
    <w:rPr>
      <w:rFonts w:ascii="Arial" w:hAnsi="Arial"/>
      <w:b/>
      <w:color w:val="918585"/>
      <w:sz w:val="24"/>
    </w:rPr>
  </w:style>
  <w:style w:type="paragraph" w:styleId="Header">
    <w:name w:val="header"/>
    <w:basedOn w:val="Normal"/>
    <w:link w:val="HeaderChar"/>
    <w:rsid w:val="00FC54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54FA"/>
    <w:rPr>
      <w:rFonts w:ascii="Times New Roman" w:eastAsia="Times New Roman" w:hAnsi="Times New Roman" w:cs="Times New Roman"/>
      <w:sz w:val="16"/>
      <w:szCs w:val="20"/>
      <w:lang w:val="en-GB" w:eastAsia="en-US"/>
    </w:rPr>
  </w:style>
  <w:style w:type="paragraph" w:customStyle="1" w:styleId="Chapter">
    <w:name w:val="Chapter"/>
    <w:basedOn w:val="Normal"/>
    <w:rsid w:val="00FC54FA"/>
    <w:pPr>
      <w:spacing w:before="240"/>
    </w:pPr>
    <w:rPr>
      <w:rFonts w:ascii="Times New Roman" w:hAnsi="Times New Roman"/>
      <w:smallCaps/>
      <w:spacing w:val="80"/>
      <w:sz w:val="28"/>
    </w:rPr>
  </w:style>
  <w:style w:type="paragraph" w:customStyle="1" w:styleId="InChapter">
    <w:name w:val="InChapter"/>
    <w:basedOn w:val="Heading3"/>
    <w:rsid w:val="00FC54FA"/>
    <w:pPr>
      <w:spacing w:after="240"/>
      <w:outlineLvl w:val="9"/>
    </w:pPr>
    <w:rPr>
      <w:noProof/>
    </w:rPr>
  </w:style>
  <w:style w:type="paragraph" w:styleId="Index2">
    <w:name w:val="index 2"/>
    <w:basedOn w:val="Normal"/>
    <w:next w:val="Normal"/>
    <w:semiHidden/>
    <w:rsid w:val="00FC54FA"/>
    <w:pPr>
      <w:tabs>
        <w:tab w:val="right" w:pos="4176"/>
      </w:tabs>
      <w:ind w:left="568" w:hanging="284"/>
    </w:pPr>
    <w:rPr>
      <w:rFonts w:ascii="Garamond" w:hAnsi="Garamond"/>
    </w:rPr>
  </w:style>
  <w:style w:type="paragraph" w:customStyle="1" w:styleId="Byline">
    <w:name w:val="Byline"/>
    <w:rsid w:val="00FC54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54FA"/>
    <w:pPr>
      <w:tabs>
        <w:tab w:val="clear" w:pos="3600"/>
        <w:tab w:val="clear" w:pos="3958"/>
      </w:tabs>
      <w:jc w:val="right"/>
    </w:pPr>
  </w:style>
  <w:style w:type="paragraph" w:styleId="Caption">
    <w:name w:val="caption"/>
    <w:basedOn w:val="BodyText"/>
    <w:next w:val="Normal"/>
    <w:qFormat/>
    <w:rsid w:val="00FC54FA"/>
    <w:pPr>
      <w:framePr w:w="2268" w:hSpace="181" w:vSpace="181" w:wrap="around" w:vAnchor="text" w:hAnchor="page" w:x="1135" w:y="285" w:anchorLock="1"/>
    </w:pPr>
    <w:rPr>
      <w:i/>
    </w:rPr>
  </w:style>
  <w:style w:type="paragraph" w:customStyle="1" w:styleId="MiniTOCTitle">
    <w:name w:val="MiniTOCTitle"/>
    <w:basedOn w:val="Heading4"/>
    <w:rsid w:val="00FC54FA"/>
    <w:pPr>
      <w:spacing w:before="240"/>
      <w:outlineLvl w:val="9"/>
    </w:pPr>
    <w:rPr>
      <w:noProof/>
      <w:sz w:val="24"/>
    </w:rPr>
  </w:style>
  <w:style w:type="paragraph" w:customStyle="1" w:styleId="MiniTOCItem">
    <w:name w:val="MiniTOCItem"/>
    <w:basedOn w:val="ListBullet"/>
    <w:rsid w:val="00FC54FA"/>
    <w:pPr>
      <w:numPr>
        <w:numId w:val="0"/>
      </w:numPr>
      <w:tabs>
        <w:tab w:val="right" w:leader="dot" w:pos="6521"/>
      </w:tabs>
      <w:spacing w:before="0" w:after="0"/>
    </w:pPr>
  </w:style>
  <w:style w:type="paragraph" w:customStyle="1" w:styleId="TOFTitle">
    <w:name w:val="TOFTitle"/>
    <w:basedOn w:val="TOCTitle"/>
    <w:rsid w:val="00FC54FA"/>
  </w:style>
  <w:style w:type="paragraph" w:styleId="TableofFigures">
    <w:name w:val="table of figures"/>
    <w:basedOn w:val="Normal"/>
    <w:next w:val="Normal"/>
    <w:semiHidden/>
    <w:rsid w:val="00FC54FA"/>
    <w:pPr>
      <w:tabs>
        <w:tab w:val="right" w:leader="dot" w:pos="9072"/>
      </w:tabs>
      <w:ind w:left="970" w:hanging="403"/>
    </w:pPr>
    <w:rPr>
      <w:rFonts w:ascii="Times New Roman" w:hAnsi="Times New Roman"/>
      <w:b/>
    </w:rPr>
  </w:style>
  <w:style w:type="paragraph" w:styleId="ListNumber">
    <w:name w:val="List Number"/>
    <w:basedOn w:val="List"/>
    <w:rsid w:val="00FC54FA"/>
    <w:pPr>
      <w:numPr>
        <w:numId w:val="15"/>
      </w:numPr>
      <w:tabs>
        <w:tab w:val="clear" w:pos="340"/>
      </w:tabs>
    </w:pPr>
  </w:style>
  <w:style w:type="character" w:customStyle="1" w:styleId="WingdingSymbols">
    <w:name w:val="Wingding Symbols"/>
    <w:rsid w:val="00FC54FA"/>
    <w:rPr>
      <w:rFonts w:ascii="Wingdings" w:hAnsi="Wingdings"/>
    </w:rPr>
  </w:style>
  <w:style w:type="paragraph" w:customStyle="1" w:styleId="TableHeading">
    <w:name w:val="Table Heading"/>
    <w:basedOn w:val="HeadingBase"/>
    <w:rsid w:val="00FC54FA"/>
    <w:pPr>
      <w:keepLines/>
      <w:pBdr>
        <w:bottom w:val="single" w:sz="6" w:space="1" w:color="918585"/>
      </w:pBdr>
      <w:spacing w:before="240"/>
    </w:pPr>
  </w:style>
  <w:style w:type="character" w:customStyle="1" w:styleId="HotSpot">
    <w:name w:val="HotSpot"/>
    <w:rsid w:val="00FC54FA"/>
    <w:rPr>
      <w:color w:val="0033CC"/>
      <w:u w:val="none"/>
    </w:rPr>
  </w:style>
  <w:style w:type="paragraph" w:customStyle="1" w:styleId="BodyTextRight">
    <w:name w:val="Body Text Right"/>
    <w:basedOn w:val="BodyText"/>
    <w:rsid w:val="00FC54FA"/>
    <w:pPr>
      <w:spacing w:before="0" w:after="0"/>
      <w:jc w:val="right"/>
    </w:pPr>
  </w:style>
  <w:style w:type="paragraph" w:styleId="Index3">
    <w:name w:val="index 3"/>
    <w:basedOn w:val="ListNumber2"/>
    <w:next w:val="Normal"/>
    <w:semiHidden/>
    <w:rsid w:val="00FC54FA"/>
    <w:pPr>
      <w:numPr>
        <w:numId w:val="0"/>
      </w:numPr>
      <w:tabs>
        <w:tab w:val="right" w:leader="dot" w:pos="4176"/>
      </w:tabs>
    </w:pPr>
  </w:style>
  <w:style w:type="paragraph" w:styleId="ListNumber2">
    <w:name w:val="List Number 2"/>
    <w:basedOn w:val="List2"/>
    <w:rsid w:val="00FC54FA"/>
    <w:pPr>
      <w:numPr>
        <w:numId w:val="10"/>
      </w:numPr>
      <w:tabs>
        <w:tab w:val="clear" w:pos="1060"/>
      </w:tabs>
    </w:pPr>
  </w:style>
  <w:style w:type="paragraph" w:customStyle="1" w:styleId="MarginNote">
    <w:name w:val="Margin Note"/>
    <w:basedOn w:val="BodyText"/>
    <w:rsid w:val="00FC54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54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54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54FA"/>
    <w:rPr>
      <w:sz w:val="32"/>
    </w:rPr>
  </w:style>
  <w:style w:type="paragraph" w:customStyle="1" w:styleId="HeadingProcedure">
    <w:name w:val="Heading Procedure"/>
    <w:basedOn w:val="HeadingBase"/>
    <w:next w:val="Normal"/>
    <w:rsid w:val="00FC54FA"/>
    <w:pPr>
      <w:tabs>
        <w:tab w:val="left" w:pos="0"/>
      </w:tabs>
      <w:spacing w:before="120" w:after="60"/>
    </w:pPr>
    <w:rPr>
      <w:i/>
      <w:color w:val="918585"/>
      <w:sz w:val="22"/>
    </w:rPr>
  </w:style>
  <w:style w:type="paragraph" w:customStyle="1" w:styleId="TableBodyText">
    <w:name w:val="Table Body Text"/>
    <w:basedOn w:val="BodyText"/>
    <w:rsid w:val="00FC54FA"/>
    <w:pPr>
      <w:spacing w:before="60" w:after="60"/>
    </w:pPr>
  </w:style>
  <w:style w:type="paragraph" w:styleId="ListContinue">
    <w:name w:val="List Continue"/>
    <w:basedOn w:val="List"/>
    <w:rsid w:val="00FC54FA"/>
    <w:pPr>
      <w:ind w:firstLine="0"/>
    </w:pPr>
  </w:style>
  <w:style w:type="paragraph" w:customStyle="1" w:styleId="ListNote">
    <w:name w:val="List Note"/>
    <w:basedOn w:val="List"/>
    <w:rsid w:val="00FC54FA"/>
    <w:pPr>
      <w:pBdr>
        <w:top w:val="single" w:sz="6" w:space="2" w:color="918585"/>
        <w:bottom w:val="single" w:sz="6" w:space="2" w:color="918585"/>
      </w:pBdr>
      <w:tabs>
        <w:tab w:val="left" w:pos="1021"/>
      </w:tabs>
      <w:ind w:firstLine="0"/>
    </w:pPr>
  </w:style>
  <w:style w:type="paragraph" w:customStyle="1" w:styleId="Warning">
    <w:name w:val="Warning"/>
    <w:basedOn w:val="BodyText"/>
    <w:rsid w:val="00FC54FA"/>
    <w:pPr>
      <w:shd w:val="clear" w:color="auto" w:fill="D9D9D9"/>
      <w:tabs>
        <w:tab w:val="left" w:pos="992"/>
      </w:tabs>
      <w:ind w:left="119" w:right="119"/>
    </w:pPr>
    <w:rPr>
      <w:sz w:val="20"/>
    </w:rPr>
  </w:style>
  <w:style w:type="paragraph" w:customStyle="1" w:styleId="MarginIcons">
    <w:name w:val="Margin Icons"/>
    <w:basedOn w:val="BodyText"/>
    <w:rsid w:val="00FC54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54FA"/>
    <w:rPr>
      <w:rFonts w:ascii="Courier New" w:hAnsi="Courier New"/>
    </w:rPr>
  </w:style>
  <w:style w:type="paragraph" w:customStyle="1" w:styleId="NoteBullet">
    <w:name w:val="Note Bullet"/>
    <w:basedOn w:val="Note"/>
    <w:rsid w:val="00FC54FA"/>
    <w:pPr>
      <w:tabs>
        <w:tab w:val="clear" w:pos="680"/>
      </w:tabs>
      <w:spacing w:before="60" w:after="60"/>
    </w:pPr>
  </w:style>
  <w:style w:type="paragraph" w:customStyle="1" w:styleId="SubHeading2">
    <w:name w:val="SubHeading2"/>
    <w:basedOn w:val="HeadingBase"/>
    <w:rsid w:val="00FC54FA"/>
    <w:pPr>
      <w:spacing w:before="240" w:after="60"/>
    </w:pPr>
    <w:rPr>
      <w:sz w:val="20"/>
    </w:rPr>
  </w:style>
  <w:style w:type="paragraph" w:customStyle="1" w:styleId="SubHeading1">
    <w:name w:val="SubHeading1"/>
    <w:basedOn w:val="HeadingBase"/>
    <w:rsid w:val="00FC54FA"/>
    <w:pPr>
      <w:spacing w:before="240" w:after="60"/>
    </w:pPr>
    <w:rPr>
      <w:color w:val="918585"/>
      <w:sz w:val="22"/>
    </w:rPr>
  </w:style>
  <w:style w:type="paragraph" w:customStyle="1" w:styleId="SideHeading">
    <w:name w:val="Side Heading"/>
    <w:basedOn w:val="HeadingBase"/>
    <w:rsid w:val="00FC54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54FA"/>
    <w:pPr>
      <w:tabs>
        <w:tab w:val="num" w:pos="360"/>
      </w:tabs>
    </w:pPr>
  </w:style>
  <w:style w:type="paragraph" w:styleId="PlainText">
    <w:name w:val="Plain Text"/>
    <w:basedOn w:val="Normal"/>
    <w:link w:val="PlainTextChar"/>
    <w:rsid w:val="00FC54FA"/>
    <w:rPr>
      <w:sz w:val="20"/>
    </w:rPr>
  </w:style>
  <w:style w:type="character" w:customStyle="1" w:styleId="PlainTextChar">
    <w:name w:val="Plain Text Char"/>
    <w:basedOn w:val="DefaultParagraphFont"/>
    <w:link w:val="PlainText"/>
    <w:rsid w:val="00FC54FA"/>
    <w:rPr>
      <w:rFonts w:ascii="Courier New" w:eastAsia="Times New Roman" w:hAnsi="Courier New" w:cs="Times New Roman"/>
      <w:sz w:val="20"/>
      <w:szCs w:val="20"/>
      <w:lang w:eastAsia="en-US"/>
    </w:rPr>
  </w:style>
  <w:style w:type="character" w:customStyle="1" w:styleId="MenuOption">
    <w:name w:val="Menu Option"/>
    <w:basedOn w:val="DefaultParagraphFont"/>
    <w:rsid w:val="00FC54FA"/>
    <w:rPr>
      <w:b/>
      <w:smallCaps/>
    </w:rPr>
  </w:style>
  <w:style w:type="paragraph" w:customStyle="1" w:styleId="TableListNumber">
    <w:name w:val="Table List Number"/>
    <w:basedOn w:val="ListNumber"/>
    <w:rsid w:val="00FC54FA"/>
    <w:pPr>
      <w:numPr>
        <w:numId w:val="0"/>
      </w:numPr>
    </w:pPr>
  </w:style>
  <w:style w:type="paragraph" w:styleId="TOC4">
    <w:name w:val="toc 4"/>
    <w:basedOn w:val="TOCBase"/>
    <w:next w:val="Normal"/>
    <w:semiHidden/>
    <w:rsid w:val="00FC54FA"/>
    <w:pPr>
      <w:tabs>
        <w:tab w:val="right" w:leader="dot" w:pos="9071"/>
      </w:tabs>
      <w:ind w:left="1701"/>
    </w:pPr>
  </w:style>
  <w:style w:type="paragraph" w:customStyle="1" w:styleId="ListAlpha">
    <w:name w:val="List Alpha"/>
    <w:basedOn w:val="List"/>
    <w:rsid w:val="00FC54FA"/>
    <w:pPr>
      <w:numPr>
        <w:numId w:val="9"/>
      </w:numPr>
    </w:pPr>
  </w:style>
  <w:style w:type="paragraph" w:customStyle="1" w:styleId="ListAlpha2">
    <w:name w:val="List Alpha 2"/>
    <w:basedOn w:val="List2"/>
    <w:rsid w:val="00FC54FA"/>
    <w:pPr>
      <w:numPr>
        <w:numId w:val="8"/>
      </w:numPr>
    </w:pPr>
  </w:style>
  <w:style w:type="paragraph" w:styleId="List2">
    <w:name w:val="List 2"/>
    <w:basedOn w:val="BodyText"/>
    <w:rsid w:val="00FC54FA"/>
    <w:pPr>
      <w:tabs>
        <w:tab w:val="left" w:pos="680"/>
      </w:tabs>
      <w:spacing w:before="60" w:after="60"/>
      <w:ind w:left="680" w:hanging="340"/>
    </w:pPr>
  </w:style>
  <w:style w:type="paragraph" w:styleId="List3">
    <w:name w:val="List 3"/>
    <w:basedOn w:val="BodyText"/>
    <w:rsid w:val="00FC54FA"/>
    <w:pPr>
      <w:tabs>
        <w:tab w:val="left" w:pos="1021"/>
      </w:tabs>
      <w:spacing w:before="60" w:after="60"/>
      <w:ind w:left="1020" w:hanging="340"/>
    </w:pPr>
  </w:style>
  <w:style w:type="paragraph" w:styleId="List4">
    <w:name w:val="List 4"/>
    <w:basedOn w:val="BodyText"/>
    <w:rsid w:val="00FC54FA"/>
    <w:pPr>
      <w:tabs>
        <w:tab w:val="left" w:pos="1361"/>
      </w:tabs>
      <w:spacing w:before="60" w:after="60"/>
      <w:ind w:left="1361" w:hanging="340"/>
    </w:pPr>
  </w:style>
  <w:style w:type="paragraph" w:styleId="List5">
    <w:name w:val="List 5"/>
    <w:basedOn w:val="BodyText"/>
    <w:rsid w:val="00FC54FA"/>
    <w:pPr>
      <w:tabs>
        <w:tab w:val="left" w:pos="1701"/>
      </w:tabs>
      <w:spacing w:before="60" w:after="60"/>
      <w:ind w:left="1701" w:hanging="340"/>
    </w:pPr>
  </w:style>
  <w:style w:type="paragraph" w:styleId="ListBullet3">
    <w:name w:val="List Bullet 3"/>
    <w:basedOn w:val="List3"/>
    <w:rsid w:val="00FC54FA"/>
    <w:pPr>
      <w:numPr>
        <w:numId w:val="14"/>
      </w:numPr>
      <w:tabs>
        <w:tab w:val="clear" w:pos="1021"/>
      </w:tabs>
      <w:ind w:left="1037" w:hanging="357"/>
    </w:pPr>
  </w:style>
  <w:style w:type="paragraph" w:styleId="ListBullet4">
    <w:name w:val="List Bullet 4"/>
    <w:basedOn w:val="List4"/>
    <w:rsid w:val="00FC54FA"/>
    <w:pPr>
      <w:numPr>
        <w:numId w:val="3"/>
      </w:numPr>
      <w:tabs>
        <w:tab w:val="clear" w:pos="1361"/>
      </w:tabs>
    </w:pPr>
  </w:style>
  <w:style w:type="paragraph" w:styleId="ListBullet5">
    <w:name w:val="List Bullet 5"/>
    <w:basedOn w:val="List5"/>
    <w:rsid w:val="00FC54FA"/>
    <w:pPr>
      <w:numPr>
        <w:numId w:val="4"/>
      </w:numPr>
    </w:pPr>
  </w:style>
  <w:style w:type="paragraph" w:styleId="ListContinue2">
    <w:name w:val="List Continue 2"/>
    <w:basedOn w:val="List2"/>
    <w:rsid w:val="00FC54FA"/>
    <w:pPr>
      <w:ind w:firstLine="0"/>
    </w:pPr>
  </w:style>
  <w:style w:type="paragraph" w:styleId="ListContinue3">
    <w:name w:val="List Continue 3"/>
    <w:basedOn w:val="List3"/>
    <w:rsid w:val="00FC54FA"/>
    <w:pPr>
      <w:ind w:left="1021" w:firstLine="0"/>
    </w:pPr>
  </w:style>
  <w:style w:type="paragraph" w:styleId="ListContinue4">
    <w:name w:val="List Continue 4"/>
    <w:basedOn w:val="List4"/>
    <w:rsid w:val="00FC54FA"/>
    <w:pPr>
      <w:ind w:firstLine="0"/>
    </w:pPr>
  </w:style>
  <w:style w:type="paragraph" w:styleId="ListContinue5">
    <w:name w:val="List Continue 5"/>
    <w:basedOn w:val="List5"/>
    <w:rsid w:val="00FC54FA"/>
    <w:pPr>
      <w:ind w:firstLine="0"/>
    </w:pPr>
  </w:style>
  <w:style w:type="paragraph" w:styleId="ListNumber3">
    <w:name w:val="List Number 3"/>
    <w:basedOn w:val="List3"/>
    <w:rsid w:val="00FC54FA"/>
    <w:pPr>
      <w:numPr>
        <w:numId w:val="5"/>
      </w:numPr>
    </w:pPr>
  </w:style>
  <w:style w:type="paragraph" w:styleId="ListNumber4">
    <w:name w:val="List Number 4"/>
    <w:basedOn w:val="List4"/>
    <w:rsid w:val="00FC54FA"/>
    <w:pPr>
      <w:numPr>
        <w:numId w:val="6"/>
      </w:numPr>
    </w:pPr>
  </w:style>
  <w:style w:type="paragraph" w:styleId="ListNumber5">
    <w:name w:val="List Number 5"/>
    <w:basedOn w:val="List5"/>
    <w:rsid w:val="00FC54FA"/>
    <w:pPr>
      <w:numPr>
        <w:numId w:val="7"/>
      </w:numPr>
    </w:pPr>
  </w:style>
  <w:style w:type="paragraph" w:styleId="BlockText">
    <w:name w:val="Block Text"/>
    <w:basedOn w:val="Normal"/>
    <w:rsid w:val="00FC54FA"/>
    <w:pPr>
      <w:spacing w:after="120"/>
      <w:ind w:left="1440" w:right="1440"/>
    </w:pPr>
  </w:style>
  <w:style w:type="character" w:customStyle="1" w:styleId="Subscript">
    <w:name w:val="Subscript"/>
    <w:basedOn w:val="DefaultParagraphFont"/>
    <w:rsid w:val="00FC54FA"/>
    <w:rPr>
      <w:sz w:val="16"/>
      <w:vertAlign w:val="subscript"/>
    </w:rPr>
  </w:style>
  <w:style w:type="character" w:customStyle="1" w:styleId="Superscript">
    <w:name w:val="Superscript"/>
    <w:basedOn w:val="DefaultParagraphFont"/>
    <w:rsid w:val="00FC54FA"/>
    <w:rPr>
      <w:sz w:val="16"/>
      <w:vertAlign w:val="superscript"/>
    </w:rPr>
  </w:style>
  <w:style w:type="character" w:customStyle="1" w:styleId="Symbols">
    <w:name w:val="Symbols"/>
    <w:basedOn w:val="DefaultParagraphFont"/>
    <w:rsid w:val="00FC54FA"/>
    <w:rPr>
      <w:rFonts w:ascii="Symbol" w:hAnsi="Symbol"/>
    </w:rPr>
  </w:style>
  <w:style w:type="character" w:customStyle="1" w:styleId="MenuOptions">
    <w:name w:val="Menu Options"/>
    <w:basedOn w:val="DefaultParagraphFont"/>
    <w:rsid w:val="00FC54FA"/>
    <w:rPr>
      <w:rFonts w:ascii="Arial Narrow" w:hAnsi="Arial Narrow"/>
      <w:smallCaps/>
    </w:rPr>
  </w:style>
  <w:style w:type="character" w:customStyle="1" w:styleId="Buttons">
    <w:name w:val="Buttons"/>
    <w:basedOn w:val="DefaultParagraphFont"/>
    <w:rsid w:val="00FC54FA"/>
    <w:rPr>
      <w:b/>
    </w:rPr>
  </w:style>
  <w:style w:type="character" w:customStyle="1" w:styleId="Underlined">
    <w:name w:val="Underlined"/>
    <w:basedOn w:val="DefaultParagraphFont"/>
    <w:rsid w:val="00FC54FA"/>
    <w:rPr>
      <w:u w:val="single"/>
    </w:rPr>
  </w:style>
  <w:style w:type="paragraph" w:customStyle="1" w:styleId="TableBodyTextRight">
    <w:name w:val="Table Body Text Right"/>
    <w:basedOn w:val="TableBodyText"/>
    <w:rsid w:val="00FC54FA"/>
    <w:pPr>
      <w:widowControl w:val="0"/>
      <w:autoSpaceDE w:val="0"/>
      <w:autoSpaceDN w:val="0"/>
      <w:adjustRightInd w:val="0"/>
      <w:jc w:val="right"/>
    </w:pPr>
    <w:rPr>
      <w:rFonts w:cs="Arial"/>
      <w:szCs w:val="18"/>
    </w:rPr>
  </w:style>
  <w:style w:type="paragraph" w:customStyle="1" w:styleId="CopyrightText">
    <w:name w:val="Copyright Text"/>
    <w:basedOn w:val="BodyText"/>
    <w:rsid w:val="00FC54FA"/>
    <w:rPr>
      <w:sz w:val="18"/>
    </w:rPr>
  </w:style>
  <w:style w:type="paragraph" w:customStyle="1" w:styleId="BodySmallRight">
    <w:name w:val="Body Small Right"/>
    <w:basedOn w:val="BodyTextRight"/>
    <w:rsid w:val="00FC54FA"/>
    <w:rPr>
      <w:sz w:val="18"/>
      <w:szCs w:val="18"/>
    </w:rPr>
  </w:style>
  <w:style w:type="paragraph" w:customStyle="1" w:styleId="MarginEdition">
    <w:name w:val="Margin Edition"/>
    <w:basedOn w:val="MarginNote"/>
    <w:rsid w:val="00FC54FA"/>
    <w:pPr>
      <w:spacing w:before="0" w:after="0"/>
    </w:pPr>
    <w:rPr>
      <w:rFonts w:ascii="Times New Roman" w:hAnsi="Times New Roman"/>
      <w:color w:val="999999"/>
    </w:rPr>
  </w:style>
  <w:style w:type="paragraph" w:customStyle="1" w:styleId="Spacer">
    <w:name w:val="Spacer"/>
    <w:basedOn w:val="Normal"/>
    <w:rsid w:val="00FC54FA"/>
    <w:rPr>
      <w:sz w:val="2"/>
      <w:szCs w:val="2"/>
    </w:rPr>
  </w:style>
  <w:style w:type="character" w:customStyle="1" w:styleId="Small">
    <w:name w:val="Small"/>
    <w:basedOn w:val="DefaultParagraphFont"/>
    <w:rsid w:val="00FC54FA"/>
    <w:rPr>
      <w:sz w:val="16"/>
    </w:rPr>
  </w:style>
  <w:style w:type="paragraph" w:customStyle="1" w:styleId="WideTable">
    <w:name w:val="Wide Table"/>
    <w:basedOn w:val="Normal"/>
    <w:rsid w:val="00FC54FA"/>
    <w:pPr>
      <w:ind w:left="-1418"/>
    </w:pPr>
    <w:rPr>
      <w:sz w:val="2"/>
      <w:szCs w:val="2"/>
    </w:rPr>
  </w:style>
  <w:style w:type="character" w:styleId="PageNumber">
    <w:name w:val="page number"/>
    <w:basedOn w:val="DefaultParagraphFont"/>
    <w:rsid w:val="00FC54FA"/>
  </w:style>
  <w:style w:type="paragraph" w:styleId="Quote">
    <w:name w:val="Quote"/>
    <w:basedOn w:val="Heading1"/>
    <w:link w:val="QuoteChar"/>
    <w:qFormat/>
    <w:rsid w:val="00FC54FA"/>
    <w:rPr>
      <w:b w:val="0"/>
      <w:sz w:val="72"/>
      <w:szCs w:val="72"/>
      <w:lang w:val="en-NZ"/>
    </w:rPr>
  </w:style>
  <w:style w:type="character" w:customStyle="1" w:styleId="QuoteChar">
    <w:name w:val="Quote Char"/>
    <w:basedOn w:val="DefaultParagraphFont"/>
    <w:link w:val="Quote"/>
    <w:rsid w:val="00FC54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54FA"/>
    <w:pPr>
      <w:pageBreakBefore/>
    </w:pPr>
  </w:style>
  <w:style w:type="paragraph" w:customStyle="1" w:styleId="Border">
    <w:name w:val="Border"/>
    <w:basedOn w:val="Normal"/>
    <w:qFormat/>
    <w:rsid w:val="00FC54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54FA"/>
    <w:rPr>
      <w:b/>
      <w:bCs/>
      <w:i/>
      <w:iCs/>
      <w:color w:val="auto"/>
    </w:rPr>
  </w:style>
  <w:style w:type="paragraph" w:styleId="IntenseQuote">
    <w:name w:val="Intense Quote"/>
    <w:basedOn w:val="Normal"/>
    <w:next w:val="Normal"/>
    <w:link w:val="IntenseQuoteChar"/>
    <w:uiPriority w:val="30"/>
    <w:qFormat/>
    <w:rsid w:val="00FC54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54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54FA"/>
    <w:rPr>
      <w:smallCaps/>
      <w:color w:val="auto"/>
      <w:u w:val="single"/>
    </w:rPr>
  </w:style>
  <w:style w:type="character" w:styleId="IntenseReference">
    <w:name w:val="Intense Reference"/>
    <w:basedOn w:val="DefaultParagraphFont"/>
    <w:uiPriority w:val="32"/>
    <w:qFormat/>
    <w:rsid w:val="00FC54FA"/>
    <w:rPr>
      <w:b/>
      <w:bCs/>
      <w:smallCaps/>
      <w:color w:val="auto"/>
      <w:spacing w:val="5"/>
      <w:u w:val="single"/>
    </w:rPr>
  </w:style>
  <w:style w:type="paragraph" w:customStyle="1" w:styleId="2ColumnHeading">
    <w:name w:val="2Column Heading"/>
    <w:basedOn w:val="BodyText"/>
    <w:qFormat/>
    <w:rsid w:val="00FC54FA"/>
    <w:pPr>
      <w:spacing w:after="60"/>
      <w:ind w:left="-2268"/>
    </w:pPr>
    <w:rPr>
      <w:b/>
    </w:rPr>
  </w:style>
  <w:style w:type="paragraph" w:customStyle="1" w:styleId="Heading1TOC">
    <w:name w:val="Heading1 TOC"/>
    <w:basedOn w:val="Normal"/>
    <w:qFormat/>
    <w:rsid w:val="00FC54FA"/>
    <w:pPr>
      <w:spacing w:before="240" w:after="120"/>
    </w:pPr>
    <w:rPr>
      <w:rFonts w:ascii="Times New Roman" w:hAnsi="Times New Roman"/>
      <w:b/>
      <w:sz w:val="32"/>
    </w:rPr>
  </w:style>
  <w:style w:type="paragraph" w:customStyle="1" w:styleId="Heading2TOC">
    <w:name w:val="Heading2 TOC"/>
    <w:basedOn w:val="Normal"/>
    <w:qFormat/>
    <w:rsid w:val="00FC54FA"/>
    <w:pPr>
      <w:spacing w:before="240" w:after="60"/>
    </w:pPr>
    <w:rPr>
      <w:rFonts w:ascii="Times New Roman" w:hAnsi="Times New Roman"/>
      <w:b/>
      <w:sz w:val="28"/>
    </w:rPr>
  </w:style>
  <w:style w:type="character" w:customStyle="1" w:styleId="Underline">
    <w:name w:val="Underline"/>
    <w:basedOn w:val="DefaultParagraphFont"/>
    <w:qFormat/>
    <w:rsid w:val="00FC54FA"/>
    <w:rPr>
      <w:u w:val="single"/>
    </w:rPr>
  </w:style>
  <w:style w:type="character" w:customStyle="1" w:styleId="BoldandItalics">
    <w:name w:val="Bold and Italics"/>
    <w:qFormat/>
    <w:rsid w:val="00FC54FA"/>
    <w:rPr>
      <w:b/>
      <w:i/>
      <w:u w:val="none"/>
    </w:rPr>
  </w:style>
  <w:style w:type="paragraph" w:styleId="BalloonText">
    <w:name w:val="Balloon Text"/>
    <w:basedOn w:val="Normal"/>
    <w:link w:val="BalloonTextChar"/>
    <w:rsid w:val="00FC54FA"/>
    <w:rPr>
      <w:rFonts w:ascii="Tahoma" w:hAnsi="Tahoma" w:cs="Tahoma"/>
      <w:sz w:val="16"/>
      <w:szCs w:val="16"/>
    </w:rPr>
  </w:style>
  <w:style w:type="character" w:customStyle="1" w:styleId="BalloonTextChar">
    <w:name w:val="Balloon Text Char"/>
    <w:basedOn w:val="DefaultParagraphFont"/>
    <w:link w:val="BalloonText"/>
    <w:rsid w:val="00FC54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54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54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54FA"/>
    <w:rPr>
      <w:b/>
      <w:color w:val="660033"/>
      <w:spacing w:val="0"/>
    </w:rPr>
  </w:style>
  <w:style w:type="paragraph" w:customStyle="1" w:styleId="Nameditemlist">
    <w:name w:val="Named item list"/>
    <w:basedOn w:val="BodyText"/>
    <w:qFormat/>
    <w:rsid w:val="00FC54FA"/>
    <w:pPr>
      <w:tabs>
        <w:tab w:val="left" w:pos="2835"/>
      </w:tabs>
      <w:ind w:left="2835" w:hanging="2835"/>
    </w:pPr>
  </w:style>
  <w:style w:type="paragraph" w:customStyle="1" w:styleId="BodyTextnopadding">
    <w:name w:val="Body Text no padding"/>
    <w:basedOn w:val="BodyText"/>
    <w:qFormat/>
    <w:rsid w:val="00FC54FA"/>
    <w:pPr>
      <w:spacing w:before="0" w:after="0"/>
    </w:pPr>
  </w:style>
  <w:style w:type="paragraph" w:customStyle="1" w:styleId="BodyTextBold">
    <w:name w:val="Body Text Bold"/>
    <w:basedOn w:val="BodyText"/>
    <w:qFormat/>
    <w:rsid w:val="00FC54FA"/>
    <w:rPr>
      <w:b/>
    </w:rPr>
  </w:style>
  <w:style w:type="character" w:styleId="Hyperlink">
    <w:name w:val="Hyperlink"/>
    <w:basedOn w:val="DefaultParagraphFont"/>
    <w:uiPriority w:val="99"/>
    <w:unhideWhenUsed/>
    <w:rsid w:val="00461B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1081</Words>
  <Characters>6846</Characters>
  <Application>Microsoft Office Word</Application>
  <DocSecurity>0</DocSecurity>
  <Lines>236</Lines>
  <Paragraphs>146</Paragraphs>
  <ScaleCrop>false</ScaleCrop>
  <Company>Author-it Software Corporation Ltd.</Company>
  <LinksUpToDate>false</LinksUpToDate>
  <CharactersWithSpaces>7781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MARO005 Contribute to monitoring and controlling a safe engine watch</dc:title>
  <dc:subject>Approved</dc:subject>
  <dc:creator>Industry Skills Australia</dc:creator>
  <cp:keywords>Release: 1</cp:keywords>
  <dc:description>Review Date: 12 April 2008</dc:description>
  <cp:lastModifiedBy>HSD_TPCMSd.prod</cp:lastModifiedBy>
  <cp:revision>3</cp:revision>
  <dcterms:created xsi:type="dcterms:W3CDTF">2025-03-01T16:44:00Z</dcterms:created>
  <dcterms:modified xsi:type="dcterms:W3CDTF">2025-03-01T16:44:00Z</dcterms:modified>
</cp:coreProperties>
</file>