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4913" w:rsidP="000349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MARN013 Manage seaworthiness of a vessel up to 80 metres</w:t>
      </w:r>
      <w:r>
        <w:fldChar w:fldCharType="end"/>
      </w:r>
    </w:p>
    <w:p w:rsidR="00034913" w:rsidP="00034913">
      <w:pPr>
        <w:pStyle w:val="Version"/>
        <w:sectPr w:rsidSect="006D4A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4A2B" w:rsidP="006D4A2B">
      <w:pPr>
        <w:pStyle w:val="SuperHeading"/>
      </w:pPr>
      <w:r w:rsidRPr="006D4A2B">
        <w:t>MARN013 Manage seaworthiness of a vessel up to 80 metres</w:t>
      </w:r>
    </w:p>
    <w:p w:rsidR="00000000" w:rsidRPr="006D4A2B" w:rsidP="006D4A2B">
      <w:pPr>
        <w:pStyle w:val="Heading1"/>
      </w:pPr>
      <w:bookmarkStart w:id="1" w:name="O_1088318"/>
      <w:bookmarkEnd w:id="1"/>
      <w:r w:rsidRPr="006D4A2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4A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A2B" w:rsidP="006D4A2B">
            <w:pPr>
              <w:pStyle w:val="BodyText"/>
            </w:pPr>
            <w:r w:rsidRPr="006D4A2B">
              <w:t>Release 1. This is the first release of this unit of competency in the MAR Maritime Training Package.</w:t>
            </w:r>
          </w:p>
        </w:tc>
      </w:tr>
    </w:tbl>
    <w:p w:rsidR="00000000" w:rsidRPr="006D4A2B" w:rsidP="006D4A2B">
      <w:pPr>
        <w:pStyle w:val="NoPaddingFontSize1"/>
      </w:pPr>
    </w:p>
    <w:p w:rsidR="00000000" w:rsidRPr="006D4A2B" w:rsidP="006D4A2B">
      <w:pPr>
        <w:pStyle w:val="AllowPageBreak"/>
      </w:pPr>
    </w:p>
    <w:p w:rsidR="00000000" w:rsidRPr="006D4A2B" w:rsidP="006D4A2B">
      <w:pPr>
        <w:pStyle w:val="Heading1"/>
      </w:pPr>
      <w:bookmarkStart w:id="2" w:name="O_1088319"/>
      <w:bookmarkEnd w:id="2"/>
      <w:r w:rsidRPr="006D4A2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4A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A2B" w:rsidP="006D4A2B">
            <w:pPr>
              <w:pStyle w:val="BodyText"/>
            </w:pPr>
            <w:r w:rsidRPr="006D4A2B">
              <w:t>This unit involves the skills and knowledge required to manage vessel in a seawort</w:t>
            </w:r>
            <w:r w:rsidRPr="006D4A2B">
              <w:t>hy condition for all stages of a voyage or operation being undertaken.</w:t>
            </w:r>
          </w:p>
          <w:p w:rsidR="00000000" w:rsidRPr="006D4A2B" w:rsidP="006D4A2B">
            <w:pPr>
              <w:pStyle w:val="BodyText"/>
            </w:pPr>
            <w:r w:rsidRPr="006D4A2B">
              <w:t>It includes supervising weather tight and watertight integrity of vessel, taking action to meet changed sea and weather conditions and maintaining records.</w:t>
            </w:r>
          </w:p>
          <w:p w:rsidR="00000000" w:rsidRPr="006D4A2B" w:rsidP="006D4A2B">
            <w:pPr>
              <w:pStyle w:val="BodyText"/>
            </w:pPr>
            <w:r w:rsidRPr="006D4A2B">
              <w:t>This unit applies to people w</w:t>
            </w:r>
            <w:r w:rsidRPr="006D4A2B">
              <w:t xml:space="preserve">orking in the maritime industry in the capacity of: </w:t>
            </w:r>
          </w:p>
          <w:p w:rsidR="00000000" w:rsidRPr="006D4A2B" w:rsidP="006D4A2B">
            <w:pPr>
              <w:pStyle w:val="ListBullet"/>
            </w:pPr>
            <w:r w:rsidRPr="006D4A2B">
              <w:t xml:space="preserve">Master on commercial vessels less than 35 metres in length within the exclusive economic zone (EEZ) </w:t>
            </w:r>
          </w:p>
          <w:p w:rsidR="00000000" w:rsidRPr="006D4A2B" w:rsidP="006D4A2B">
            <w:pPr>
              <w:pStyle w:val="ListBullet"/>
            </w:pPr>
            <w:r w:rsidRPr="006D4A2B">
              <w:t xml:space="preserve">Master on vessels less than 80 metres in length in inshore waters </w:t>
            </w:r>
          </w:p>
          <w:p w:rsidR="00000000" w:rsidRPr="006D4A2B" w:rsidP="006D4A2B">
            <w:pPr>
              <w:pStyle w:val="ListBullet"/>
            </w:pPr>
            <w:r w:rsidRPr="006D4A2B">
              <w:t xml:space="preserve">Chief Mate or Deck Watchkeeper on </w:t>
            </w:r>
            <w:r w:rsidRPr="006D4A2B">
              <w:t xml:space="preserve">vessels less than 80 metres in length within the EEZ. </w:t>
            </w:r>
          </w:p>
          <w:p w:rsidR="00000000" w:rsidRPr="006D4A2B" w:rsidP="006D4A2B">
            <w:pPr>
              <w:pStyle w:val="BodyText"/>
            </w:pPr>
          </w:p>
          <w:p w:rsidR="00000000" w:rsidRPr="006D4A2B" w:rsidP="006D4A2B">
            <w:pPr>
              <w:pStyle w:val="BodyText"/>
            </w:pPr>
            <w:r w:rsidRPr="006D4A2B">
              <w:rPr>
                <w:rStyle w:val="SpecialBold"/>
              </w:rPr>
              <w:t xml:space="preserve">Licensing/Regulatory Information </w:t>
            </w:r>
          </w:p>
          <w:p w:rsidR="00000000" w:rsidRPr="006D4A2B" w:rsidP="006D4A2B">
            <w:pPr>
              <w:pStyle w:val="BodyText"/>
            </w:pPr>
            <w:r w:rsidRPr="006D4A2B">
              <w:t xml:space="preserve">Legislative and regulatory requirements are applicable to this unit. </w:t>
            </w:r>
          </w:p>
          <w:p w:rsidR="00000000" w:rsidRPr="006D4A2B" w:rsidP="006D4A2B">
            <w:pPr>
              <w:pStyle w:val="BodyText"/>
            </w:pPr>
            <w:r w:rsidRPr="006D4A2B">
              <w:t>This unit is one of the requirements to obtain Australian Maritime Safety Authority (AMSA) certification as a Master less than 35 metres Near Coastal and a Mate less than 80 metres Near Coastal, as defined in the National Standard for Commercial Vessels (N</w:t>
            </w:r>
            <w:r w:rsidRPr="006D4A2B">
              <w:t>SCV) Part D.</w:t>
            </w:r>
          </w:p>
        </w:tc>
      </w:tr>
    </w:tbl>
    <w:p w:rsidR="00000000" w:rsidRPr="006D4A2B" w:rsidP="006D4A2B">
      <w:pPr>
        <w:pStyle w:val="NoPaddingFontSize1"/>
      </w:pPr>
    </w:p>
    <w:p w:rsidR="00000000" w:rsidRPr="006D4A2B" w:rsidP="006D4A2B">
      <w:pPr>
        <w:pStyle w:val="AllowPageBreak"/>
      </w:pPr>
    </w:p>
    <w:p w:rsidR="00000000" w:rsidRPr="006D4A2B" w:rsidP="006D4A2B">
      <w:pPr>
        <w:pStyle w:val="Heading1"/>
      </w:pPr>
      <w:bookmarkStart w:id="3" w:name="O_1088320"/>
      <w:bookmarkEnd w:id="3"/>
      <w:r w:rsidRPr="006D4A2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4A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A2B" w:rsidP="006D4A2B">
            <w:pPr>
              <w:pStyle w:val="BodyText"/>
            </w:pPr>
            <w:r w:rsidRPr="006D4A2B">
              <w:t>Not applicable.</w:t>
            </w:r>
          </w:p>
        </w:tc>
      </w:tr>
    </w:tbl>
    <w:p w:rsidR="00000000" w:rsidRPr="006D4A2B" w:rsidP="006D4A2B">
      <w:pPr>
        <w:pStyle w:val="NoPaddingFontSize1"/>
      </w:pPr>
    </w:p>
    <w:p w:rsidR="00000000" w:rsidRPr="006D4A2B" w:rsidP="006D4A2B">
      <w:pPr>
        <w:pStyle w:val="AllowPageBreak"/>
      </w:pPr>
    </w:p>
    <w:p w:rsidR="00000000" w:rsidRPr="006D4A2B" w:rsidP="006D4A2B">
      <w:pPr>
        <w:pStyle w:val="Heading1"/>
      </w:pPr>
      <w:bookmarkStart w:id="4" w:name="O_1088321"/>
      <w:bookmarkEnd w:id="4"/>
      <w:r w:rsidRPr="006D4A2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4A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A2B" w:rsidP="006D4A2B">
            <w:pPr>
              <w:pStyle w:val="BodyText"/>
            </w:pPr>
            <w:r w:rsidRPr="006D4A2B">
              <w:t>N – Seamanship</w:t>
            </w:r>
          </w:p>
        </w:tc>
      </w:tr>
    </w:tbl>
    <w:p w:rsidR="00000000" w:rsidRPr="006D4A2B" w:rsidP="006D4A2B">
      <w:pPr>
        <w:pStyle w:val="NoPaddingFontSize1"/>
      </w:pPr>
    </w:p>
    <w:p w:rsidR="00000000" w:rsidRPr="006D4A2B" w:rsidP="006D4A2B">
      <w:pPr>
        <w:pStyle w:val="AllowPageBreak"/>
      </w:pPr>
    </w:p>
    <w:p w:rsidR="00000000" w:rsidRPr="006D4A2B" w:rsidP="006D4A2B">
      <w:pPr>
        <w:pStyle w:val="Heading1"/>
      </w:pPr>
      <w:bookmarkStart w:id="5" w:name="O_1088322"/>
      <w:bookmarkEnd w:id="5"/>
      <w:r w:rsidRPr="006D4A2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4A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A2B" w:rsidP="006D4A2B">
            <w:pPr>
              <w:pStyle w:val="BodyText"/>
            </w:pPr>
            <w:r w:rsidRPr="006D4A2B">
              <w:t>Not applicable.</w:t>
            </w:r>
          </w:p>
        </w:tc>
      </w:tr>
    </w:tbl>
    <w:p w:rsidR="00000000" w:rsidRPr="006D4A2B" w:rsidP="006D4A2B">
      <w:pPr>
        <w:pStyle w:val="NoPaddingFontSize1"/>
      </w:pPr>
    </w:p>
    <w:p w:rsidR="00000000" w:rsidRPr="006D4A2B" w:rsidP="006D4A2B">
      <w:pPr>
        <w:pStyle w:val="AllowPageBreak"/>
      </w:pPr>
    </w:p>
    <w:p w:rsidR="00000000" w:rsidRPr="006D4A2B" w:rsidP="006D4A2B">
      <w:pPr>
        <w:pStyle w:val="Heading1"/>
      </w:pPr>
      <w:bookmarkStart w:id="6" w:name="O_1088323"/>
      <w:bookmarkEnd w:id="6"/>
      <w:r w:rsidRPr="006D4A2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D4A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A2B" w:rsidP="006D4A2B">
            <w:pPr>
              <w:pStyle w:val="BodyText"/>
            </w:pPr>
            <w:r w:rsidRPr="006D4A2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A2B">
            <w:pPr>
              <w:pStyle w:val="BodyText"/>
              <w:rPr>
                <w:lang w:val="en-NZ"/>
              </w:rPr>
            </w:pPr>
            <w:r w:rsidRPr="006D4A2B">
              <w:rPr>
                <w:rStyle w:val="SpecialBold"/>
              </w:rPr>
              <w:t>PERFORMANCE CRITERIA</w:t>
            </w:r>
          </w:p>
        </w:tc>
      </w:tr>
      <w:tr w:rsidTr="006D4A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A2B">
            <w:pPr>
              <w:pStyle w:val="BodyText"/>
              <w:rPr>
                <w:lang w:val="en-NZ"/>
              </w:rPr>
            </w:pPr>
            <w:r w:rsidRPr="006D4A2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A2B">
            <w:pPr>
              <w:pStyle w:val="BodyText"/>
              <w:rPr>
                <w:lang w:val="en-NZ"/>
              </w:rPr>
            </w:pPr>
            <w:r w:rsidRPr="006D4A2B">
              <w:t>Performance criteria describe the performance needed to demonstrate achievement of the element.</w:t>
            </w:r>
          </w:p>
        </w:tc>
      </w:tr>
      <w:tr w:rsidTr="006D4A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A2B" w:rsidP="006D4A2B">
            <w:pPr>
              <w:pStyle w:val="BodyText"/>
            </w:pPr>
            <w:r w:rsidRPr="006D4A2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A2B" w:rsidP="006D4A2B">
            <w:pPr>
              <w:pStyle w:val="BodyText"/>
            </w:pPr>
            <w:r w:rsidRPr="006D4A2B">
              <w:rPr>
                <w:rStyle w:val="SpecialBold"/>
              </w:rPr>
              <w:t>Supervise weather tight and watertight integrity of vessel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A2B">
            <w:pPr>
              <w:pStyle w:val="BodyText"/>
              <w:rPr>
                <w:lang w:val="en-NZ"/>
              </w:rPr>
            </w:pPr>
            <w:r w:rsidRPr="006D4A2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A2B">
            <w:pPr>
              <w:pStyle w:val="BodyText"/>
              <w:rPr>
                <w:lang w:val="en-NZ"/>
              </w:rPr>
            </w:pPr>
            <w:r w:rsidRPr="006D4A2B">
              <w:t xml:space="preserve">Principal structural components of vessel are </w:t>
            </w:r>
            <w:r w:rsidRPr="006D4A2B">
              <w:t>identified from vessel drawings to understand the function of these components in relation to conventional vessel design</w:t>
            </w:r>
          </w:p>
        </w:tc>
      </w:tr>
      <w:tr w:rsidTr="006D4A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A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A2B">
            <w:pPr>
              <w:pStyle w:val="BodyText"/>
              <w:rPr>
                <w:lang w:val="en-NZ"/>
              </w:rPr>
            </w:pPr>
            <w:r w:rsidRPr="006D4A2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A2B">
            <w:pPr>
              <w:pStyle w:val="BodyText"/>
              <w:rPr>
                <w:lang w:val="en-NZ"/>
              </w:rPr>
            </w:pPr>
            <w:r w:rsidRPr="006D4A2B">
              <w:t>Pumping and pipeline systems of vessel are investigated to establish survivability of vessel in case of flooding and damage control</w:t>
            </w:r>
          </w:p>
        </w:tc>
      </w:tr>
      <w:tr w:rsidTr="006D4A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A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A2B">
            <w:pPr>
              <w:pStyle w:val="BodyText"/>
              <w:rPr>
                <w:lang w:val="en-NZ"/>
              </w:rPr>
            </w:pPr>
            <w:r w:rsidRPr="006D4A2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A2B">
            <w:pPr>
              <w:pStyle w:val="BodyText"/>
              <w:rPr>
                <w:lang w:val="en-NZ"/>
              </w:rPr>
            </w:pPr>
            <w:r w:rsidRPr="006D4A2B">
              <w:t>Procedures for maintaining weather tight and watertight integrity of vessel are interpreted and implemented according</w:t>
            </w:r>
            <w:r w:rsidRPr="006D4A2B">
              <w:t xml:space="preserve"> to vessel safety management plan and regulations</w:t>
            </w:r>
          </w:p>
        </w:tc>
      </w:tr>
      <w:tr w:rsidTr="006D4A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A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A2B">
            <w:pPr>
              <w:pStyle w:val="BodyText"/>
              <w:rPr>
                <w:lang w:val="en-NZ"/>
              </w:rPr>
            </w:pPr>
            <w:r w:rsidRPr="006D4A2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A2B">
            <w:pPr>
              <w:pStyle w:val="BodyText"/>
              <w:rPr>
                <w:lang w:val="en-NZ"/>
              </w:rPr>
            </w:pPr>
            <w:r w:rsidRPr="006D4A2B">
              <w:t>Crew are instructed on requirements of plan and their responsibilities</w:t>
            </w:r>
          </w:p>
        </w:tc>
      </w:tr>
      <w:tr w:rsidTr="006D4A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A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A2B">
            <w:pPr>
              <w:pStyle w:val="BodyText"/>
              <w:rPr>
                <w:lang w:val="en-NZ"/>
              </w:rPr>
            </w:pPr>
            <w:r w:rsidRPr="006D4A2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A2B">
            <w:pPr>
              <w:pStyle w:val="BodyText"/>
              <w:rPr>
                <w:lang w:val="en-NZ"/>
              </w:rPr>
            </w:pPr>
            <w:r w:rsidRPr="006D4A2B">
              <w:t>Actions are instigated to confirm weather tight and watertight integrity of vessel at all times</w:t>
            </w:r>
          </w:p>
        </w:tc>
      </w:tr>
      <w:tr w:rsidTr="006D4A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A2B" w:rsidP="006D4A2B">
            <w:pPr>
              <w:pStyle w:val="BodyText"/>
            </w:pPr>
            <w:r w:rsidRPr="006D4A2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A2B" w:rsidP="006D4A2B">
            <w:pPr>
              <w:pStyle w:val="BodyText"/>
            </w:pPr>
            <w:r w:rsidRPr="006D4A2B">
              <w:rPr>
                <w:rStyle w:val="SpecialBold"/>
              </w:rPr>
              <w:t>Take action to meet ch</w:t>
            </w:r>
            <w:r w:rsidRPr="006D4A2B">
              <w:rPr>
                <w:rStyle w:val="SpecialBold"/>
              </w:rPr>
              <w:t>anged sea and weather conditions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A2B">
            <w:pPr>
              <w:pStyle w:val="BodyText"/>
              <w:rPr>
                <w:lang w:val="en-NZ"/>
              </w:rPr>
            </w:pPr>
            <w:r w:rsidRPr="006D4A2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A2B">
            <w:pPr>
              <w:pStyle w:val="BodyText"/>
              <w:rPr>
                <w:lang w:val="en-NZ"/>
              </w:rPr>
            </w:pPr>
            <w:r w:rsidRPr="006D4A2B">
              <w:t>Weather forecasts and observations of sea and weather conditions are used to predict situations that may jeopardise vessel weather tight and watertight integrity</w:t>
            </w:r>
          </w:p>
        </w:tc>
      </w:tr>
      <w:tr w:rsidTr="006D4A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A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A2B">
            <w:pPr>
              <w:pStyle w:val="BodyText"/>
              <w:rPr>
                <w:lang w:val="en-NZ"/>
              </w:rPr>
            </w:pPr>
            <w:r w:rsidRPr="006D4A2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A2B">
            <w:pPr>
              <w:pStyle w:val="BodyText"/>
              <w:rPr>
                <w:lang w:val="en-NZ"/>
              </w:rPr>
            </w:pPr>
            <w:r w:rsidRPr="006D4A2B">
              <w:t>Effect of severe wind and rolling in associated sea conditions on vessel weather tight and watertight integrity is recognised</w:t>
            </w:r>
          </w:p>
        </w:tc>
      </w:tr>
      <w:tr w:rsidTr="006D4A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A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A2B">
            <w:pPr>
              <w:pStyle w:val="BodyText"/>
              <w:rPr>
                <w:lang w:val="en-NZ"/>
              </w:rPr>
            </w:pPr>
            <w:r w:rsidRPr="006D4A2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A2B">
            <w:pPr>
              <w:pStyle w:val="BodyText"/>
              <w:rPr>
                <w:lang w:val="en-NZ"/>
              </w:rPr>
            </w:pPr>
            <w:r w:rsidRPr="006D4A2B">
              <w:t>Effect of water on deck on vessel weather tight and watertight integrity is ascertained</w:t>
            </w:r>
          </w:p>
        </w:tc>
      </w:tr>
      <w:tr w:rsidTr="006D4A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A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A2B">
            <w:pPr>
              <w:pStyle w:val="BodyText"/>
              <w:rPr>
                <w:lang w:val="en-NZ"/>
              </w:rPr>
            </w:pPr>
            <w:r w:rsidRPr="006D4A2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A2B">
            <w:pPr>
              <w:pStyle w:val="BodyText"/>
              <w:rPr>
                <w:lang w:val="en-NZ"/>
              </w:rPr>
            </w:pPr>
            <w:r w:rsidRPr="006D4A2B">
              <w:t xml:space="preserve">Appropriate action is taken </w:t>
            </w:r>
            <w:r w:rsidRPr="006D4A2B">
              <w:t>to maintain vessel weather tight and watertight integrity according to organisational procedures</w:t>
            </w:r>
          </w:p>
        </w:tc>
      </w:tr>
      <w:tr w:rsidTr="006D4A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A2B" w:rsidP="006D4A2B">
            <w:pPr>
              <w:pStyle w:val="BodyText"/>
            </w:pPr>
            <w:r w:rsidRPr="006D4A2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A2B" w:rsidP="006D4A2B">
            <w:pPr>
              <w:pStyle w:val="BodyText"/>
            </w:pPr>
            <w:r w:rsidRPr="006D4A2B">
              <w:rPr>
                <w:rStyle w:val="SpecialBold"/>
              </w:rPr>
              <w:t>Maintain records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A2B">
            <w:pPr>
              <w:pStyle w:val="BodyText"/>
              <w:rPr>
                <w:lang w:val="en-NZ"/>
              </w:rPr>
            </w:pPr>
            <w:r w:rsidRPr="006D4A2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A2B">
            <w:pPr>
              <w:pStyle w:val="BodyText"/>
              <w:rPr>
                <w:lang w:val="en-NZ"/>
              </w:rPr>
            </w:pPr>
            <w:r w:rsidRPr="006D4A2B">
              <w:t>Relevant documents and records are completed and maintained, as required, according to regulatory and organisational requirements</w:t>
            </w:r>
          </w:p>
        </w:tc>
      </w:tr>
      <w:tr w:rsidTr="006D4A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A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A2B">
            <w:pPr>
              <w:pStyle w:val="BodyText"/>
              <w:rPr>
                <w:lang w:val="en-NZ"/>
              </w:rPr>
            </w:pPr>
            <w:r w:rsidRPr="006D4A2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A2B">
            <w:pPr>
              <w:pStyle w:val="BodyText"/>
              <w:rPr>
                <w:lang w:val="en-NZ"/>
              </w:rPr>
            </w:pPr>
            <w:r w:rsidRPr="006D4A2B">
              <w:t>Relevant documents are sent to appropriate bodies and copies are filed according to regulatory and organisational requirements</w:t>
            </w:r>
          </w:p>
        </w:tc>
      </w:tr>
      <w:tr w:rsidTr="006D4A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A2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A2B">
            <w:pPr>
              <w:pStyle w:val="BodyText"/>
              <w:rPr>
                <w:lang w:val="en-NZ"/>
              </w:rPr>
            </w:pPr>
            <w:r w:rsidRPr="006D4A2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A2B" w:rsidP="006D4A2B">
            <w:pPr>
              <w:pStyle w:val="BodyText"/>
            </w:pPr>
            <w:r w:rsidRPr="006D4A2B">
              <w:t>Documents are stored according to regulatory and organisational requirements</w:t>
            </w:r>
          </w:p>
        </w:tc>
      </w:tr>
    </w:tbl>
    <w:p w:rsidR="00000000" w:rsidRPr="006D4A2B" w:rsidP="006D4A2B">
      <w:pPr>
        <w:pStyle w:val="NoPaddingFontSize1"/>
      </w:pPr>
    </w:p>
    <w:p w:rsidR="00000000" w:rsidRPr="006D4A2B" w:rsidP="006D4A2B">
      <w:pPr>
        <w:pStyle w:val="AllowPageBreak"/>
      </w:pPr>
    </w:p>
    <w:p w:rsidR="00000000" w:rsidRPr="006D4A2B" w:rsidP="006D4A2B">
      <w:pPr>
        <w:pStyle w:val="Heading1"/>
      </w:pPr>
      <w:bookmarkStart w:id="7" w:name="O_1088324"/>
      <w:bookmarkEnd w:id="7"/>
      <w:r w:rsidRPr="006D4A2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4A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A2B" w:rsidP="006D4A2B">
            <w:pPr>
              <w:pStyle w:val="BodyText"/>
            </w:pPr>
            <w:r w:rsidRPr="006D4A2B">
              <w:t>Fo</w:t>
            </w:r>
            <w:r w:rsidRPr="006D4A2B">
              <w:t>undation skills essential to performance are explicit in the performance criteria of this unit of competency.</w:t>
            </w:r>
          </w:p>
        </w:tc>
      </w:tr>
    </w:tbl>
    <w:p w:rsidR="00000000" w:rsidRPr="006D4A2B" w:rsidP="006D4A2B">
      <w:pPr>
        <w:pStyle w:val="NoPaddingFontSize1"/>
      </w:pPr>
    </w:p>
    <w:p w:rsidR="00000000" w:rsidRPr="006D4A2B" w:rsidP="006D4A2B">
      <w:pPr>
        <w:pStyle w:val="AllowPageBreak"/>
      </w:pPr>
    </w:p>
    <w:p w:rsidR="00000000" w:rsidRPr="006D4A2B" w:rsidP="006D4A2B">
      <w:pPr>
        <w:pStyle w:val="Heading1"/>
      </w:pPr>
      <w:bookmarkStart w:id="8" w:name="O_1088325"/>
      <w:bookmarkEnd w:id="8"/>
      <w:r w:rsidRPr="006D4A2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4A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A2B" w:rsidP="006D4A2B">
            <w:pPr>
              <w:pStyle w:val="BodyText"/>
            </w:pPr>
            <w:r w:rsidRPr="006D4A2B">
              <w:t>Range is restricted to essential operating conditions and any other variables essential to the work environment.</w:t>
            </w:r>
          </w:p>
        </w:tc>
      </w:tr>
    </w:tbl>
    <w:p w:rsidR="00000000" w:rsidRPr="006D4A2B" w:rsidP="006D4A2B">
      <w:pPr>
        <w:pStyle w:val="NoPaddingFontSize1"/>
      </w:pPr>
    </w:p>
    <w:p w:rsidR="00000000" w:rsidRPr="006D4A2B" w:rsidP="006D4A2B">
      <w:pPr>
        <w:pStyle w:val="AllowPageBreak"/>
      </w:pPr>
    </w:p>
    <w:p w:rsidR="00000000" w:rsidRPr="006D4A2B" w:rsidP="006D4A2B">
      <w:pPr>
        <w:pStyle w:val="Heading1"/>
      </w:pPr>
      <w:bookmarkStart w:id="9" w:name="O_1088326"/>
      <w:bookmarkEnd w:id="9"/>
      <w:r w:rsidRPr="006D4A2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4A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A2B" w:rsidP="006D4A2B">
            <w:pPr>
              <w:pStyle w:val="BodyText"/>
            </w:pPr>
            <w:r w:rsidRPr="006D4A2B">
              <w:t>This unit replaces and is equivalent to MARN004 Manage seaworthiness of a vessel up to 80 metres.</w:t>
            </w:r>
          </w:p>
        </w:tc>
      </w:tr>
    </w:tbl>
    <w:p w:rsidR="00000000" w:rsidRPr="006D4A2B" w:rsidP="006D4A2B">
      <w:pPr>
        <w:pStyle w:val="NoPaddingFontSize1"/>
      </w:pPr>
    </w:p>
    <w:p w:rsidR="00000000" w:rsidRPr="006D4A2B" w:rsidP="006D4A2B">
      <w:pPr>
        <w:pStyle w:val="AllowPageBreak"/>
      </w:pPr>
    </w:p>
    <w:p w:rsidR="00000000" w:rsidRPr="006D4A2B" w:rsidP="006D4A2B">
      <w:pPr>
        <w:pStyle w:val="Heading1"/>
      </w:pPr>
      <w:bookmarkStart w:id="10" w:name="O_1088333"/>
      <w:bookmarkEnd w:id="10"/>
      <w:r w:rsidRPr="006D4A2B">
        <w:t>Links</w:t>
      </w:r>
    </w:p>
    <w:p w:rsidR="00000000" w:rsidRPr="006D4A2B" w:rsidP="00034913">
      <w:pPr>
        <w:pStyle w:val="BodyText"/>
      </w:pPr>
      <w:r w:rsidRPr="006D4A2B">
        <w:t xml:space="preserve">Companion Volume implementation guide can be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BD4B60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6D4A2B" w:rsidP="006D4A2B"/>
    <w:sectPr w:rsidSect="006D4A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A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A2B" w:rsidRPr="00034913" w:rsidP="000349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A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913" w:rsidP="006D4A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4913" w:rsidP="006D4A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34913" w:rsidP="006D4A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A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9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4A2B" w:rsidRPr="00034913" w:rsidP="000349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A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913" w:rsidRPr="002D2AF8" w:rsidP="006D4A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MARN013 Manage seaworthiness of a vessel up to 80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034913" w:rsidP="006D4A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2AFA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2A4F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4A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4A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4A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4A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4A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4A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4A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4A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4A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4A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4A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4A2B"/>
  </w:style>
  <w:style w:type="character" w:customStyle="1" w:styleId="Heading1Char">
    <w:name w:val="Heading 1 Char"/>
    <w:basedOn w:val="DefaultParagraphFont"/>
    <w:link w:val="Heading1"/>
    <w:rsid w:val="006D4A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4A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4A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4A2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4A2B"/>
    <w:rPr>
      <w:b/>
      <w:spacing w:val="0"/>
    </w:rPr>
  </w:style>
  <w:style w:type="paragraph" w:customStyle="1" w:styleId="SuperHeading">
    <w:name w:val="SuperHeading"/>
    <w:basedOn w:val="Normal"/>
    <w:rsid w:val="006D4A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4A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D4A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4A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4A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4A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4A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4A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4A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4A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4A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4A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4A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4A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4A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4A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4A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4A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4A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4A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4A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4A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4A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4A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4A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4A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4A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4A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4A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4A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4A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4A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4A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4A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4A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4A2B"/>
    <w:rPr>
      <w:i/>
    </w:rPr>
  </w:style>
  <w:style w:type="paragraph" w:styleId="Caption">
    <w:name w:val="caption"/>
    <w:basedOn w:val="BodyText"/>
    <w:next w:val="Normal"/>
    <w:qFormat/>
    <w:rsid w:val="006D4A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4A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4A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4A2B"/>
  </w:style>
  <w:style w:type="paragraph" w:styleId="TableofFigures">
    <w:name w:val="table of figures"/>
    <w:basedOn w:val="Normal"/>
    <w:next w:val="Normal"/>
    <w:semiHidden/>
    <w:rsid w:val="006D4A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4A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4A2B"/>
    <w:rPr>
      <w:rFonts w:ascii="Wingdings" w:hAnsi="Wingdings"/>
    </w:rPr>
  </w:style>
  <w:style w:type="paragraph" w:customStyle="1" w:styleId="TableHeading">
    <w:name w:val="Table Heading"/>
    <w:basedOn w:val="HeadingBase"/>
    <w:rsid w:val="006D4A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4A2B"/>
    <w:rPr>
      <w:color w:val="0033CC"/>
      <w:u w:val="none"/>
    </w:rPr>
  </w:style>
  <w:style w:type="paragraph" w:customStyle="1" w:styleId="BodyTextRight">
    <w:name w:val="Body Text Right"/>
    <w:basedOn w:val="BodyText"/>
    <w:rsid w:val="006D4A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4A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4A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4A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4A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4A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4A2B"/>
    <w:rPr>
      <w:sz w:val="32"/>
    </w:rPr>
  </w:style>
  <w:style w:type="paragraph" w:customStyle="1" w:styleId="HeadingProcedure">
    <w:name w:val="Heading Procedure"/>
    <w:basedOn w:val="HeadingBase"/>
    <w:next w:val="Normal"/>
    <w:rsid w:val="006D4A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4A2B"/>
    <w:pPr>
      <w:spacing w:before="60" w:after="60"/>
    </w:pPr>
  </w:style>
  <w:style w:type="paragraph" w:styleId="ListContinue">
    <w:name w:val="List Continue"/>
    <w:basedOn w:val="List"/>
    <w:rsid w:val="006D4A2B"/>
    <w:pPr>
      <w:ind w:firstLine="0"/>
    </w:pPr>
  </w:style>
  <w:style w:type="paragraph" w:customStyle="1" w:styleId="ListNote">
    <w:name w:val="List Note"/>
    <w:basedOn w:val="List"/>
    <w:rsid w:val="006D4A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4A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4A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4A2B"/>
    <w:rPr>
      <w:rFonts w:ascii="Courier New" w:hAnsi="Courier New"/>
    </w:rPr>
  </w:style>
  <w:style w:type="paragraph" w:customStyle="1" w:styleId="NoteBullet">
    <w:name w:val="Note Bullet"/>
    <w:basedOn w:val="Note"/>
    <w:rsid w:val="006D4A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4A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4A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4A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4A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4A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4A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4A2B"/>
    <w:rPr>
      <w:b/>
      <w:smallCaps/>
    </w:rPr>
  </w:style>
  <w:style w:type="paragraph" w:customStyle="1" w:styleId="TableListNumber">
    <w:name w:val="Table List Number"/>
    <w:basedOn w:val="ListNumber"/>
    <w:rsid w:val="006D4A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4A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4A2B"/>
    <w:pPr>
      <w:numPr>
        <w:numId w:val="8"/>
      </w:numPr>
    </w:pPr>
  </w:style>
  <w:style w:type="paragraph" w:customStyle="1" w:styleId="ListAlpha2">
    <w:name w:val="List Alpha 2"/>
    <w:basedOn w:val="List2"/>
    <w:rsid w:val="006D4A2B"/>
    <w:pPr>
      <w:numPr>
        <w:numId w:val="7"/>
      </w:numPr>
    </w:pPr>
  </w:style>
  <w:style w:type="paragraph" w:styleId="List2">
    <w:name w:val="List 2"/>
    <w:basedOn w:val="BodyText"/>
    <w:rsid w:val="006D4A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4A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4A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4A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4A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4A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4A2B"/>
    <w:pPr>
      <w:numPr>
        <w:numId w:val="3"/>
      </w:numPr>
    </w:pPr>
  </w:style>
  <w:style w:type="paragraph" w:styleId="ListContinue2">
    <w:name w:val="List Continue 2"/>
    <w:basedOn w:val="List2"/>
    <w:rsid w:val="006D4A2B"/>
    <w:pPr>
      <w:ind w:firstLine="0"/>
    </w:pPr>
  </w:style>
  <w:style w:type="paragraph" w:styleId="ListContinue3">
    <w:name w:val="List Continue 3"/>
    <w:basedOn w:val="List3"/>
    <w:rsid w:val="006D4A2B"/>
    <w:pPr>
      <w:ind w:left="1021" w:firstLine="0"/>
    </w:pPr>
  </w:style>
  <w:style w:type="paragraph" w:styleId="ListContinue4">
    <w:name w:val="List Continue 4"/>
    <w:basedOn w:val="List4"/>
    <w:rsid w:val="006D4A2B"/>
    <w:pPr>
      <w:ind w:firstLine="0"/>
    </w:pPr>
  </w:style>
  <w:style w:type="paragraph" w:styleId="ListContinue5">
    <w:name w:val="List Continue 5"/>
    <w:basedOn w:val="List5"/>
    <w:rsid w:val="006D4A2B"/>
    <w:pPr>
      <w:ind w:firstLine="0"/>
    </w:pPr>
  </w:style>
  <w:style w:type="paragraph" w:styleId="ListNumber3">
    <w:name w:val="List Number 3"/>
    <w:basedOn w:val="List3"/>
    <w:rsid w:val="006D4A2B"/>
    <w:pPr>
      <w:numPr>
        <w:numId w:val="4"/>
      </w:numPr>
    </w:pPr>
  </w:style>
  <w:style w:type="paragraph" w:styleId="ListNumber4">
    <w:name w:val="List Number 4"/>
    <w:basedOn w:val="List4"/>
    <w:rsid w:val="006D4A2B"/>
    <w:pPr>
      <w:numPr>
        <w:numId w:val="5"/>
      </w:numPr>
    </w:pPr>
  </w:style>
  <w:style w:type="paragraph" w:styleId="ListNumber5">
    <w:name w:val="List Number 5"/>
    <w:basedOn w:val="List5"/>
    <w:rsid w:val="006D4A2B"/>
    <w:pPr>
      <w:numPr>
        <w:numId w:val="6"/>
      </w:numPr>
    </w:pPr>
  </w:style>
  <w:style w:type="paragraph" w:styleId="BlockText">
    <w:name w:val="Block Text"/>
    <w:basedOn w:val="Normal"/>
    <w:rsid w:val="006D4A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4A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4A2B"/>
    <w:rPr>
      <w:sz w:val="16"/>
      <w:vertAlign w:val="superscript"/>
    </w:rPr>
  </w:style>
  <w:style w:type="character" w:customStyle="1" w:styleId="Symbols">
    <w:name w:val="Symbols"/>
    <w:basedOn w:val="DefaultParagraphFont"/>
    <w:rsid w:val="006D4A2B"/>
    <w:rPr>
      <w:rFonts w:ascii="Symbol" w:hAnsi="Symbol"/>
    </w:rPr>
  </w:style>
  <w:style w:type="character" w:customStyle="1" w:styleId="MenuOptions">
    <w:name w:val="Menu Options"/>
    <w:basedOn w:val="DefaultParagraphFont"/>
    <w:rsid w:val="006D4A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4A2B"/>
    <w:rPr>
      <w:b/>
    </w:rPr>
  </w:style>
  <w:style w:type="character" w:customStyle="1" w:styleId="Underlined">
    <w:name w:val="Underlined"/>
    <w:basedOn w:val="DefaultParagraphFont"/>
    <w:rsid w:val="006D4A2B"/>
    <w:rPr>
      <w:u w:val="single"/>
    </w:rPr>
  </w:style>
  <w:style w:type="paragraph" w:customStyle="1" w:styleId="TableBodyTextRight">
    <w:name w:val="Table Body Text Right"/>
    <w:basedOn w:val="TableBodyText"/>
    <w:rsid w:val="006D4A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4A2B"/>
    <w:rPr>
      <w:sz w:val="18"/>
    </w:rPr>
  </w:style>
  <w:style w:type="paragraph" w:customStyle="1" w:styleId="BodySmallRight">
    <w:name w:val="Body Small Right"/>
    <w:basedOn w:val="BodyTextRight"/>
    <w:rsid w:val="006D4A2B"/>
    <w:rPr>
      <w:sz w:val="18"/>
      <w:szCs w:val="18"/>
    </w:rPr>
  </w:style>
  <w:style w:type="paragraph" w:customStyle="1" w:styleId="MarginEdition">
    <w:name w:val="Margin Edition"/>
    <w:basedOn w:val="MarginNote"/>
    <w:rsid w:val="006D4A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4A2B"/>
    <w:rPr>
      <w:sz w:val="2"/>
      <w:szCs w:val="2"/>
    </w:rPr>
  </w:style>
  <w:style w:type="character" w:customStyle="1" w:styleId="Small">
    <w:name w:val="Small"/>
    <w:basedOn w:val="DefaultParagraphFont"/>
    <w:rsid w:val="006D4A2B"/>
    <w:rPr>
      <w:sz w:val="16"/>
    </w:rPr>
  </w:style>
  <w:style w:type="paragraph" w:customStyle="1" w:styleId="WideTable">
    <w:name w:val="Wide Table"/>
    <w:basedOn w:val="Normal"/>
    <w:rsid w:val="006D4A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4A2B"/>
  </w:style>
  <w:style w:type="paragraph" w:styleId="Quote">
    <w:name w:val="Quote"/>
    <w:basedOn w:val="Heading1"/>
    <w:link w:val="QuoteChar"/>
    <w:qFormat/>
    <w:rsid w:val="006D4A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4A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4A2B"/>
    <w:pPr>
      <w:pageBreakBefore/>
    </w:pPr>
  </w:style>
  <w:style w:type="paragraph" w:customStyle="1" w:styleId="Border">
    <w:name w:val="Border"/>
    <w:basedOn w:val="Normal"/>
    <w:qFormat/>
    <w:rsid w:val="006D4A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4A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4A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4A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4A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4A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4A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4A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4A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4A2B"/>
    <w:rPr>
      <w:u w:val="single"/>
    </w:rPr>
  </w:style>
  <w:style w:type="character" w:customStyle="1" w:styleId="BoldandItalics">
    <w:name w:val="Bold and Italics"/>
    <w:qFormat/>
    <w:rsid w:val="006D4A2B"/>
    <w:rPr>
      <w:b/>
      <w:i/>
      <w:u w:val="none"/>
    </w:rPr>
  </w:style>
  <w:style w:type="paragraph" w:styleId="BalloonText">
    <w:name w:val="Balloon Text"/>
    <w:basedOn w:val="Normal"/>
    <w:link w:val="BalloonTextChar"/>
    <w:rsid w:val="006D4A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4A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4A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4A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4A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4A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4A2B"/>
    <w:pPr>
      <w:spacing w:before="0" w:after="0"/>
    </w:pPr>
  </w:style>
  <w:style w:type="paragraph" w:customStyle="1" w:styleId="BodyTextBold">
    <w:name w:val="Body Text Bold"/>
    <w:basedOn w:val="BodyText"/>
    <w:qFormat/>
    <w:rsid w:val="006D4A2B"/>
    <w:rPr>
      <w:b/>
    </w:rPr>
  </w:style>
  <w:style w:type="character" w:styleId="Hyperlink">
    <w:name w:val="Hyperlink"/>
    <w:basedOn w:val="DefaultParagraphFont"/>
    <w:uiPriority w:val="99"/>
    <w:unhideWhenUsed/>
    <w:rsid w:val="000349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581</Words>
  <Characters>3421</Characters>
  <Application>Microsoft Office Word</Application>
  <DocSecurity>0</DocSecurity>
  <Lines>148</Lines>
  <Paragraphs>78</Paragraphs>
  <ScaleCrop>false</ScaleCrop>
  <Company>Author-it Software Corporation Ltd.</Company>
  <LinksUpToDate>false</LinksUpToDate>
  <CharactersWithSpaces>3924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MARN013 Manage seaworthiness of a vessel up to 80 metres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2022-12-20T01:13:00Z</dcterms:created>
  <dcterms:modified xsi:type="dcterms:W3CDTF">2022-12-20T01:13:00Z</dcterms:modified>
</cp:coreProperties>
</file>