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132" w:rsidP="004A4132">
      <w:pPr>
        <w:pStyle w:val="Title"/>
      </w:pPr>
      <w:r>
        <w:fldChar w:fldCharType="begin"/>
      </w:r>
      <w:r>
        <w:instrText xml:space="preserve"> TITLE   \* MERGEFORMAT </w:instrText>
      </w:r>
      <w:r>
        <w:fldChar w:fldCharType="separate"/>
      </w:r>
      <w:r>
        <w:t>Assessment Requirements for MARN008 Apply seamanship skills aboard a vessel up to 12 metres</w:t>
      </w:r>
      <w:r>
        <w:fldChar w:fldCharType="end"/>
      </w:r>
    </w:p>
    <w:p w:rsidR="004A4132" w:rsidP="004A4132">
      <w:pPr>
        <w:pStyle w:val="Version"/>
        <w:sectPr w:rsidSect="00A60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6E7" w:rsidP="00A606E7">
      <w:pPr>
        <w:pStyle w:val="SuperHeading"/>
      </w:pPr>
      <w:r w:rsidRPr="00A606E7">
        <w:t>Assessment Requirements for MARN008 Apply seamanship skills aboard a vessel up to 12 metres</w:t>
      </w:r>
    </w:p>
    <w:p w:rsidR="00000000" w:rsidRPr="00A606E7" w:rsidP="00A606E7">
      <w:pPr>
        <w:pStyle w:val="Heading1"/>
      </w:pPr>
      <w:bookmarkStart w:id="1" w:name="O_1285805"/>
      <w:bookmarkEnd w:id="1"/>
      <w:r w:rsidRPr="00A606E7">
        <w:t>Modification History</w:t>
      </w:r>
    </w:p>
    <w:tbl>
      <w:tblPr>
        <w:tblW w:w="9497" w:type="dxa"/>
        <w:tblLayout w:type="fixed"/>
        <w:tblCellMar>
          <w:left w:w="62" w:type="dxa"/>
          <w:right w:w="62" w:type="dxa"/>
        </w:tblCellMar>
        <w:tblLook w:val="0000"/>
      </w:tblPr>
      <w:tblGrid>
        <w:gridCol w:w="9497"/>
      </w:tblGrid>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6E7" w:rsidP="00A606E7">
            <w:pPr>
              <w:pStyle w:val="BodyText"/>
            </w:pPr>
            <w:r w:rsidRPr="00A606E7">
              <w:rPr>
                <w:rStyle w:val="SpecialBold"/>
              </w:rPr>
              <w:t>Release 2</w:t>
            </w:r>
            <w:r w:rsidRPr="00A606E7">
              <w:t xml:space="preserve">. This is the second release of this unit of competency in the MAR Maritime Training Package. </w:t>
            </w:r>
          </w:p>
          <w:p w:rsidR="00000000" w:rsidRPr="00A606E7" w:rsidP="00A606E7">
            <w:pPr>
              <w:pStyle w:val="ListBullet"/>
            </w:pPr>
            <w:r w:rsidRPr="00A606E7">
              <w:t>Minor statement changes in unit Application</w:t>
            </w:r>
          </w:p>
          <w:p w:rsidR="00000000" w:rsidP="00A606E7">
            <w:pPr>
              <w:pStyle w:val="ListBullet"/>
              <w:rPr>
                <w:lang w:val="en-NZ"/>
              </w:rPr>
            </w:pPr>
            <w:r w:rsidRPr="00A606E7">
              <w:t>Minor statement changes in Assessment Conditions.</w:t>
            </w:r>
          </w:p>
        </w:tc>
      </w:tr>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6E7" w:rsidP="00A606E7">
            <w:pPr>
              <w:pStyle w:val="BodyText"/>
            </w:pPr>
            <w:r w:rsidRPr="00A606E7">
              <w:rPr>
                <w:rStyle w:val="SpecialBold"/>
              </w:rPr>
              <w:t>Release 1</w:t>
            </w:r>
            <w:r w:rsidRPr="00A606E7">
              <w:t>. New unit of competency. Licensing/regulatory information has been incorporated in accordance with Regulatory requirements. Assessment Requirements hav</w:t>
            </w:r>
            <w:r w:rsidRPr="00A606E7">
              <w:t>e been strengthened in accordance with Regulatory requirements.</w:t>
            </w:r>
          </w:p>
        </w:tc>
      </w:tr>
    </w:tbl>
    <w:p w:rsidR="004A4132" w:rsidP="00A606E7">
      <w:pPr>
        <w:pStyle w:val="NoPaddingFontSize1"/>
      </w:pPr>
    </w:p>
    <w:p w:rsidR="004A4132" w:rsidP="00A606E7">
      <w:pPr>
        <w:pStyle w:val="NoPaddingFontSize1"/>
      </w:pPr>
    </w:p>
    <w:p w:rsidR="00000000" w:rsidRPr="00A606E7" w:rsidP="00A606E7">
      <w:pPr>
        <w:pStyle w:val="Heading1"/>
      </w:pPr>
      <w:bookmarkStart w:id="2" w:name="O_1285804"/>
      <w:bookmarkEnd w:id="2"/>
      <w:r w:rsidRPr="00A606E7">
        <w:t>Performance Evidence</w:t>
      </w:r>
    </w:p>
    <w:tbl>
      <w:tblPr>
        <w:tblW w:w="9497" w:type="dxa"/>
        <w:tblLayout w:type="fixed"/>
        <w:tblCellMar>
          <w:left w:w="62" w:type="dxa"/>
          <w:right w:w="62" w:type="dxa"/>
        </w:tblCellMar>
        <w:tblLook w:val="0000"/>
      </w:tblPr>
      <w:tblGrid>
        <w:gridCol w:w="9497"/>
      </w:tblGrid>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06E7">
            <w:pPr>
              <w:pStyle w:val="BodyText"/>
              <w:rPr>
                <w:lang w:val="en-NZ"/>
              </w:rPr>
            </w:pPr>
            <w:r w:rsidRPr="00A606E7">
              <w:t>Evidence required to demonstrate competence in this unit must be relevant to and satisfy all of the requirements of the elements and performance crit</w:t>
            </w:r>
            <w:r w:rsidRPr="00A606E7">
              <w:t>eria on at least one occasion and include:</w:t>
            </w:r>
          </w:p>
        </w:tc>
      </w:tr>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6E7" w:rsidP="00A606E7">
            <w:pPr>
              <w:pStyle w:val="ListBullet"/>
            </w:pPr>
            <w:r w:rsidRPr="00A606E7">
              <w:t>applying work health and safety (WHS)/occupational health and safety (OHS) requirements and work practices</w:t>
            </w:r>
          </w:p>
          <w:p w:rsidR="00000000" w:rsidRPr="00A606E7" w:rsidP="00A606E7">
            <w:pPr>
              <w:pStyle w:val="ListBullet"/>
            </w:pPr>
            <w:r w:rsidRPr="00A606E7">
              <w:t xml:space="preserve">checking seaworthiness and general condition of a vessel up to12 metres </w:t>
            </w:r>
          </w:p>
          <w:p w:rsidR="00000000" w:rsidRPr="00A606E7" w:rsidP="00A606E7">
            <w:pPr>
              <w:pStyle w:val="ListBullet"/>
            </w:pPr>
            <w:r w:rsidRPr="00A606E7">
              <w:t>coiling and stowing ropes</w:t>
            </w:r>
          </w:p>
          <w:p w:rsidR="00000000" w:rsidRPr="00A606E7" w:rsidP="00A606E7">
            <w:pPr>
              <w:pStyle w:val="ListBullet"/>
            </w:pPr>
            <w:r w:rsidRPr="00A606E7">
              <w:t>handling ropes</w:t>
            </w:r>
          </w:p>
          <w:p w:rsidR="00000000" w:rsidRPr="00A606E7" w:rsidP="00A606E7">
            <w:pPr>
              <w:pStyle w:val="ListBullet"/>
            </w:pPr>
            <w:r w:rsidRPr="00A606E7">
              <w:t>identifying deterioration and causes in hull and fittings</w:t>
            </w:r>
          </w:p>
          <w:p w:rsidR="00000000" w:rsidRPr="00A606E7" w:rsidP="00A606E7">
            <w:pPr>
              <w:pStyle w:val="ListBullet"/>
            </w:pPr>
            <w:r w:rsidRPr="00A606E7">
              <w:t xml:space="preserve">performing an eye splice </w:t>
            </w:r>
          </w:p>
          <w:p w:rsidR="00000000" w:rsidRPr="00A606E7" w:rsidP="00A606E7">
            <w:pPr>
              <w:pStyle w:val="ListBullet"/>
            </w:pPr>
            <w:r w:rsidRPr="00A606E7">
              <w:t>performing common whipping on ropes</w:t>
            </w:r>
          </w:p>
          <w:p w:rsidR="00000000" w:rsidRPr="00A606E7" w:rsidP="00A606E7">
            <w:pPr>
              <w:pStyle w:val="ListBullet"/>
            </w:pPr>
            <w:r w:rsidRPr="00A606E7">
              <w:t>performing preparations for and letting go and weighing anchor</w:t>
            </w:r>
          </w:p>
          <w:p w:rsidR="00000000" w:rsidRPr="00A606E7" w:rsidP="00A606E7">
            <w:pPr>
              <w:pStyle w:val="ListBullet"/>
            </w:pPr>
            <w:r w:rsidRPr="00A606E7">
              <w:t>preparing and throwing a heaving line</w:t>
            </w:r>
          </w:p>
          <w:p w:rsidR="00000000" w:rsidRPr="00A606E7" w:rsidP="00A606E7">
            <w:pPr>
              <w:pStyle w:val="ListBullet"/>
            </w:pPr>
            <w:r w:rsidRPr="00A606E7">
              <w:t>securing a vessel al</w:t>
            </w:r>
            <w:r w:rsidRPr="00A606E7">
              <w:t>ongside using vessel mooring lines, including:</w:t>
            </w:r>
          </w:p>
          <w:p w:rsidR="00000000" w:rsidRPr="00A606E7" w:rsidP="00A606E7">
            <w:pPr>
              <w:pStyle w:val="ListBullet2"/>
            </w:pPr>
            <w:r w:rsidRPr="00A606E7">
              <w:t>bow and stern lines</w:t>
            </w:r>
          </w:p>
          <w:p w:rsidR="00000000" w:rsidRPr="00A606E7" w:rsidP="00A606E7">
            <w:pPr>
              <w:pStyle w:val="ListBullet2"/>
            </w:pPr>
            <w:r w:rsidRPr="00A606E7">
              <w:t>fore and aft springs</w:t>
            </w:r>
          </w:p>
          <w:p w:rsidR="00000000" w:rsidRPr="00A606E7" w:rsidP="00A606E7">
            <w:pPr>
              <w:pStyle w:val="ListBullet"/>
            </w:pPr>
            <w:r w:rsidRPr="00A606E7">
              <w:t xml:space="preserve">securing anchor and equipment on completion of anchoring operations </w:t>
            </w:r>
          </w:p>
          <w:p w:rsidR="00000000" w:rsidRPr="00A606E7" w:rsidP="00A606E7">
            <w:pPr>
              <w:pStyle w:val="ListBullet"/>
            </w:pPr>
            <w:r w:rsidRPr="00A606E7">
              <w:t>tying reef knot, bowline, clove hitch, round turn and two half hitches, rolling hitch and sheet bend - single and double.</w:t>
            </w:r>
          </w:p>
        </w:tc>
      </w:tr>
    </w:tbl>
    <w:p w:rsidR="004A4132" w:rsidP="00A606E7">
      <w:pPr>
        <w:pStyle w:val="NoPaddingFontSize1"/>
      </w:pPr>
    </w:p>
    <w:p w:rsidR="004A4132" w:rsidP="00A606E7">
      <w:pPr>
        <w:pStyle w:val="NoPaddingFontSize1"/>
      </w:pPr>
    </w:p>
    <w:p w:rsidR="00000000" w:rsidRPr="00A606E7" w:rsidP="00A606E7">
      <w:pPr>
        <w:pStyle w:val="Heading1"/>
      </w:pPr>
      <w:bookmarkStart w:id="3" w:name="O_1285803"/>
      <w:bookmarkEnd w:id="3"/>
      <w:r w:rsidRPr="00A606E7">
        <w:t>Knowledge Evidence</w:t>
      </w:r>
    </w:p>
    <w:tbl>
      <w:tblPr>
        <w:tblW w:w="9497" w:type="dxa"/>
        <w:tblLayout w:type="fixed"/>
        <w:tblCellMar>
          <w:left w:w="62" w:type="dxa"/>
          <w:right w:w="62" w:type="dxa"/>
        </w:tblCellMar>
        <w:tblLook w:val="0000"/>
      </w:tblPr>
      <w:tblGrid>
        <w:gridCol w:w="9497"/>
      </w:tblGrid>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06E7">
            <w:pPr>
              <w:pStyle w:val="BodyText"/>
              <w:rPr>
                <w:lang w:val="en-NZ"/>
              </w:rPr>
            </w:pPr>
            <w:r w:rsidRPr="00A606E7">
              <w:t>Evidence required to demonstrate competence in this unit must be relevant to and satisfy all of the requirements of the elements and performance criteria and include knowledge of:</w:t>
            </w:r>
          </w:p>
        </w:tc>
      </w:tr>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6E7" w:rsidP="00A606E7">
            <w:pPr>
              <w:pStyle w:val="ListBullet"/>
            </w:pPr>
            <w:r w:rsidRPr="00A606E7">
              <w:t>anchors, types and characteristics</w:t>
            </w:r>
          </w:p>
          <w:p w:rsidR="00000000" w:rsidRPr="00A606E7" w:rsidP="00A606E7">
            <w:pPr>
              <w:pStyle w:val="ListBullet"/>
            </w:pPr>
            <w:r w:rsidRPr="00A606E7">
              <w:t>basic structural parts of a small vesse</w:t>
            </w:r>
            <w:r w:rsidRPr="00A606E7">
              <w:t>l</w:t>
            </w:r>
          </w:p>
          <w:p w:rsidR="00000000" w:rsidRPr="00A606E7" w:rsidP="00A606E7">
            <w:pPr>
              <w:pStyle w:val="ListBullet"/>
            </w:pPr>
            <w:r w:rsidRPr="00A606E7">
              <w:t>considerations to make when selecting an anchorage</w:t>
            </w:r>
          </w:p>
          <w:p w:rsidR="00000000" w:rsidRPr="00A606E7" w:rsidP="00A606E7">
            <w:pPr>
              <w:pStyle w:val="ListBullet"/>
            </w:pPr>
            <w:r w:rsidRPr="00A606E7">
              <w:t>correct application of common knots and hitches</w:t>
            </w:r>
          </w:p>
          <w:p w:rsidR="00000000" w:rsidRPr="00A606E7" w:rsidP="00A606E7">
            <w:pPr>
              <w:pStyle w:val="ListBullet"/>
            </w:pPr>
            <w:r w:rsidRPr="00A606E7">
              <w:t xml:space="preserve">coverage and frequency of checks of vessels seaworthiness </w:t>
            </w:r>
          </w:p>
          <w:p w:rsidR="00000000" w:rsidRPr="00A606E7" w:rsidP="00A606E7">
            <w:pPr>
              <w:pStyle w:val="ListBullet"/>
            </w:pPr>
            <w:r w:rsidRPr="00A606E7">
              <w:t>factors affecting the safety and integrity of vessel; its equipment and materials on board</w:t>
            </w:r>
          </w:p>
          <w:p w:rsidR="00000000" w:rsidRPr="00A606E7" w:rsidP="00A606E7">
            <w:pPr>
              <w:pStyle w:val="ListBullet"/>
            </w:pPr>
            <w:r w:rsidRPr="00A606E7">
              <w:t>how t</w:t>
            </w:r>
            <w:r w:rsidRPr="00A606E7">
              <w:t>o make a vessel watertight</w:t>
            </w:r>
          </w:p>
          <w:p w:rsidR="00000000" w:rsidRPr="00A606E7" w:rsidP="00A606E7">
            <w:pPr>
              <w:pStyle w:val="ListBullet"/>
            </w:pPr>
            <w:r w:rsidRPr="00A606E7">
              <w:t>identifying and rectifying irregularities in the condition and seaworthiness of the vessel</w:t>
            </w:r>
          </w:p>
          <w:p w:rsidR="00000000" w:rsidRPr="00A606E7" w:rsidP="00A606E7">
            <w:pPr>
              <w:pStyle w:val="ListBullet"/>
            </w:pPr>
            <w:r w:rsidRPr="00A606E7">
              <w:t xml:space="preserve">large objects likely to move in a sea way </w:t>
            </w:r>
          </w:p>
          <w:p w:rsidR="00000000" w:rsidRPr="00A606E7" w:rsidP="00A606E7">
            <w:pPr>
              <w:pStyle w:val="ListBullet"/>
            </w:pPr>
            <w:r w:rsidRPr="00A606E7">
              <w:t>loading, discharging and movement of weights</w:t>
            </w:r>
          </w:p>
          <w:p w:rsidR="00000000" w:rsidRPr="00A606E7" w:rsidP="00A606E7">
            <w:pPr>
              <w:pStyle w:val="ListBullet"/>
            </w:pPr>
            <w:r w:rsidRPr="00A606E7">
              <w:t>maintenance of synthetic and natural fibre ropes</w:t>
            </w:r>
          </w:p>
          <w:p w:rsidR="00000000" w:rsidRPr="00A606E7" w:rsidP="00A606E7">
            <w:pPr>
              <w:pStyle w:val="ListBullet"/>
            </w:pPr>
            <w:r w:rsidRPr="00A606E7">
              <w:t>materials on deck and below</w:t>
            </w:r>
          </w:p>
          <w:p w:rsidR="00000000" w:rsidRPr="00A606E7" w:rsidP="00A606E7">
            <w:pPr>
              <w:pStyle w:val="ListBullet"/>
            </w:pPr>
            <w:r w:rsidRPr="00A606E7">
              <w:t xml:space="preserve">mooring line arrangements for securing at a berth </w:t>
            </w:r>
          </w:p>
          <w:p w:rsidR="00000000" w:rsidRPr="00A606E7" w:rsidP="00A606E7">
            <w:pPr>
              <w:pStyle w:val="ListBullet"/>
            </w:pPr>
            <w:r w:rsidRPr="00A606E7">
              <w:t>openings including hatch covers and all other openings that water can enter</w:t>
            </w:r>
          </w:p>
          <w:p w:rsidR="00000000" w:rsidRPr="00A606E7" w:rsidP="00A606E7">
            <w:pPr>
              <w:pStyle w:val="ListBullet"/>
            </w:pPr>
            <w:r w:rsidRPr="00A606E7">
              <w:t>principles of maintaining watertight integrity</w:t>
            </w:r>
          </w:p>
          <w:p w:rsidR="00000000" w:rsidRPr="00A606E7" w:rsidP="00A606E7">
            <w:pPr>
              <w:pStyle w:val="ListBullet"/>
            </w:pPr>
            <w:r w:rsidRPr="00A606E7">
              <w:t>procedure for anchoring</w:t>
            </w:r>
          </w:p>
          <w:p w:rsidR="00000000" w:rsidRPr="00A606E7" w:rsidP="00A606E7">
            <w:pPr>
              <w:pStyle w:val="ListBullet"/>
            </w:pPr>
            <w:r w:rsidRPr="00A606E7">
              <w:t>process for checking seaworthi</w:t>
            </w:r>
            <w:r w:rsidRPr="00A606E7">
              <w:t>ness and general condition of a vessel up to 12 metres including:</w:t>
            </w:r>
          </w:p>
          <w:p w:rsidR="00000000" w:rsidRPr="00A606E7" w:rsidP="00A606E7">
            <w:pPr>
              <w:pStyle w:val="ListBullet2"/>
            </w:pPr>
            <w:r w:rsidRPr="00A606E7">
              <w:t>accommodation and storage spaces</w:t>
            </w:r>
          </w:p>
          <w:p w:rsidR="00000000" w:rsidRPr="00A606E7" w:rsidP="00A606E7">
            <w:pPr>
              <w:pStyle w:val="ListBullet2"/>
            </w:pPr>
            <w:r w:rsidRPr="00A606E7">
              <w:t>anchors</w:t>
            </w:r>
          </w:p>
          <w:p w:rsidR="00000000" w:rsidRPr="00A606E7" w:rsidP="00A606E7">
            <w:pPr>
              <w:pStyle w:val="ListBullet2"/>
            </w:pPr>
            <w:r w:rsidRPr="00A606E7">
              <w:t>galley, stores and equipment</w:t>
            </w:r>
          </w:p>
          <w:p w:rsidR="00000000" w:rsidRPr="00A606E7" w:rsidP="00A606E7">
            <w:pPr>
              <w:pStyle w:val="ListBullet2"/>
            </w:pPr>
            <w:r w:rsidRPr="00A606E7">
              <w:t xml:space="preserve">large objects likely to move in a sea way </w:t>
            </w:r>
          </w:p>
          <w:p w:rsidR="00000000" w:rsidRPr="00A606E7" w:rsidP="00A606E7">
            <w:pPr>
              <w:pStyle w:val="ListBullet2"/>
            </w:pPr>
            <w:r w:rsidRPr="00A606E7">
              <w:t>materials on deck and below</w:t>
            </w:r>
          </w:p>
          <w:p w:rsidR="00000000" w:rsidRPr="00A606E7" w:rsidP="00A606E7">
            <w:pPr>
              <w:pStyle w:val="ListBullet2"/>
            </w:pPr>
            <w:r w:rsidRPr="00A606E7">
              <w:t>opening</w:t>
            </w:r>
          </w:p>
          <w:p w:rsidR="00000000" w:rsidRPr="00A606E7" w:rsidP="00A606E7">
            <w:pPr>
              <w:pStyle w:val="ListBullet"/>
            </w:pPr>
            <w:r w:rsidRPr="00A606E7">
              <w:t>refuelling a vessel according to safety regulations and organisational safety management system requirements</w:t>
            </w:r>
          </w:p>
          <w:p w:rsidR="00000000" w:rsidRPr="00A606E7" w:rsidP="00A606E7">
            <w:pPr>
              <w:pStyle w:val="ListBullet"/>
            </w:pPr>
            <w:r w:rsidRPr="00A606E7">
              <w:t>rope types, characteristics and applications, dynamic and non-dynamic, including:</w:t>
            </w:r>
          </w:p>
          <w:p w:rsidR="00000000" w:rsidRPr="00A606E7" w:rsidP="00A606E7">
            <w:pPr>
              <w:pStyle w:val="ListBullet2"/>
            </w:pPr>
            <w:r w:rsidRPr="00A606E7">
              <w:t>braided</w:t>
            </w:r>
          </w:p>
          <w:p w:rsidR="00000000" w:rsidRPr="00A606E7" w:rsidP="00A606E7">
            <w:pPr>
              <w:pStyle w:val="ListBullet2"/>
            </w:pPr>
            <w:r w:rsidRPr="00A606E7">
              <w:t>natural fibre</w:t>
            </w:r>
          </w:p>
          <w:p w:rsidR="00000000" w:rsidRPr="00A606E7" w:rsidP="00A606E7">
            <w:pPr>
              <w:pStyle w:val="ListBullet2"/>
            </w:pPr>
            <w:r w:rsidRPr="00A606E7">
              <w:t>plaited</w:t>
            </w:r>
          </w:p>
          <w:p w:rsidR="00000000" w:rsidRPr="00A606E7" w:rsidP="00A606E7">
            <w:pPr>
              <w:pStyle w:val="ListBullet2"/>
            </w:pPr>
            <w:r w:rsidRPr="00A606E7">
              <w:t>polyester</w:t>
            </w:r>
          </w:p>
          <w:p w:rsidR="00000000" w:rsidRPr="00A606E7" w:rsidP="00A606E7">
            <w:pPr>
              <w:pStyle w:val="ListBullet2"/>
            </w:pPr>
            <w:r w:rsidRPr="00A606E7">
              <w:t xml:space="preserve">wire core rope </w:t>
            </w:r>
          </w:p>
          <w:p w:rsidR="00000000" w:rsidRPr="00A606E7" w:rsidP="00A606E7">
            <w:pPr>
              <w:pStyle w:val="ListBullet2"/>
            </w:pPr>
            <w:r w:rsidRPr="00A606E7">
              <w:t>wire rop</w:t>
            </w:r>
            <w:r w:rsidRPr="00A606E7">
              <w:t>e</w:t>
            </w:r>
          </w:p>
          <w:p w:rsidR="00000000" w:rsidRPr="00A606E7" w:rsidP="00A606E7">
            <w:pPr>
              <w:pStyle w:val="ListBullet"/>
            </w:pPr>
            <w:r w:rsidRPr="00A606E7">
              <w:t>safety precautions and pollution control measures during refuelling</w:t>
            </w:r>
          </w:p>
          <w:p w:rsidR="00000000" w:rsidRPr="00A606E7" w:rsidP="00A606E7">
            <w:pPr>
              <w:pStyle w:val="ListBullet"/>
            </w:pPr>
            <w:r w:rsidRPr="00A606E7">
              <w:t>securing a vessel for sea</w:t>
            </w:r>
          </w:p>
          <w:p w:rsidR="00000000" w:rsidRPr="00A606E7" w:rsidP="00A606E7">
            <w:pPr>
              <w:pStyle w:val="ListBullet"/>
            </w:pPr>
            <w:r w:rsidRPr="00A606E7">
              <w:t>types of anchors used on small vessels up to 12 metres</w:t>
            </w:r>
          </w:p>
          <w:p w:rsidR="00000000" w:rsidRPr="00A606E7" w:rsidP="00A606E7">
            <w:pPr>
              <w:pStyle w:val="ListBullet"/>
            </w:pPr>
            <w:r w:rsidRPr="00A606E7">
              <w:t>WHS/OHS requirements and work practices.</w:t>
            </w:r>
          </w:p>
        </w:tc>
      </w:tr>
    </w:tbl>
    <w:p w:rsidR="00000000" w:rsidRPr="00A606E7" w:rsidP="00A606E7">
      <w:pPr>
        <w:pStyle w:val="NoPaddingFontSize1"/>
      </w:pPr>
    </w:p>
    <w:p w:rsidR="00000000" w:rsidRPr="00A606E7" w:rsidP="00A606E7">
      <w:pPr>
        <w:pStyle w:val="AllowPageBreak"/>
      </w:pPr>
    </w:p>
    <w:p w:rsidR="00000000" w:rsidRPr="00A606E7" w:rsidP="00A606E7">
      <w:pPr>
        <w:pStyle w:val="Heading1"/>
      </w:pPr>
      <w:bookmarkStart w:id="4" w:name="O_1285802"/>
      <w:bookmarkEnd w:id="4"/>
      <w:r w:rsidRPr="00A606E7">
        <w:t>Assessment Conditions</w:t>
      </w:r>
    </w:p>
    <w:tbl>
      <w:tblPr>
        <w:tblW w:w="9497" w:type="dxa"/>
        <w:tblLayout w:type="fixed"/>
        <w:tblCellMar>
          <w:left w:w="62" w:type="dxa"/>
          <w:right w:w="62" w:type="dxa"/>
        </w:tblCellMar>
        <w:tblLook w:val="0000"/>
      </w:tblPr>
      <w:tblGrid>
        <w:gridCol w:w="9497"/>
      </w:tblGrid>
      <w:tr w:rsidTr="00A606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6E7" w:rsidP="00A606E7">
            <w:pPr>
              <w:pStyle w:val="BodyText"/>
            </w:pPr>
            <w:r w:rsidRPr="00A606E7">
              <w:t>Assessors must hold credentials specified within the Standards for Registered Training Organisations current at the time of assessment.</w:t>
            </w:r>
          </w:p>
          <w:p w:rsidR="00000000" w:rsidRPr="00A606E7" w:rsidP="00A606E7">
            <w:pPr>
              <w:pStyle w:val="BodyText"/>
            </w:pPr>
            <w:r w:rsidRPr="00A606E7">
              <w:t xml:space="preserve">Assessment must satisfy the Principles of Assessment and Rules of Evidence and all regulatory </w:t>
            </w:r>
            <w:r w:rsidRPr="00A606E7">
              <w:t>requirements included with</w:t>
            </w:r>
            <w:r w:rsidRPr="00A606E7">
              <w:t>in the Standards for Registered Training Organisations current at the time of assessment.</w:t>
            </w:r>
          </w:p>
          <w:p w:rsidR="00000000" w:rsidRPr="00A606E7" w:rsidP="00A606E7">
            <w:pPr>
              <w:pStyle w:val="BodyText"/>
            </w:pPr>
            <w:r w:rsidRPr="00A606E7">
              <w:t>Assessment processes and techniques must be appropriate to the language, literacy and numeracy requirements of the work being performed and the needs of the candidate</w:t>
            </w:r>
            <w:r w:rsidRPr="00A606E7">
              <w:t>.</w:t>
            </w:r>
          </w:p>
          <w:p w:rsidR="00000000" w:rsidRPr="00A606E7" w:rsidP="00A606E7">
            <w:pPr>
              <w:pStyle w:val="BodyText"/>
            </w:pPr>
            <w:r w:rsidRPr="00A606E7">
              <w:t>Practical assessment must occur in a workplace, or realistic simulated workplace, under the normal range of workplace conditions.</w:t>
            </w:r>
          </w:p>
          <w:p w:rsidR="00000000" w:rsidRPr="00A606E7" w:rsidP="00A606E7">
            <w:pPr>
              <w:pStyle w:val="BodyText"/>
            </w:pPr>
            <w:r w:rsidRPr="00A606E7">
              <w:t>With the exception of whipping, splicing and knot tying, the practical assessment must be undertaken on a vessel greater tha</w:t>
            </w:r>
            <w:r w:rsidRPr="00A606E7">
              <w:t xml:space="preserve">n or equal to 5.0 metres in length. </w:t>
            </w:r>
          </w:p>
          <w:p w:rsidR="00000000" w:rsidRPr="00A606E7" w:rsidP="00A606E7">
            <w:pPr>
              <w:pStyle w:val="BodyText"/>
            </w:pPr>
            <w:r w:rsidRPr="00A606E7">
              <w:t>Simulations and scenarios may be used where situations cannot be provided in the workplace or may occur only rarely, in particular for situations relating to emergency procedures and adverse weather conditions where ass</w:t>
            </w:r>
            <w:r w:rsidRPr="00A606E7">
              <w:t xml:space="preserve">essment would be unsafe, impractical or may lead to environmental damage. </w:t>
            </w:r>
          </w:p>
          <w:p w:rsidR="00000000" w:rsidRPr="00A606E7" w:rsidP="00A606E7">
            <w:pPr>
              <w:pStyle w:val="BodyText"/>
            </w:pPr>
            <w:r w:rsidRPr="00A606E7">
              <w:t>Resources for assessment must include access to:</w:t>
            </w:r>
          </w:p>
          <w:p w:rsidR="00000000" w:rsidRPr="00A606E7" w:rsidP="00A606E7">
            <w:pPr>
              <w:pStyle w:val="ListBullet"/>
            </w:pPr>
            <w:r w:rsidRPr="00A606E7">
              <w:t>applicable documentation, such as legislation, regulations, codes of practice, safety management system, workplace procedures and o</w:t>
            </w:r>
            <w:r w:rsidRPr="00A606E7">
              <w:t xml:space="preserve">perational manuals </w:t>
            </w:r>
          </w:p>
          <w:p w:rsidR="00000000" w:rsidRPr="00A606E7" w:rsidP="00A606E7">
            <w:pPr>
              <w:pStyle w:val="ListBullet"/>
            </w:pPr>
            <w:r w:rsidRPr="00A606E7">
              <w:t xml:space="preserve">a vessel greater than or equal to 5.0 m in length </w:t>
            </w:r>
          </w:p>
          <w:p w:rsidR="00000000" w:rsidRPr="00A606E7" w:rsidP="00A606E7">
            <w:pPr>
              <w:pStyle w:val="ListBullet"/>
            </w:pPr>
            <w:r w:rsidRPr="00A606E7">
              <w:t>tools, equipment, machinery, materials and relevant personal protective equipment (PPE) currently used in industry.</w:t>
            </w:r>
          </w:p>
        </w:tc>
      </w:tr>
    </w:tbl>
    <w:p w:rsidR="00000000" w:rsidRPr="00A606E7" w:rsidP="00A606E7">
      <w:pPr>
        <w:pStyle w:val="NoPaddingFontSize1"/>
      </w:pPr>
    </w:p>
    <w:p w:rsidR="00000000" w:rsidRPr="00A606E7" w:rsidP="00A606E7">
      <w:pPr>
        <w:pStyle w:val="AllowPageBreak"/>
      </w:pPr>
    </w:p>
    <w:p w:rsidR="00000000" w:rsidRPr="00A606E7" w:rsidP="00A606E7">
      <w:pPr>
        <w:pStyle w:val="Heading1"/>
      </w:pPr>
      <w:bookmarkStart w:id="5" w:name="O_1285817"/>
      <w:bookmarkEnd w:id="5"/>
      <w:r w:rsidRPr="00A606E7">
        <w:t>Links</w:t>
      </w:r>
    </w:p>
    <w:p w:rsidR="00000000" w:rsidRPr="00A606E7" w:rsidP="004A4132">
      <w:pPr>
        <w:pStyle w:val="BodyText"/>
      </w:pPr>
      <w:r w:rsidRPr="00A606E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82480">
        <w:rPr>
          <w:rStyle w:val="Hyperlink"/>
        </w:rPr>
        <w:t>https://vetnet.gov.au/Pages/TrainingDocs.aspx?q=772efb7b-4cce-47fe-9bbd-ee3b1d1eb4c2</w:t>
      </w:r>
      <w:r>
        <w:fldChar w:fldCharType="end"/>
      </w:r>
    </w:p>
    <w:p w:rsidR="00000000" w:rsidRPr="00A606E7" w:rsidP="00A606E7"/>
    <w:sectPr w:rsidSect="00A606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E7" w:rsidRPr="004A4132" w:rsidP="004A4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2" w:rsidP="00A60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132" w:rsidP="00A606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4132" w:rsidP="00A60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6E7" w:rsidRPr="004A4132" w:rsidP="004A41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32" w:rsidRPr="002D2AF8" w:rsidP="00A606E7">
    <w:pPr>
      <w:pStyle w:val="Header"/>
      <w:framePr w:wrap="around"/>
    </w:pPr>
    <w:r>
      <w:fldChar w:fldCharType="begin"/>
    </w:r>
    <w:r>
      <w:instrText xml:space="preserve"> TITLE   \* MERGEFORMAT </w:instrText>
    </w:r>
    <w:r>
      <w:fldChar w:fldCharType="separate"/>
    </w:r>
    <w:r>
      <w:t>Assessment Requirements for MARN008 Apply seamanship skills aboard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A4132" w:rsidP="00A60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83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88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07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6E7"/>
    <w:pPr>
      <w:spacing w:before="360" w:after="60"/>
      <w:outlineLvl w:val="0"/>
    </w:pPr>
    <w:rPr>
      <w:sz w:val="32"/>
    </w:rPr>
  </w:style>
  <w:style w:type="paragraph" w:styleId="Heading2">
    <w:name w:val="heading 2"/>
    <w:basedOn w:val="HeadingBase"/>
    <w:next w:val="BodyText"/>
    <w:link w:val="Heading2Char"/>
    <w:qFormat/>
    <w:rsid w:val="00A606E7"/>
    <w:pPr>
      <w:keepLines/>
      <w:spacing w:before="240" w:after="120"/>
      <w:outlineLvl w:val="1"/>
    </w:pPr>
    <w:rPr>
      <w:sz w:val="28"/>
      <w:szCs w:val="40"/>
    </w:rPr>
  </w:style>
  <w:style w:type="paragraph" w:styleId="Heading3">
    <w:name w:val="heading 3"/>
    <w:basedOn w:val="HeadingBase"/>
    <w:next w:val="BodyText"/>
    <w:link w:val="Heading3Char"/>
    <w:qFormat/>
    <w:rsid w:val="00A606E7"/>
    <w:pPr>
      <w:spacing w:before="180" w:after="120"/>
      <w:outlineLvl w:val="2"/>
    </w:pPr>
    <w:rPr>
      <w:spacing w:val="-10"/>
      <w:kern w:val="32"/>
    </w:rPr>
  </w:style>
  <w:style w:type="paragraph" w:styleId="Heading4">
    <w:name w:val="heading 4"/>
    <w:basedOn w:val="HeadingBase"/>
    <w:next w:val="BodyText"/>
    <w:link w:val="Heading4Char"/>
    <w:qFormat/>
    <w:rsid w:val="00A606E7"/>
    <w:pPr>
      <w:spacing w:before="160" w:after="120"/>
      <w:outlineLvl w:val="3"/>
    </w:pPr>
    <w:rPr>
      <w:sz w:val="22"/>
    </w:rPr>
  </w:style>
  <w:style w:type="paragraph" w:styleId="Heading5">
    <w:name w:val="heading 5"/>
    <w:basedOn w:val="HeadingBase"/>
    <w:next w:val="Normal"/>
    <w:link w:val="Heading5Char"/>
    <w:qFormat/>
    <w:rsid w:val="00A606E7"/>
    <w:pPr>
      <w:spacing w:before="80"/>
      <w:outlineLvl w:val="4"/>
    </w:pPr>
    <w:rPr>
      <w:color w:val="918585"/>
      <w:sz w:val="20"/>
    </w:rPr>
  </w:style>
  <w:style w:type="paragraph" w:styleId="Heading6">
    <w:name w:val="heading 6"/>
    <w:basedOn w:val="HeadingBase"/>
    <w:next w:val="Normal"/>
    <w:link w:val="Heading6Char"/>
    <w:qFormat/>
    <w:rsid w:val="00A606E7"/>
    <w:pPr>
      <w:spacing w:before="60"/>
      <w:outlineLvl w:val="5"/>
    </w:pPr>
    <w:rPr>
      <w:color w:val="918585"/>
      <w:sz w:val="20"/>
    </w:rPr>
  </w:style>
  <w:style w:type="paragraph" w:styleId="Heading7">
    <w:name w:val="heading 7"/>
    <w:basedOn w:val="Normal"/>
    <w:next w:val="Normal"/>
    <w:link w:val="Heading7Char"/>
    <w:qFormat/>
    <w:rsid w:val="00A606E7"/>
    <w:pPr>
      <w:ind w:left="720"/>
      <w:outlineLvl w:val="6"/>
    </w:pPr>
    <w:rPr>
      <w:i/>
    </w:rPr>
  </w:style>
  <w:style w:type="paragraph" w:styleId="Heading8">
    <w:name w:val="heading 8"/>
    <w:basedOn w:val="Normal"/>
    <w:next w:val="Normal"/>
    <w:link w:val="Heading8Char"/>
    <w:qFormat/>
    <w:rsid w:val="00A606E7"/>
    <w:pPr>
      <w:ind w:left="720"/>
      <w:outlineLvl w:val="7"/>
    </w:pPr>
    <w:rPr>
      <w:i/>
    </w:rPr>
  </w:style>
  <w:style w:type="paragraph" w:styleId="Heading9">
    <w:name w:val="heading 9"/>
    <w:basedOn w:val="Normal"/>
    <w:next w:val="Normal"/>
    <w:link w:val="Heading9Char"/>
    <w:qFormat/>
    <w:rsid w:val="00A606E7"/>
    <w:pPr>
      <w:ind w:left="720"/>
      <w:outlineLvl w:val="8"/>
    </w:pPr>
    <w:rPr>
      <w:i/>
    </w:rPr>
  </w:style>
  <w:style w:type="character" w:default="1" w:styleId="DefaultParagraphFont">
    <w:name w:val="Default Paragraph Font"/>
    <w:uiPriority w:val="1"/>
    <w:unhideWhenUsed/>
    <w:rsid w:val="00A60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6E7"/>
  </w:style>
  <w:style w:type="character" w:customStyle="1" w:styleId="Heading1Char">
    <w:name w:val="Heading 1 Char"/>
    <w:basedOn w:val="DefaultParagraphFont"/>
    <w:link w:val="Heading1"/>
    <w:rsid w:val="00A606E7"/>
    <w:rPr>
      <w:rFonts w:ascii="Times New Roman" w:eastAsia="Times New Roman" w:hAnsi="Times New Roman" w:cs="Times New Roman"/>
      <w:b/>
      <w:sz w:val="32"/>
      <w:szCs w:val="20"/>
      <w:lang w:eastAsia="en-US"/>
    </w:rPr>
  </w:style>
  <w:style w:type="paragraph" w:styleId="BodyText">
    <w:name w:val="Body Text"/>
    <w:basedOn w:val="Normal"/>
    <w:link w:val="BodyTextChar"/>
    <w:rsid w:val="00A60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6E7"/>
    <w:rPr>
      <w:rFonts w:ascii="Times New Roman" w:eastAsia="Times New Roman" w:hAnsi="Times New Roman" w:cs="Times New Roman"/>
      <w:sz w:val="24"/>
      <w:lang w:eastAsia="en-US"/>
    </w:rPr>
  </w:style>
  <w:style w:type="paragraph" w:styleId="ListBullet">
    <w:name w:val="List Bullet"/>
    <w:basedOn w:val="List"/>
    <w:rsid w:val="00A606E7"/>
    <w:pPr>
      <w:numPr>
        <w:numId w:val="12"/>
      </w:numPr>
      <w:tabs>
        <w:tab w:val="clear" w:pos="340"/>
      </w:tabs>
      <w:spacing w:before="40" w:after="40"/>
    </w:pPr>
  </w:style>
  <w:style w:type="character" w:customStyle="1" w:styleId="SpecialBold">
    <w:name w:val="Special Bold"/>
    <w:basedOn w:val="DefaultParagraphFont"/>
    <w:rsid w:val="00A606E7"/>
    <w:rPr>
      <w:b/>
      <w:spacing w:val="0"/>
    </w:rPr>
  </w:style>
  <w:style w:type="paragraph" w:styleId="ListBullet2">
    <w:name w:val="List Bullet 2"/>
    <w:basedOn w:val="List2"/>
    <w:rsid w:val="00A606E7"/>
    <w:pPr>
      <w:numPr>
        <w:numId w:val="13"/>
      </w:numPr>
      <w:tabs>
        <w:tab w:val="clear" w:pos="680"/>
      </w:tabs>
    </w:pPr>
  </w:style>
  <w:style w:type="paragraph" w:customStyle="1" w:styleId="SuperHeading">
    <w:name w:val="SuperHeading"/>
    <w:basedOn w:val="Normal"/>
    <w:rsid w:val="00A606E7"/>
    <w:pPr>
      <w:spacing w:before="240" w:after="120"/>
      <w:outlineLvl w:val="0"/>
    </w:pPr>
    <w:rPr>
      <w:rFonts w:ascii="Times New Roman" w:hAnsi="Times New Roman"/>
      <w:b/>
      <w:sz w:val="32"/>
    </w:rPr>
  </w:style>
  <w:style w:type="paragraph" w:customStyle="1" w:styleId="AllowPageBreak">
    <w:name w:val="AllowPageBreak"/>
    <w:rsid w:val="00A606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0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6E7"/>
    <w:rPr>
      <w:rFonts w:ascii="Courier New" w:eastAsia="Times New Roman" w:hAnsi="Courier New" w:cs="Times New Roman"/>
      <w:i/>
      <w:szCs w:val="20"/>
      <w:lang w:eastAsia="en-US"/>
    </w:rPr>
  </w:style>
  <w:style w:type="paragraph" w:customStyle="1" w:styleId="HeadingBase">
    <w:name w:val="Heading Base"/>
    <w:rsid w:val="00A60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6E7"/>
    <w:pPr>
      <w:tabs>
        <w:tab w:val="right" w:leader="dot" w:pos="9072"/>
      </w:tabs>
      <w:ind w:left="567"/>
    </w:pPr>
    <w:rPr>
      <w:szCs w:val="22"/>
    </w:rPr>
  </w:style>
  <w:style w:type="paragraph" w:customStyle="1" w:styleId="TOCBase">
    <w:name w:val="TOC Base"/>
    <w:rsid w:val="00A60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6E7"/>
    <w:pPr>
      <w:tabs>
        <w:tab w:val="right" w:leader="dot" w:pos="9072"/>
      </w:tabs>
      <w:spacing w:before="40" w:after="40"/>
      <w:ind w:left="284"/>
    </w:pPr>
    <w:rPr>
      <w:rFonts w:ascii="Times New Roman" w:hAnsi="Times New Roman"/>
    </w:rPr>
  </w:style>
  <w:style w:type="paragraph" w:styleId="TOC1">
    <w:name w:val="toc 1"/>
    <w:basedOn w:val="TOCBase"/>
    <w:next w:val="Normal"/>
    <w:rsid w:val="00A60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6E7"/>
    <w:rPr>
      <w:rFonts w:ascii="Times New Roman" w:eastAsia="Times New Roman" w:hAnsi="Times New Roman" w:cs="Times New Roman"/>
      <w:sz w:val="16"/>
      <w:lang w:eastAsia="en-US"/>
    </w:rPr>
  </w:style>
  <w:style w:type="paragraph" w:styleId="Title">
    <w:name w:val="Title"/>
    <w:basedOn w:val="HeadingBase"/>
    <w:link w:val="TitleChar"/>
    <w:qFormat/>
    <w:rsid w:val="00A606E7"/>
    <w:pPr>
      <w:spacing w:before="5040"/>
      <w:jc w:val="center"/>
    </w:pPr>
    <w:rPr>
      <w:sz w:val="48"/>
      <w:szCs w:val="72"/>
      <w:lang w:val="en-US"/>
    </w:rPr>
  </w:style>
  <w:style w:type="character" w:customStyle="1" w:styleId="TitleChar">
    <w:name w:val="Title Char"/>
    <w:basedOn w:val="DefaultParagraphFont"/>
    <w:link w:val="Title"/>
    <w:rsid w:val="00A60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6E7"/>
    <w:pPr>
      <w:tabs>
        <w:tab w:val="left" w:pos="3600"/>
        <w:tab w:val="left" w:pos="3958"/>
      </w:tabs>
    </w:pPr>
  </w:style>
  <w:style w:type="paragraph" w:styleId="List">
    <w:name w:val="List"/>
    <w:basedOn w:val="BodyText"/>
    <w:next w:val="BodyText"/>
    <w:rsid w:val="00A606E7"/>
    <w:pPr>
      <w:tabs>
        <w:tab w:val="left" w:pos="340"/>
      </w:tabs>
      <w:spacing w:before="60" w:after="60"/>
      <w:ind w:left="340" w:hanging="340"/>
    </w:pPr>
  </w:style>
  <w:style w:type="paragraph" w:customStyle="1" w:styleId="Note">
    <w:name w:val="Note"/>
    <w:basedOn w:val="BodyText"/>
    <w:rsid w:val="00A60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6E7"/>
    <w:pPr>
      <w:framePr w:wrap="auto" w:hAnchor="text" w:y="6049"/>
    </w:pPr>
    <w:rPr>
      <w:color w:val="000000"/>
      <w:sz w:val="40"/>
    </w:rPr>
  </w:style>
  <w:style w:type="paragraph" w:customStyle="1" w:styleId="TOCTitle">
    <w:name w:val="TOCTitle"/>
    <w:basedOn w:val="Heading1"/>
    <w:rsid w:val="00A606E7"/>
    <w:pPr>
      <w:spacing w:after="240"/>
      <w:jc w:val="center"/>
      <w:outlineLvl w:val="9"/>
    </w:pPr>
    <w:rPr>
      <w:caps/>
    </w:rPr>
  </w:style>
  <w:style w:type="paragraph" w:customStyle="1" w:styleId="Version">
    <w:name w:val="Version"/>
    <w:rsid w:val="00A60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6E7"/>
    <w:pPr>
      <w:keepNext w:val="0"/>
      <w:tabs>
        <w:tab w:val="right" w:pos="4176"/>
      </w:tabs>
      <w:ind w:left="198" w:hanging="198"/>
    </w:pPr>
    <w:rPr>
      <w:rFonts w:ascii="Garamond" w:hAnsi="Garamond"/>
    </w:rPr>
  </w:style>
  <w:style w:type="paragraph" w:styleId="IndexHeading">
    <w:name w:val="index heading"/>
    <w:basedOn w:val="Normal"/>
    <w:next w:val="Index1"/>
    <w:semiHidden/>
    <w:rsid w:val="00A606E7"/>
    <w:pPr>
      <w:spacing w:before="120" w:after="120"/>
    </w:pPr>
    <w:rPr>
      <w:rFonts w:ascii="Arial" w:hAnsi="Arial"/>
      <w:b/>
      <w:color w:val="918585"/>
      <w:sz w:val="24"/>
    </w:rPr>
  </w:style>
  <w:style w:type="paragraph" w:styleId="Header">
    <w:name w:val="header"/>
    <w:basedOn w:val="Normal"/>
    <w:link w:val="HeaderChar"/>
    <w:rsid w:val="00A60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6E7"/>
    <w:rPr>
      <w:rFonts w:ascii="Times New Roman" w:eastAsia="Times New Roman" w:hAnsi="Times New Roman" w:cs="Times New Roman"/>
      <w:sz w:val="16"/>
      <w:szCs w:val="20"/>
      <w:lang w:val="en-GB" w:eastAsia="en-US"/>
    </w:rPr>
  </w:style>
  <w:style w:type="paragraph" w:customStyle="1" w:styleId="Chapter">
    <w:name w:val="Chapter"/>
    <w:basedOn w:val="Normal"/>
    <w:rsid w:val="00A606E7"/>
    <w:pPr>
      <w:spacing w:before="240"/>
    </w:pPr>
    <w:rPr>
      <w:rFonts w:ascii="Times New Roman" w:hAnsi="Times New Roman"/>
      <w:smallCaps/>
      <w:spacing w:val="80"/>
      <w:sz w:val="28"/>
    </w:rPr>
  </w:style>
  <w:style w:type="paragraph" w:customStyle="1" w:styleId="InChapter">
    <w:name w:val="InChapter"/>
    <w:basedOn w:val="Heading3"/>
    <w:rsid w:val="00A606E7"/>
    <w:pPr>
      <w:spacing w:after="240"/>
      <w:outlineLvl w:val="9"/>
    </w:pPr>
    <w:rPr>
      <w:noProof/>
    </w:rPr>
  </w:style>
  <w:style w:type="paragraph" w:styleId="Index2">
    <w:name w:val="index 2"/>
    <w:basedOn w:val="Normal"/>
    <w:next w:val="Normal"/>
    <w:semiHidden/>
    <w:rsid w:val="00A606E7"/>
    <w:pPr>
      <w:tabs>
        <w:tab w:val="right" w:pos="4176"/>
      </w:tabs>
      <w:ind w:left="568" w:hanging="284"/>
    </w:pPr>
    <w:rPr>
      <w:rFonts w:ascii="Garamond" w:hAnsi="Garamond"/>
    </w:rPr>
  </w:style>
  <w:style w:type="paragraph" w:customStyle="1" w:styleId="Byline">
    <w:name w:val="Byline"/>
    <w:rsid w:val="00A60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6E7"/>
    <w:pPr>
      <w:tabs>
        <w:tab w:val="clear" w:pos="3600"/>
        <w:tab w:val="clear" w:pos="3958"/>
      </w:tabs>
      <w:jc w:val="right"/>
    </w:pPr>
  </w:style>
  <w:style w:type="character" w:styleId="Emphasis">
    <w:name w:val="Emphasis"/>
    <w:basedOn w:val="DefaultParagraphFont"/>
    <w:qFormat/>
    <w:rsid w:val="00A606E7"/>
    <w:rPr>
      <w:i/>
    </w:rPr>
  </w:style>
  <w:style w:type="paragraph" w:styleId="Caption">
    <w:name w:val="caption"/>
    <w:basedOn w:val="BodyText"/>
    <w:next w:val="Normal"/>
    <w:qFormat/>
    <w:rsid w:val="00A606E7"/>
    <w:pPr>
      <w:framePr w:w="2268" w:hSpace="181" w:vSpace="181" w:wrap="around" w:vAnchor="text" w:hAnchor="page" w:x="1135" w:y="285" w:anchorLock="1"/>
    </w:pPr>
    <w:rPr>
      <w:i/>
    </w:rPr>
  </w:style>
  <w:style w:type="paragraph" w:customStyle="1" w:styleId="MiniTOCTitle">
    <w:name w:val="MiniTOCTitle"/>
    <w:basedOn w:val="Heading4"/>
    <w:rsid w:val="00A606E7"/>
    <w:pPr>
      <w:spacing w:before="240"/>
      <w:outlineLvl w:val="9"/>
    </w:pPr>
    <w:rPr>
      <w:noProof/>
      <w:sz w:val="24"/>
    </w:rPr>
  </w:style>
  <w:style w:type="paragraph" w:customStyle="1" w:styleId="MiniTOCItem">
    <w:name w:val="MiniTOCItem"/>
    <w:basedOn w:val="ListBullet"/>
    <w:rsid w:val="00A606E7"/>
    <w:pPr>
      <w:numPr>
        <w:numId w:val="0"/>
      </w:numPr>
      <w:tabs>
        <w:tab w:val="right" w:leader="dot" w:pos="6521"/>
      </w:tabs>
      <w:spacing w:before="0" w:after="0"/>
    </w:pPr>
  </w:style>
  <w:style w:type="paragraph" w:customStyle="1" w:styleId="TOFTitle">
    <w:name w:val="TOFTitle"/>
    <w:basedOn w:val="TOCTitle"/>
    <w:rsid w:val="00A606E7"/>
  </w:style>
  <w:style w:type="paragraph" w:styleId="TableofFigures">
    <w:name w:val="table of figures"/>
    <w:basedOn w:val="Normal"/>
    <w:next w:val="Normal"/>
    <w:semiHidden/>
    <w:rsid w:val="00A606E7"/>
    <w:pPr>
      <w:tabs>
        <w:tab w:val="right" w:leader="dot" w:pos="9072"/>
      </w:tabs>
      <w:ind w:left="970" w:hanging="403"/>
    </w:pPr>
    <w:rPr>
      <w:rFonts w:ascii="Times New Roman" w:hAnsi="Times New Roman"/>
      <w:b/>
    </w:rPr>
  </w:style>
  <w:style w:type="paragraph" w:styleId="ListNumber">
    <w:name w:val="List Number"/>
    <w:basedOn w:val="List"/>
    <w:rsid w:val="00A606E7"/>
    <w:pPr>
      <w:numPr>
        <w:numId w:val="15"/>
      </w:numPr>
      <w:tabs>
        <w:tab w:val="clear" w:pos="340"/>
      </w:tabs>
    </w:pPr>
  </w:style>
  <w:style w:type="character" w:customStyle="1" w:styleId="WingdingSymbols">
    <w:name w:val="Wingding Symbols"/>
    <w:rsid w:val="00A606E7"/>
    <w:rPr>
      <w:rFonts w:ascii="Wingdings" w:hAnsi="Wingdings"/>
    </w:rPr>
  </w:style>
  <w:style w:type="paragraph" w:customStyle="1" w:styleId="TableHeading">
    <w:name w:val="Table Heading"/>
    <w:basedOn w:val="HeadingBase"/>
    <w:rsid w:val="00A606E7"/>
    <w:pPr>
      <w:keepLines/>
      <w:pBdr>
        <w:bottom w:val="single" w:sz="6" w:space="1" w:color="918585"/>
      </w:pBdr>
      <w:spacing w:before="240"/>
    </w:pPr>
  </w:style>
  <w:style w:type="character" w:customStyle="1" w:styleId="HotSpot">
    <w:name w:val="HotSpot"/>
    <w:rsid w:val="00A606E7"/>
    <w:rPr>
      <w:color w:val="0033CC"/>
      <w:u w:val="none"/>
    </w:rPr>
  </w:style>
  <w:style w:type="paragraph" w:customStyle="1" w:styleId="BodyTextRight">
    <w:name w:val="Body Text Right"/>
    <w:basedOn w:val="BodyText"/>
    <w:rsid w:val="00A606E7"/>
    <w:pPr>
      <w:spacing w:before="0" w:after="0"/>
      <w:jc w:val="right"/>
    </w:pPr>
  </w:style>
  <w:style w:type="paragraph" w:styleId="Index3">
    <w:name w:val="index 3"/>
    <w:basedOn w:val="ListNumber2"/>
    <w:next w:val="Normal"/>
    <w:semiHidden/>
    <w:rsid w:val="00A606E7"/>
    <w:pPr>
      <w:numPr>
        <w:numId w:val="0"/>
      </w:numPr>
      <w:tabs>
        <w:tab w:val="right" w:leader="dot" w:pos="4176"/>
      </w:tabs>
    </w:pPr>
  </w:style>
  <w:style w:type="paragraph" w:styleId="ListNumber2">
    <w:name w:val="List Number 2"/>
    <w:basedOn w:val="List2"/>
    <w:rsid w:val="00A606E7"/>
    <w:pPr>
      <w:numPr>
        <w:numId w:val="10"/>
      </w:numPr>
      <w:tabs>
        <w:tab w:val="clear" w:pos="1060"/>
      </w:tabs>
    </w:pPr>
  </w:style>
  <w:style w:type="paragraph" w:customStyle="1" w:styleId="MarginNote">
    <w:name w:val="Margin Note"/>
    <w:basedOn w:val="BodyText"/>
    <w:rsid w:val="00A60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6E7"/>
    <w:rPr>
      <w:sz w:val="32"/>
    </w:rPr>
  </w:style>
  <w:style w:type="paragraph" w:customStyle="1" w:styleId="HeadingProcedure">
    <w:name w:val="Heading Procedure"/>
    <w:basedOn w:val="HeadingBase"/>
    <w:next w:val="Normal"/>
    <w:rsid w:val="00A606E7"/>
    <w:pPr>
      <w:tabs>
        <w:tab w:val="left" w:pos="0"/>
      </w:tabs>
      <w:spacing w:before="120" w:after="60"/>
    </w:pPr>
    <w:rPr>
      <w:i/>
      <w:color w:val="918585"/>
      <w:sz w:val="22"/>
    </w:rPr>
  </w:style>
  <w:style w:type="paragraph" w:customStyle="1" w:styleId="TableBodyText">
    <w:name w:val="Table Body Text"/>
    <w:basedOn w:val="BodyText"/>
    <w:rsid w:val="00A606E7"/>
    <w:pPr>
      <w:spacing w:before="60" w:after="60"/>
    </w:pPr>
  </w:style>
  <w:style w:type="paragraph" w:styleId="ListContinue">
    <w:name w:val="List Continue"/>
    <w:basedOn w:val="List"/>
    <w:rsid w:val="00A606E7"/>
    <w:pPr>
      <w:ind w:firstLine="0"/>
    </w:pPr>
  </w:style>
  <w:style w:type="paragraph" w:customStyle="1" w:styleId="ListNote">
    <w:name w:val="List Note"/>
    <w:basedOn w:val="List"/>
    <w:rsid w:val="00A606E7"/>
    <w:pPr>
      <w:pBdr>
        <w:top w:val="single" w:sz="6" w:space="2" w:color="918585"/>
        <w:bottom w:val="single" w:sz="6" w:space="2" w:color="918585"/>
      </w:pBdr>
      <w:tabs>
        <w:tab w:val="left" w:pos="1021"/>
      </w:tabs>
      <w:ind w:firstLine="0"/>
    </w:pPr>
  </w:style>
  <w:style w:type="paragraph" w:customStyle="1" w:styleId="Warning">
    <w:name w:val="Warning"/>
    <w:basedOn w:val="BodyText"/>
    <w:rsid w:val="00A606E7"/>
    <w:pPr>
      <w:shd w:val="clear" w:color="auto" w:fill="D9D9D9"/>
      <w:tabs>
        <w:tab w:val="left" w:pos="992"/>
      </w:tabs>
      <w:ind w:left="119" w:right="119"/>
    </w:pPr>
    <w:rPr>
      <w:sz w:val="20"/>
    </w:rPr>
  </w:style>
  <w:style w:type="paragraph" w:customStyle="1" w:styleId="MarginIcons">
    <w:name w:val="Margin Icons"/>
    <w:basedOn w:val="BodyText"/>
    <w:rsid w:val="00A60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6E7"/>
    <w:rPr>
      <w:rFonts w:ascii="Courier New" w:hAnsi="Courier New"/>
    </w:rPr>
  </w:style>
  <w:style w:type="paragraph" w:customStyle="1" w:styleId="NoteBullet">
    <w:name w:val="Note Bullet"/>
    <w:basedOn w:val="Note"/>
    <w:rsid w:val="00A606E7"/>
    <w:pPr>
      <w:tabs>
        <w:tab w:val="clear" w:pos="680"/>
      </w:tabs>
      <w:spacing w:before="60" w:after="60"/>
    </w:pPr>
  </w:style>
  <w:style w:type="paragraph" w:customStyle="1" w:styleId="SubHeading2">
    <w:name w:val="SubHeading2"/>
    <w:basedOn w:val="HeadingBase"/>
    <w:rsid w:val="00A606E7"/>
    <w:pPr>
      <w:spacing w:before="240" w:after="60"/>
    </w:pPr>
    <w:rPr>
      <w:sz w:val="20"/>
    </w:rPr>
  </w:style>
  <w:style w:type="paragraph" w:customStyle="1" w:styleId="SubHeading1">
    <w:name w:val="SubHeading1"/>
    <w:basedOn w:val="HeadingBase"/>
    <w:rsid w:val="00A606E7"/>
    <w:pPr>
      <w:spacing w:before="240" w:after="60"/>
    </w:pPr>
    <w:rPr>
      <w:color w:val="918585"/>
      <w:sz w:val="22"/>
    </w:rPr>
  </w:style>
  <w:style w:type="paragraph" w:customStyle="1" w:styleId="SideHeading">
    <w:name w:val="Side Heading"/>
    <w:basedOn w:val="HeadingBase"/>
    <w:rsid w:val="00A60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6E7"/>
    <w:pPr>
      <w:tabs>
        <w:tab w:val="num" w:pos="360"/>
      </w:tabs>
    </w:pPr>
  </w:style>
  <w:style w:type="paragraph" w:styleId="PlainText">
    <w:name w:val="Plain Text"/>
    <w:basedOn w:val="Normal"/>
    <w:link w:val="PlainTextChar"/>
    <w:rsid w:val="00A606E7"/>
    <w:rPr>
      <w:sz w:val="20"/>
    </w:rPr>
  </w:style>
  <w:style w:type="character" w:customStyle="1" w:styleId="PlainTextChar">
    <w:name w:val="Plain Text Char"/>
    <w:basedOn w:val="DefaultParagraphFont"/>
    <w:link w:val="PlainText"/>
    <w:rsid w:val="00A606E7"/>
    <w:rPr>
      <w:rFonts w:ascii="Courier New" w:eastAsia="Times New Roman" w:hAnsi="Courier New" w:cs="Times New Roman"/>
      <w:sz w:val="20"/>
      <w:szCs w:val="20"/>
      <w:lang w:eastAsia="en-US"/>
    </w:rPr>
  </w:style>
  <w:style w:type="character" w:customStyle="1" w:styleId="MenuOption">
    <w:name w:val="Menu Option"/>
    <w:basedOn w:val="DefaultParagraphFont"/>
    <w:rsid w:val="00A606E7"/>
    <w:rPr>
      <w:b/>
      <w:smallCaps/>
    </w:rPr>
  </w:style>
  <w:style w:type="paragraph" w:customStyle="1" w:styleId="TableListNumber">
    <w:name w:val="Table List Number"/>
    <w:basedOn w:val="ListNumber"/>
    <w:rsid w:val="00A606E7"/>
    <w:pPr>
      <w:numPr>
        <w:numId w:val="0"/>
      </w:numPr>
    </w:pPr>
  </w:style>
  <w:style w:type="paragraph" w:styleId="TOC4">
    <w:name w:val="toc 4"/>
    <w:basedOn w:val="TOCBase"/>
    <w:next w:val="Normal"/>
    <w:semiHidden/>
    <w:rsid w:val="00A606E7"/>
    <w:pPr>
      <w:tabs>
        <w:tab w:val="right" w:leader="dot" w:pos="9071"/>
      </w:tabs>
      <w:ind w:left="1701"/>
    </w:pPr>
  </w:style>
  <w:style w:type="paragraph" w:customStyle="1" w:styleId="ListAlpha">
    <w:name w:val="List Alpha"/>
    <w:basedOn w:val="List"/>
    <w:rsid w:val="00A606E7"/>
    <w:pPr>
      <w:numPr>
        <w:numId w:val="9"/>
      </w:numPr>
    </w:pPr>
  </w:style>
  <w:style w:type="paragraph" w:customStyle="1" w:styleId="ListAlpha2">
    <w:name w:val="List Alpha 2"/>
    <w:basedOn w:val="List2"/>
    <w:rsid w:val="00A606E7"/>
    <w:pPr>
      <w:numPr>
        <w:numId w:val="8"/>
      </w:numPr>
    </w:pPr>
  </w:style>
  <w:style w:type="paragraph" w:styleId="List2">
    <w:name w:val="List 2"/>
    <w:basedOn w:val="BodyText"/>
    <w:rsid w:val="00A606E7"/>
    <w:pPr>
      <w:tabs>
        <w:tab w:val="left" w:pos="680"/>
      </w:tabs>
      <w:spacing w:before="60" w:after="60"/>
      <w:ind w:left="680" w:hanging="340"/>
    </w:pPr>
  </w:style>
  <w:style w:type="paragraph" w:styleId="List3">
    <w:name w:val="List 3"/>
    <w:basedOn w:val="BodyText"/>
    <w:rsid w:val="00A606E7"/>
    <w:pPr>
      <w:tabs>
        <w:tab w:val="left" w:pos="1021"/>
      </w:tabs>
      <w:spacing w:before="60" w:after="60"/>
      <w:ind w:left="1020" w:hanging="340"/>
    </w:pPr>
  </w:style>
  <w:style w:type="paragraph" w:styleId="List4">
    <w:name w:val="List 4"/>
    <w:basedOn w:val="BodyText"/>
    <w:rsid w:val="00A606E7"/>
    <w:pPr>
      <w:tabs>
        <w:tab w:val="left" w:pos="1361"/>
      </w:tabs>
      <w:spacing w:before="60" w:after="60"/>
      <w:ind w:left="1361" w:hanging="340"/>
    </w:pPr>
  </w:style>
  <w:style w:type="paragraph" w:styleId="List5">
    <w:name w:val="List 5"/>
    <w:basedOn w:val="BodyText"/>
    <w:rsid w:val="00A606E7"/>
    <w:pPr>
      <w:tabs>
        <w:tab w:val="left" w:pos="1701"/>
      </w:tabs>
      <w:spacing w:before="60" w:after="60"/>
      <w:ind w:left="1701" w:hanging="340"/>
    </w:pPr>
  </w:style>
  <w:style w:type="paragraph" w:styleId="ListBullet3">
    <w:name w:val="List Bullet 3"/>
    <w:basedOn w:val="List3"/>
    <w:rsid w:val="00A606E7"/>
    <w:pPr>
      <w:numPr>
        <w:numId w:val="14"/>
      </w:numPr>
      <w:tabs>
        <w:tab w:val="clear" w:pos="1021"/>
      </w:tabs>
      <w:ind w:left="1037" w:hanging="357"/>
    </w:pPr>
  </w:style>
  <w:style w:type="paragraph" w:styleId="ListBullet4">
    <w:name w:val="List Bullet 4"/>
    <w:basedOn w:val="List4"/>
    <w:rsid w:val="00A606E7"/>
    <w:pPr>
      <w:numPr>
        <w:numId w:val="3"/>
      </w:numPr>
      <w:tabs>
        <w:tab w:val="clear" w:pos="1361"/>
      </w:tabs>
    </w:pPr>
  </w:style>
  <w:style w:type="paragraph" w:styleId="ListBullet5">
    <w:name w:val="List Bullet 5"/>
    <w:basedOn w:val="List5"/>
    <w:rsid w:val="00A606E7"/>
    <w:pPr>
      <w:numPr>
        <w:numId w:val="4"/>
      </w:numPr>
    </w:pPr>
  </w:style>
  <w:style w:type="paragraph" w:styleId="ListContinue2">
    <w:name w:val="List Continue 2"/>
    <w:basedOn w:val="List2"/>
    <w:rsid w:val="00A606E7"/>
    <w:pPr>
      <w:ind w:firstLine="0"/>
    </w:pPr>
  </w:style>
  <w:style w:type="paragraph" w:styleId="ListContinue3">
    <w:name w:val="List Continue 3"/>
    <w:basedOn w:val="List3"/>
    <w:rsid w:val="00A606E7"/>
    <w:pPr>
      <w:ind w:left="1021" w:firstLine="0"/>
    </w:pPr>
  </w:style>
  <w:style w:type="paragraph" w:styleId="ListContinue4">
    <w:name w:val="List Continue 4"/>
    <w:basedOn w:val="List4"/>
    <w:rsid w:val="00A606E7"/>
    <w:pPr>
      <w:ind w:firstLine="0"/>
    </w:pPr>
  </w:style>
  <w:style w:type="paragraph" w:styleId="ListContinue5">
    <w:name w:val="List Continue 5"/>
    <w:basedOn w:val="List5"/>
    <w:rsid w:val="00A606E7"/>
    <w:pPr>
      <w:ind w:firstLine="0"/>
    </w:pPr>
  </w:style>
  <w:style w:type="paragraph" w:styleId="ListNumber3">
    <w:name w:val="List Number 3"/>
    <w:basedOn w:val="List3"/>
    <w:rsid w:val="00A606E7"/>
    <w:pPr>
      <w:numPr>
        <w:numId w:val="5"/>
      </w:numPr>
    </w:pPr>
  </w:style>
  <w:style w:type="paragraph" w:styleId="ListNumber4">
    <w:name w:val="List Number 4"/>
    <w:basedOn w:val="List4"/>
    <w:rsid w:val="00A606E7"/>
    <w:pPr>
      <w:numPr>
        <w:numId w:val="6"/>
      </w:numPr>
    </w:pPr>
  </w:style>
  <w:style w:type="paragraph" w:styleId="ListNumber5">
    <w:name w:val="List Number 5"/>
    <w:basedOn w:val="List5"/>
    <w:rsid w:val="00A606E7"/>
    <w:pPr>
      <w:numPr>
        <w:numId w:val="7"/>
      </w:numPr>
    </w:pPr>
  </w:style>
  <w:style w:type="paragraph" w:styleId="BlockText">
    <w:name w:val="Block Text"/>
    <w:basedOn w:val="Normal"/>
    <w:rsid w:val="00A606E7"/>
    <w:pPr>
      <w:spacing w:after="120"/>
      <w:ind w:left="1440" w:right="1440"/>
    </w:pPr>
  </w:style>
  <w:style w:type="character" w:customStyle="1" w:styleId="Subscript">
    <w:name w:val="Subscript"/>
    <w:basedOn w:val="DefaultParagraphFont"/>
    <w:rsid w:val="00A606E7"/>
    <w:rPr>
      <w:sz w:val="16"/>
      <w:vertAlign w:val="subscript"/>
    </w:rPr>
  </w:style>
  <w:style w:type="character" w:customStyle="1" w:styleId="Superscript">
    <w:name w:val="Superscript"/>
    <w:basedOn w:val="DefaultParagraphFont"/>
    <w:rsid w:val="00A606E7"/>
    <w:rPr>
      <w:sz w:val="16"/>
      <w:vertAlign w:val="superscript"/>
    </w:rPr>
  </w:style>
  <w:style w:type="character" w:customStyle="1" w:styleId="Symbols">
    <w:name w:val="Symbols"/>
    <w:basedOn w:val="DefaultParagraphFont"/>
    <w:rsid w:val="00A606E7"/>
    <w:rPr>
      <w:rFonts w:ascii="Symbol" w:hAnsi="Symbol"/>
    </w:rPr>
  </w:style>
  <w:style w:type="character" w:customStyle="1" w:styleId="MenuOptions">
    <w:name w:val="Menu Options"/>
    <w:basedOn w:val="DefaultParagraphFont"/>
    <w:rsid w:val="00A606E7"/>
    <w:rPr>
      <w:rFonts w:ascii="Arial Narrow" w:hAnsi="Arial Narrow"/>
      <w:smallCaps/>
    </w:rPr>
  </w:style>
  <w:style w:type="character" w:customStyle="1" w:styleId="Buttons">
    <w:name w:val="Buttons"/>
    <w:basedOn w:val="DefaultParagraphFont"/>
    <w:rsid w:val="00A606E7"/>
    <w:rPr>
      <w:b/>
    </w:rPr>
  </w:style>
  <w:style w:type="character" w:customStyle="1" w:styleId="Underlined">
    <w:name w:val="Underlined"/>
    <w:basedOn w:val="DefaultParagraphFont"/>
    <w:rsid w:val="00A606E7"/>
    <w:rPr>
      <w:u w:val="single"/>
    </w:rPr>
  </w:style>
  <w:style w:type="paragraph" w:customStyle="1" w:styleId="TableBodyTextRight">
    <w:name w:val="Table Body Text Right"/>
    <w:basedOn w:val="TableBodyText"/>
    <w:rsid w:val="00A606E7"/>
    <w:pPr>
      <w:widowControl w:val="0"/>
      <w:autoSpaceDE w:val="0"/>
      <w:autoSpaceDN w:val="0"/>
      <w:adjustRightInd w:val="0"/>
      <w:jc w:val="right"/>
    </w:pPr>
    <w:rPr>
      <w:rFonts w:cs="Arial"/>
      <w:szCs w:val="18"/>
    </w:rPr>
  </w:style>
  <w:style w:type="paragraph" w:customStyle="1" w:styleId="CopyrightText">
    <w:name w:val="Copyright Text"/>
    <w:basedOn w:val="BodyText"/>
    <w:rsid w:val="00A606E7"/>
    <w:rPr>
      <w:sz w:val="18"/>
    </w:rPr>
  </w:style>
  <w:style w:type="paragraph" w:customStyle="1" w:styleId="BodySmallRight">
    <w:name w:val="Body Small Right"/>
    <w:basedOn w:val="BodyTextRight"/>
    <w:rsid w:val="00A606E7"/>
    <w:rPr>
      <w:sz w:val="18"/>
      <w:szCs w:val="18"/>
    </w:rPr>
  </w:style>
  <w:style w:type="paragraph" w:customStyle="1" w:styleId="MarginEdition">
    <w:name w:val="Margin Edition"/>
    <w:basedOn w:val="MarginNote"/>
    <w:rsid w:val="00A606E7"/>
    <w:pPr>
      <w:spacing w:before="0" w:after="0"/>
    </w:pPr>
    <w:rPr>
      <w:rFonts w:ascii="Times New Roman" w:hAnsi="Times New Roman"/>
      <w:color w:val="999999"/>
    </w:rPr>
  </w:style>
  <w:style w:type="paragraph" w:customStyle="1" w:styleId="Spacer">
    <w:name w:val="Spacer"/>
    <w:basedOn w:val="Normal"/>
    <w:rsid w:val="00A606E7"/>
    <w:rPr>
      <w:sz w:val="2"/>
      <w:szCs w:val="2"/>
    </w:rPr>
  </w:style>
  <w:style w:type="character" w:customStyle="1" w:styleId="Small">
    <w:name w:val="Small"/>
    <w:basedOn w:val="DefaultParagraphFont"/>
    <w:rsid w:val="00A606E7"/>
    <w:rPr>
      <w:sz w:val="16"/>
    </w:rPr>
  </w:style>
  <w:style w:type="paragraph" w:customStyle="1" w:styleId="WideTable">
    <w:name w:val="Wide Table"/>
    <w:basedOn w:val="Normal"/>
    <w:rsid w:val="00A606E7"/>
    <w:pPr>
      <w:ind w:left="-1418"/>
    </w:pPr>
    <w:rPr>
      <w:sz w:val="2"/>
      <w:szCs w:val="2"/>
    </w:rPr>
  </w:style>
  <w:style w:type="character" w:styleId="PageNumber">
    <w:name w:val="page number"/>
    <w:basedOn w:val="DefaultParagraphFont"/>
    <w:rsid w:val="00A606E7"/>
  </w:style>
  <w:style w:type="paragraph" w:styleId="Quote">
    <w:name w:val="Quote"/>
    <w:basedOn w:val="Heading1"/>
    <w:link w:val="QuoteChar"/>
    <w:qFormat/>
    <w:rsid w:val="00A606E7"/>
    <w:rPr>
      <w:b w:val="0"/>
      <w:sz w:val="72"/>
      <w:szCs w:val="72"/>
      <w:lang w:val="en-NZ"/>
    </w:rPr>
  </w:style>
  <w:style w:type="character" w:customStyle="1" w:styleId="QuoteChar">
    <w:name w:val="Quote Char"/>
    <w:basedOn w:val="DefaultParagraphFont"/>
    <w:link w:val="Quote"/>
    <w:rsid w:val="00A60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6E7"/>
    <w:pPr>
      <w:pageBreakBefore/>
    </w:pPr>
  </w:style>
  <w:style w:type="paragraph" w:customStyle="1" w:styleId="Border">
    <w:name w:val="Border"/>
    <w:basedOn w:val="Normal"/>
    <w:qFormat/>
    <w:rsid w:val="00A60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6E7"/>
    <w:rPr>
      <w:b/>
      <w:bCs/>
      <w:i/>
      <w:iCs/>
      <w:color w:val="auto"/>
    </w:rPr>
  </w:style>
  <w:style w:type="paragraph" w:styleId="IntenseQuote">
    <w:name w:val="Intense Quote"/>
    <w:basedOn w:val="Normal"/>
    <w:next w:val="Normal"/>
    <w:link w:val="IntenseQuoteChar"/>
    <w:uiPriority w:val="30"/>
    <w:qFormat/>
    <w:rsid w:val="00A60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6E7"/>
    <w:rPr>
      <w:smallCaps/>
      <w:color w:val="auto"/>
      <w:u w:val="single"/>
    </w:rPr>
  </w:style>
  <w:style w:type="character" w:styleId="IntenseReference">
    <w:name w:val="Intense Reference"/>
    <w:basedOn w:val="DefaultParagraphFont"/>
    <w:uiPriority w:val="32"/>
    <w:qFormat/>
    <w:rsid w:val="00A606E7"/>
    <w:rPr>
      <w:b/>
      <w:bCs/>
      <w:smallCaps/>
      <w:color w:val="auto"/>
      <w:spacing w:val="5"/>
      <w:u w:val="single"/>
    </w:rPr>
  </w:style>
  <w:style w:type="paragraph" w:customStyle="1" w:styleId="2ColumnHeading">
    <w:name w:val="2Column Heading"/>
    <w:basedOn w:val="BodyText"/>
    <w:qFormat/>
    <w:rsid w:val="00A606E7"/>
    <w:pPr>
      <w:spacing w:after="60"/>
      <w:ind w:left="-2268"/>
    </w:pPr>
    <w:rPr>
      <w:b/>
    </w:rPr>
  </w:style>
  <w:style w:type="paragraph" w:customStyle="1" w:styleId="Heading1TOC">
    <w:name w:val="Heading1 TOC"/>
    <w:basedOn w:val="Normal"/>
    <w:qFormat/>
    <w:rsid w:val="00A606E7"/>
    <w:pPr>
      <w:spacing w:before="240" w:after="120"/>
    </w:pPr>
    <w:rPr>
      <w:rFonts w:ascii="Times New Roman" w:hAnsi="Times New Roman"/>
      <w:b/>
      <w:sz w:val="32"/>
    </w:rPr>
  </w:style>
  <w:style w:type="paragraph" w:customStyle="1" w:styleId="Heading2TOC">
    <w:name w:val="Heading2 TOC"/>
    <w:basedOn w:val="Normal"/>
    <w:qFormat/>
    <w:rsid w:val="00A606E7"/>
    <w:pPr>
      <w:spacing w:before="240" w:after="60"/>
    </w:pPr>
    <w:rPr>
      <w:rFonts w:ascii="Times New Roman" w:hAnsi="Times New Roman"/>
      <w:b/>
      <w:sz w:val="28"/>
    </w:rPr>
  </w:style>
  <w:style w:type="character" w:customStyle="1" w:styleId="Underline">
    <w:name w:val="Underline"/>
    <w:basedOn w:val="DefaultParagraphFont"/>
    <w:qFormat/>
    <w:rsid w:val="00A606E7"/>
    <w:rPr>
      <w:u w:val="single"/>
    </w:rPr>
  </w:style>
  <w:style w:type="character" w:customStyle="1" w:styleId="BoldandItalics">
    <w:name w:val="Bold and Italics"/>
    <w:qFormat/>
    <w:rsid w:val="00A606E7"/>
    <w:rPr>
      <w:b/>
      <w:i/>
      <w:u w:val="none"/>
    </w:rPr>
  </w:style>
  <w:style w:type="paragraph" w:styleId="BalloonText">
    <w:name w:val="Balloon Text"/>
    <w:basedOn w:val="Normal"/>
    <w:link w:val="BalloonTextChar"/>
    <w:rsid w:val="00A606E7"/>
    <w:rPr>
      <w:rFonts w:ascii="Tahoma" w:hAnsi="Tahoma" w:cs="Tahoma"/>
      <w:sz w:val="16"/>
      <w:szCs w:val="16"/>
    </w:rPr>
  </w:style>
  <w:style w:type="character" w:customStyle="1" w:styleId="BalloonTextChar">
    <w:name w:val="Balloon Text Char"/>
    <w:basedOn w:val="DefaultParagraphFont"/>
    <w:link w:val="BalloonText"/>
    <w:rsid w:val="00A60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6E7"/>
    <w:rPr>
      <w:b/>
      <w:color w:val="660033"/>
      <w:spacing w:val="0"/>
    </w:rPr>
  </w:style>
  <w:style w:type="paragraph" w:customStyle="1" w:styleId="Nameditemlist">
    <w:name w:val="Named item list"/>
    <w:basedOn w:val="BodyText"/>
    <w:qFormat/>
    <w:rsid w:val="00A606E7"/>
    <w:pPr>
      <w:tabs>
        <w:tab w:val="left" w:pos="2835"/>
      </w:tabs>
      <w:ind w:left="2835" w:hanging="2835"/>
    </w:pPr>
  </w:style>
  <w:style w:type="paragraph" w:customStyle="1" w:styleId="BodyTextnopadding">
    <w:name w:val="Body Text no padding"/>
    <w:basedOn w:val="BodyText"/>
    <w:qFormat/>
    <w:rsid w:val="00A606E7"/>
    <w:pPr>
      <w:spacing w:before="0" w:after="0"/>
    </w:pPr>
  </w:style>
  <w:style w:type="paragraph" w:customStyle="1" w:styleId="BodyTextBold">
    <w:name w:val="Body Text Bold"/>
    <w:basedOn w:val="BodyText"/>
    <w:qFormat/>
    <w:rsid w:val="00A606E7"/>
    <w:rPr>
      <w:b/>
    </w:rPr>
  </w:style>
  <w:style w:type="character" w:styleId="Hyperlink">
    <w:name w:val="Hyperlink"/>
    <w:basedOn w:val="DefaultParagraphFont"/>
    <w:uiPriority w:val="99"/>
    <w:unhideWhenUsed/>
    <w:rsid w:val="004A41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4397</Characters>
  <Application>Microsoft Office Word</Application>
  <DocSecurity>0</DocSecurity>
  <Lines>112</Lines>
  <Paragraphs>88</Paragraphs>
  <ScaleCrop>false</ScaleCrop>
  <Company>Author-it Software Corporation Ltd.</Company>
  <LinksUpToDate>false</LinksUpToDate>
  <CharactersWithSpaces>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MARN008 Apply seamanship skills aboard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