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189" w:rsidP="00D441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MARN007 Use seamanship skills on board a vessel</w:t>
      </w:r>
      <w:r>
        <w:fldChar w:fldCharType="end"/>
      </w:r>
    </w:p>
    <w:p w:rsidR="00D44189" w:rsidP="00D44189">
      <w:pPr>
        <w:pStyle w:val="Version"/>
        <w:sectPr w:rsidSect="008028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85A" w:rsidP="0080285A">
      <w:pPr>
        <w:pStyle w:val="SuperHeading"/>
      </w:pPr>
      <w:r w:rsidRPr="0080285A">
        <w:t>MARN007 Use seamanship skills on board a vessel</w:t>
      </w:r>
    </w:p>
    <w:p w:rsidR="00000000" w:rsidRPr="0080285A" w:rsidP="0080285A">
      <w:pPr>
        <w:pStyle w:val="Heading1"/>
      </w:pPr>
      <w:bookmarkStart w:id="1" w:name="O_845417"/>
      <w:bookmarkEnd w:id="1"/>
      <w:r w:rsidRPr="0080285A">
        <w:t>Modification History</w:t>
      </w:r>
    </w:p>
    <w:p w:rsidR="00D44189" w:rsidP="00D44189">
      <w:pPr>
        <w:pStyle w:val="BodyText"/>
      </w:pPr>
      <w:r w:rsidRPr="0080285A">
        <w:t>Release 1. New unit of competency.</w:t>
      </w:r>
    </w:p>
    <w:p w:rsidR="00000000" w:rsidRPr="0080285A" w:rsidP="0080285A">
      <w:pPr>
        <w:pStyle w:val="Heading1"/>
      </w:pPr>
      <w:bookmarkStart w:id="2" w:name="O_845418"/>
      <w:bookmarkEnd w:id="2"/>
      <w:r w:rsidRPr="0080285A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02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BodyText"/>
            </w:pPr>
            <w:r w:rsidRPr="0080285A">
              <w:t>This unit involves the skills and knowledge required to apply practical seamanship skills as part of operations on a vessel.</w:t>
            </w:r>
          </w:p>
          <w:p w:rsidR="00000000" w:rsidRPr="0080285A" w:rsidP="0080285A">
            <w:pPr>
              <w:pStyle w:val="BodyText"/>
            </w:pPr>
            <w:r w:rsidRPr="0080285A">
              <w:t>This unit applies to an Integrated Ra</w:t>
            </w:r>
            <w:r w:rsidRPr="0080285A">
              <w:t>ting or Able Seafarer-Engine/Deck who assists the responsible officer in a range of seamanship activities on a range of vessels.</w:t>
            </w:r>
          </w:p>
          <w:p w:rsidR="00000000" w:rsidRPr="0080285A" w:rsidP="0080285A">
            <w:pPr>
              <w:pStyle w:val="BodyText"/>
            </w:pPr>
            <w:r w:rsidRPr="0080285A">
              <w:t>No licensing, legislative or certification requirements apply to this unit at the time of publication.</w:t>
            </w:r>
          </w:p>
        </w:tc>
      </w:tr>
    </w:tbl>
    <w:p w:rsidR="00D44189" w:rsidP="0080285A">
      <w:pPr>
        <w:pStyle w:val="BodyText"/>
      </w:pPr>
    </w:p>
    <w:p w:rsidR="00D44189" w:rsidP="0080285A">
      <w:pPr>
        <w:pStyle w:val="BodyText"/>
      </w:pPr>
    </w:p>
    <w:p w:rsidR="00000000" w:rsidRPr="0080285A" w:rsidP="0080285A">
      <w:pPr>
        <w:pStyle w:val="Heading1"/>
      </w:pPr>
      <w:bookmarkStart w:id="3" w:name="O_845419"/>
      <w:bookmarkEnd w:id="3"/>
      <w:r w:rsidRPr="0080285A">
        <w:t>Pre-</w:t>
      </w:r>
      <w:r w:rsidRPr="0080285A">
        <w:t>requisite Unit</w:t>
      </w:r>
    </w:p>
    <w:p w:rsidR="00D44189" w:rsidP="00D44189">
      <w:pPr>
        <w:pStyle w:val="BodyText"/>
      </w:pPr>
      <w:r w:rsidRPr="0080285A">
        <w:t>Not applicable.</w:t>
      </w:r>
    </w:p>
    <w:p w:rsidR="00000000" w:rsidRPr="0080285A" w:rsidP="0080285A">
      <w:pPr>
        <w:pStyle w:val="Heading1"/>
      </w:pPr>
      <w:bookmarkStart w:id="4" w:name="O_845420"/>
      <w:bookmarkEnd w:id="4"/>
      <w:r w:rsidRPr="0080285A">
        <w:t>Competency Field</w:t>
      </w:r>
    </w:p>
    <w:p w:rsidR="00D44189" w:rsidP="00D44189">
      <w:pPr>
        <w:pStyle w:val="BodyText"/>
      </w:pPr>
      <w:r w:rsidRPr="0080285A">
        <w:t>N – Seamanship</w:t>
      </w:r>
    </w:p>
    <w:p w:rsidR="00000000" w:rsidRPr="0080285A" w:rsidP="0080285A">
      <w:pPr>
        <w:pStyle w:val="Heading1"/>
      </w:pPr>
      <w:bookmarkStart w:id="5" w:name="O_845421"/>
      <w:bookmarkEnd w:id="5"/>
      <w:r w:rsidRPr="0080285A">
        <w:t>Unit Sector</w:t>
      </w:r>
    </w:p>
    <w:p w:rsidR="00D44189" w:rsidP="00D44189">
      <w:pPr>
        <w:pStyle w:val="BodyText"/>
      </w:pPr>
      <w:r w:rsidRPr="0080285A">
        <w:t>Not applicable.</w:t>
      </w:r>
    </w:p>
    <w:p w:rsidR="00000000" w:rsidRPr="0080285A" w:rsidP="0080285A">
      <w:pPr>
        <w:pStyle w:val="Heading1"/>
      </w:pPr>
      <w:bookmarkStart w:id="6" w:name="O_845422"/>
      <w:bookmarkEnd w:id="6"/>
      <w:r w:rsidRPr="0080285A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BodyText"/>
            </w:pPr>
            <w:r w:rsidRPr="0080285A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rPr>
                <w:rStyle w:val="SpecialBold"/>
              </w:rPr>
              <w:t>PERFORMANCE CRITERIA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Performance criteria describe the performance needed to demonstrate achievement of the element.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BodyText"/>
            </w:pPr>
            <w:r w:rsidRPr="0080285A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rPr>
                <w:rStyle w:val="SpecialBold"/>
              </w:rPr>
              <w:t>Use and maintain ropes and wires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Knots, splices, stoppers, whippings and servings are created and used in the course of operations on board a vessel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Ropes are spliced neatly and securely according to their correct application and rope ends are whipped as required to maintain good condition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Breaking strain and safe working loads of rope and wire is determined and applied as load limits in the</w:t>
            </w:r>
            <w:r w:rsidRPr="0080285A">
              <w:t xml:space="preserve"> course of operations on board a vessel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 xml:space="preserve">Wear and damage to rope and wire are identified and recorded 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Rope and wire are maintained and stored according to organisational procedures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BodyText"/>
            </w:pPr>
            <w:r w:rsidRPr="0080285A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rPr>
                <w:rStyle w:val="SpecialBold"/>
              </w:rPr>
              <w:t>Secure vessel at anchor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 xml:space="preserve">Anchor and equipment are prepared for use according to organisational procedures 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Control of cable is maintained within safe operating limits during anchoring operations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 xml:space="preserve">Anchor and equipment are secured on completion of anchoring operations as instructed for anticipated forecast conditions 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Anchoring area is kept free of loose ropes, wires and debris during all operations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BodyText"/>
            </w:pPr>
            <w:r w:rsidRPr="0080285A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rPr>
                <w:rStyle w:val="SpecialBold"/>
              </w:rPr>
              <w:t>Secure vessel at a berth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Mooring line</w:t>
            </w:r>
            <w:r w:rsidRPr="0080285A">
              <w:t>s and associated equipment are handled safely at all times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Mooring area is kept free of loose ropes, wires and debris throughout operations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Rope stoppers are correctly applied to transfer mooring lines when securing vessel or tug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Securing a tug using tug or ships lines is carried out safely and tug lines are monitored at all times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Tension on ropes is maintained at an appropriate level for stage and nature of the operation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Tension on shore-power leads and other umbilicals is monitored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BodyText"/>
            </w:pPr>
            <w:r w:rsidRPr="0080285A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rPr>
                <w:rStyle w:val="SpecialBold"/>
              </w:rPr>
              <w:t>Lash and secure stores, cargo and access ways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Lashing equipment is inspected, maintained and correctly stored after use according to organisational procedures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 xml:space="preserve">Cargo is stowed according to recognised principles and organisational procedures relating to transporting and </w:t>
            </w:r>
            <w:r w:rsidRPr="0080285A">
              <w:t>handling dangerous goods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Cargo is lashed and secured according to recognised principles and organisational procedures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 xml:space="preserve">Equipment and </w:t>
            </w:r>
            <w:r w:rsidRPr="0080285A">
              <w:t>items on deck and in galley spaces are secured according to organisational procedures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Personnel access ways are rigged and secured according to organisational procedures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Accommodation spaces and personnel facilities on board vessel are checked and correctly secured for sea according to organisational procedures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BodyText"/>
            </w:pPr>
            <w:r w:rsidRPr="0080285A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rPr>
                <w:rStyle w:val="SpecialBold"/>
              </w:rPr>
              <w:t>Conduct fuelling and oil transfer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Appropriate personal protective equipment is accessed and use</w:t>
            </w:r>
            <w:r w:rsidRPr="0080285A">
              <w:t>d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 xml:space="preserve">Safety boundary for fuelling and transferring operations is established 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Spill prevention systems are correctly deployed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Tank levels are correctly measured and reported pre- and post</w:t>
            </w:r>
            <w:r w:rsidRPr="0080285A">
              <w:noBreakHyphen/>
              <w:t xml:space="preserve">fuelling and transferring operations 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Fuelling and transferring operations are performed safely, and associated valves and pipelines are secured on completion to avoid spillages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Appropriate action is taken to handle incidents arising during fuelling and transferring operations according</w:t>
            </w:r>
            <w:r w:rsidRPr="0080285A">
              <w:t xml:space="preserve"> to organisational procedures and regulatory requirements</w:t>
            </w:r>
          </w:p>
        </w:tc>
      </w:tr>
      <w:tr w:rsidTr="00D441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BodyText"/>
            </w:pPr>
            <w:r w:rsidRPr="0080285A">
              <w:t>Effective communication is maintained with crew during fuelling and transferring operations to ensure the safety and integrity of the vessel and crew</w:t>
            </w:r>
          </w:p>
        </w:tc>
      </w:tr>
    </w:tbl>
    <w:p w:rsidR="00D44189" w:rsidP="0080285A">
      <w:pPr>
        <w:pStyle w:val="BodyText"/>
      </w:pPr>
    </w:p>
    <w:p w:rsidR="00D44189" w:rsidP="0080285A">
      <w:pPr>
        <w:pStyle w:val="BodyText"/>
      </w:pPr>
    </w:p>
    <w:p w:rsidR="00000000" w:rsidRPr="0080285A" w:rsidP="0080285A">
      <w:pPr>
        <w:pStyle w:val="Heading1"/>
      </w:pPr>
      <w:bookmarkStart w:id="7" w:name="O_845423"/>
      <w:bookmarkEnd w:id="7"/>
      <w:r w:rsidRPr="0080285A">
        <w:t>Foundation Skills</w:t>
      </w:r>
    </w:p>
    <w:p w:rsidR="00D44189" w:rsidP="00D44189">
      <w:pPr>
        <w:pStyle w:val="BodyText"/>
      </w:pPr>
      <w:r w:rsidRPr="0080285A">
        <w:t>Fou</w:t>
      </w:r>
      <w:r w:rsidRPr="0080285A">
        <w:t>ndation skills essential to performance are explicit in the performance criteria of this unit of competency.</w:t>
      </w:r>
    </w:p>
    <w:p w:rsidR="00000000" w:rsidRPr="0080285A" w:rsidP="0080285A">
      <w:pPr>
        <w:pStyle w:val="Heading1"/>
      </w:pPr>
      <w:bookmarkStart w:id="8" w:name="O_845424"/>
      <w:bookmarkEnd w:id="8"/>
      <w:r w:rsidRPr="0080285A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02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BodyText"/>
            </w:pPr>
            <w:r w:rsidRPr="0080285A">
              <w:t>Range is restricted to essential operating conditions and any other variables essential to the work environment.</w:t>
            </w:r>
          </w:p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Non-essential conditions can be found in the Companion Volume Implementation Guide.</w:t>
            </w:r>
          </w:p>
        </w:tc>
      </w:tr>
      <w:tr w:rsidTr="00802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Anchor and equipment include one or more of the following</w:t>
            </w:r>
            <w:r w:rsidRPr="0080285A">
              <w:t>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ListBullet"/>
            </w:pPr>
            <w:r w:rsidRPr="0080285A">
              <w:t>anchors and cables</w:t>
            </w:r>
          </w:p>
          <w:p w:rsidR="00000000" w:rsidRPr="0080285A" w:rsidP="0080285A">
            <w:pPr>
              <w:pStyle w:val="ListBullet"/>
            </w:pPr>
            <w:r w:rsidRPr="0080285A">
              <w:t>anchor buoy</w:t>
            </w:r>
          </w:p>
          <w:p w:rsidR="00000000" w:rsidRPr="0080285A" w:rsidP="0080285A">
            <w:pPr>
              <w:pStyle w:val="ListBullet"/>
            </w:pPr>
            <w:r w:rsidRPr="0080285A">
              <w:t>anchor securing arrangements</w:t>
            </w:r>
          </w:p>
          <w:p w:rsidR="00000000" w:rsidRPr="0080285A" w:rsidP="0080285A">
            <w:pPr>
              <w:pStyle w:val="ListBullet"/>
            </w:pPr>
            <w:r w:rsidRPr="0080285A">
              <w:t xml:space="preserve">anchor windlass </w:t>
            </w:r>
          </w:p>
          <w:p w:rsidR="00000000" w:rsidP="0080285A">
            <w:pPr>
              <w:pStyle w:val="ListBullet"/>
              <w:rPr>
                <w:lang w:val="en-NZ"/>
              </w:rPr>
            </w:pPr>
            <w:r w:rsidRPr="0080285A">
              <w:t>sea anchor</w:t>
            </w:r>
          </w:p>
        </w:tc>
      </w:tr>
      <w:tr w:rsidTr="00802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Lashing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ListBullet"/>
            </w:pPr>
            <w:r w:rsidRPr="0080285A">
              <w:t>chains</w:t>
            </w:r>
          </w:p>
          <w:p w:rsidR="00000000" w:rsidRPr="0080285A" w:rsidP="0080285A">
            <w:pPr>
              <w:pStyle w:val="ListBullet"/>
            </w:pPr>
            <w:r w:rsidRPr="0080285A">
              <w:t>ropes</w:t>
            </w:r>
          </w:p>
          <w:p w:rsidR="00000000" w:rsidRPr="0080285A" w:rsidP="0080285A">
            <w:pPr>
              <w:pStyle w:val="ListBullet"/>
            </w:pPr>
            <w:r w:rsidRPr="0080285A">
              <w:t xml:space="preserve">tensioning device </w:t>
            </w:r>
          </w:p>
          <w:p w:rsidR="00000000" w:rsidRPr="0080285A" w:rsidP="0080285A">
            <w:pPr>
              <w:pStyle w:val="ListBullet"/>
            </w:pPr>
            <w:r w:rsidRPr="0080285A">
              <w:t>webbing</w:t>
            </w:r>
          </w:p>
          <w:p w:rsidR="00000000" w:rsidP="0080285A">
            <w:pPr>
              <w:pStyle w:val="ListBullet"/>
              <w:rPr>
                <w:lang w:val="en-NZ"/>
              </w:rPr>
            </w:pPr>
            <w:r w:rsidRPr="0080285A">
              <w:t>wires</w:t>
            </w:r>
          </w:p>
        </w:tc>
      </w:tr>
      <w:tr w:rsidTr="0080285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85A">
            <w:pPr>
              <w:pStyle w:val="BodyText"/>
              <w:rPr>
                <w:lang w:val="en-NZ"/>
              </w:rPr>
            </w:pPr>
            <w:r w:rsidRPr="0080285A">
              <w:t>Incidents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85A" w:rsidP="0080285A">
            <w:pPr>
              <w:pStyle w:val="ListBullet"/>
            </w:pPr>
            <w:r w:rsidRPr="0080285A">
              <w:t xml:space="preserve">failure of communications systems </w:t>
            </w:r>
          </w:p>
          <w:p w:rsidR="00000000" w:rsidRPr="0080285A" w:rsidP="0080285A">
            <w:pPr>
              <w:pStyle w:val="ListBullet"/>
            </w:pPr>
            <w:r w:rsidRPr="0080285A">
              <w:t>leakage from faulty valves and hoses</w:t>
            </w:r>
          </w:p>
          <w:p w:rsidR="00000000" w:rsidRPr="0080285A" w:rsidP="0080285A">
            <w:pPr>
              <w:pStyle w:val="ListBullet"/>
            </w:pPr>
            <w:r w:rsidRPr="0080285A">
              <w:t>tank overflow</w:t>
            </w:r>
          </w:p>
        </w:tc>
      </w:tr>
    </w:tbl>
    <w:p w:rsidR="00D44189" w:rsidP="0080285A">
      <w:pPr>
        <w:pStyle w:val="BodyText"/>
      </w:pPr>
    </w:p>
    <w:p w:rsidR="00D44189" w:rsidP="0080285A">
      <w:pPr>
        <w:pStyle w:val="BodyText"/>
      </w:pPr>
    </w:p>
    <w:p w:rsidR="00000000" w:rsidRPr="0080285A" w:rsidP="0080285A">
      <w:pPr>
        <w:pStyle w:val="Heading1"/>
      </w:pPr>
      <w:bookmarkStart w:id="9" w:name="O_845425"/>
      <w:bookmarkEnd w:id="9"/>
      <w:r w:rsidRPr="0080285A">
        <w:t>Unit Mapping Information</w:t>
      </w:r>
    </w:p>
    <w:p w:rsidR="00D44189" w:rsidP="00D44189">
      <w:pPr>
        <w:pStyle w:val="BodyText"/>
      </w:pPr>
      <w:r w:rsidRPr="0080285A">
        <w:t>This unit replaces and is equivalent to MARN3002A Use seamanship skills on board a vessel.</w:t>
      </w:r>
    </w:p>
    <w:p w:rsidR="00000000" w:rsidRPr="0080285A" w:rsidP="0080285A">
      <w:pPr>
        <w:pStyle w:val="Heading1"/>
      </w:pPr>
      <w:bookmarkStart w:id="10" w:name="O_845432"/>
      <w:bookmarkEnd w:id="10"/>
      <w:r w:rsidRPr="0080285A">
        <w:t>Links</w:t>
      </w:r>
    </w:p>
    <w:p w:rsidR="00000000" w:rsidRPr="0080285A" w:rsidP="00D44189">
      <w:pPr>
        <w:pStyle w:val="BodyText"/>
      </w:pPr>
      <w:r w:rsidRPr="008028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F031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0285A" w:rsidP="0080285A"/>
    <w:sectPr w:rsidSect="008028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5A" w:rsidRPr="00D44189" w:rsidP="00D441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189" w:rsidP="008028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189" w:rsidP="008028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4189" w:rsidP="008028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1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85A" w:rsidRPr="00D44189" w:rsidP="00D441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189" w:rsidRPr="002D2AF8" w:rsidP="008028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MARN007 Use seamanship skills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44189" w:rsidP="008028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E8E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A2D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8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8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8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8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8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8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8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8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8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8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8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85A"/>
  </w:style>
  <w:style w:type="character" w:customStyle="1" w:styleId="Heading1Char">
    <w:name w:val="Heading 1 Char"/>
    <w:basedOn w:val="DefaultParagraphFont"/>
    <w:link w:val="Heading1"/>
    <w:rsid w:val="008028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8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8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8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85A"/>
    <w:rPr>
      <w:b/>
      <w:spacing w:val="0"/>
    </w:rPr>
  </w:style>
  <w:style w:type="paragraph" w:customStyle="1" w:styleId="SuperHeading">
    <w:name w:val="SuperHeading"/>
    <w:basedOn w:val="Normal"/>
    <w:rsid w:val="008028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8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8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8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8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8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8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8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8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8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8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8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8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8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8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8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8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8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8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8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8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8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8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8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8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8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8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8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8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8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8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8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8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85A"/>
    <w:rPr>
      <w:i/>
    </w:rPr>
  </w:style>
  <w:style w:type="paragraph" w:styleId="Caption">
    <w:name w:val="caption"/>
    <w:basedOn w:val="BodyText"/>
    <w:next w:val="Normal"/>
    <w:qFormat/>
    <w:rsid w:val="008028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8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8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85A"/>
  </w:style>
  <w:style w:type="paragraph" w:styleId="TableofFigures">
    <w:name w:val="table of figures"/>
    <w:basedOn w:val="Normal"/>
    <w:next w:val="Normal"/>
    <w:semiHidden/>
    <w:rsid w:val="008028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8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85A"/>
    <w:rPr>
      <w:rFonts w:ascii="Wingdings" w:hAnsi="Wingdings"/>
    </w:rPr>
  </w:style>
  <w:style w:type="paragraph" w:customStyle="1" w:styleId="TableHeading">
    <w:name w:val="Table Heading"/>
    <w:basedOn w:val="HeadingBase"/>
    <w:rsid w:val="008028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85A"/>
    <w:rPr>
      <w:color w:val="0033CC"/>
      <w:u w:val="none"/>
    </w:rPr>
  </w:style>
  <w:style w:type="paragraph" w:customStyle="1" w:styleId="BodyTextRight">
    <w:name w:val="Body Text Right"/>
    <w:basedOn w:val="BodyText"/>
    <w:rsid w:val="008028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8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8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8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8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8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85A"/>
    <w:rPr>
      <w:sz w:val="32"/>
    </w:rPr>
  </w:style>
  <w:style w:type="paragraph" w:customStyle="1" w:styleId="HeadingProcedure">
    <w:name w:val="Heading Procedure"/>
    <w:basedOn w:val="HeadingBase"/>
    <w:next w:val="Normal"/>
    <w:rsid w:val="008028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85A"/>
    <w:pPr>
      <w:spacing w:before="60" w:after="60"/>
    </w:pPr>
  </w:style>
  <w:style w:type="paragraph" w:styleId="ListContinue">
    <w:name w:val="List Continue"/>
    <w:basedOn w:val="List"/>
    <w:rsid w:val="0080285A"/>
    <w:pPr>
      <w:ind w:firstLine="0"/>
    </w:pPr>
  </w:style>
  <w:style w:type="paragraph" w:customStyle="1" w:styleId="ListNote">
    <w:name w:val="List Note"/>
    <w:basedOn w:val="List"/>
    <w:rsid w:val="008028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8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8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85A"/>
    <w:rPr>
      <w:rFonts w:ascii="Courier New" w:hAnsi="Courier New"/>
    </w:rPr>
  </w:style>
  <w:style w:type="paragraph" w:customStyle="1" w:styleId="NoteBullet">
    <w:name w:val="Note Bullet"/>
    <w:basedOn w:val="Note"/>
    <w:rsid w:val="008028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8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8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8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8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8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8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85A"/>
    <w:rPr>
      <w:b/>
      <w:smallCaps/>
    </w:rPr>
  </w:style>
  <w:style w:type="paragraph" w:customStyle="1" w:styleId="TableListNumber">
    <w:name w:val="Table List Number"/>
    <w:basedOn w:val="ListNumber"/>
    <w:rsid w:val="008028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8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85A"/>
    <w:pPr>
      <w:numPr>
        <w:numId w:val="8"/>
      </w:numPr>
    </w:pPr>
  </w:style>
  <w:style w:type="paragraph" w:customStyle="1" w:styleId="ListAlpha2">
    <w:name w:val="List Alpha 2"/>
    <w:basedOn w:val="List2"/>
    <w:rsid w:val="0080285A"/>
    <w:pPr>
      <w:numPr>
        <w:numId w:val="7"/>
      </w:numPr>
    </w:pPr>
  </w:style>
  <w:style w:type="paragraph" w:styleId="List2">
    <w:name w:val="List 2"/>
    <w:basedOn w:val="BodyText"/>
    <w:rsid w:val="008028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8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8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8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8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8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85A"/>
    <w:pPr>
      <w:numPr>
        <w:numId w:val="3"/>
      </w:numPr>
    </w:pPr>
  </w:style>
  <w:style w:type="paragraph" w:styleId="ListContinue2">
    <w:name w:val="List Continue 2"/>
    <w:basedOn w:val="List2"/>
    <w:rsid w:val="0080285A"/>
    <w:pPr>
      <w:ind w:firstLine="0"/>
    </w:pPr>
  </w:style>
  <w:style w:type="paragraph" w:styleId="ListContinue3">
    <w:name w:val="List Continue 3"/>
    <w:basedOn w:val="List3"/>
    <w:rsid w:val="0080285A"/>
    <w:pPr>
      <w:ind w:left="1021" w:firstLine="0"/>
    </w:pPr>
  </w:style>
  <w:style w:type="paragraph" w:styleId="ListContinue4">
    <w:name w:val="List Continue 4"/>
    <w:basedOn w:val="List4"/>
    <w:rsid w:val="0080285A"/>
    <w:pPr>
      <w:ind w:firstLine="0"/>
    </w:pPr>
  </w:style>
  <w:style w:type="paragraph" w:styleId="ListContinue5">
    <w:name w:val="List Continue 5"/>
    <w:basedOn w:val="List5"/>
    <w:rsid w:val="0080285A"/>
    <w:pPr>
      <w:ind w:firstLine="0"/>
    </w:pPr>
  </w:style>
  <w:style w:type="paragraph" w:styleId="ListNumber3">
    <w:name w:val="List Number 3"/>
    <w:basedOn w:val="List3"/>
    <w:rsid w:val="0080285A"/>
    <w:pPr>
      <w:numPr>
        <w:numId w:val="4"/>
      </w:numPr>
    </w:pPr>
  </w:style>
  <w:style w:type="paragraph" w:styleId="ListNumber4">
    <w:name w:val="List Number 4"/>
    <w:basedOn w:val="List4"/>
    <w:rsid w:val="0080285A"/>
    <w:pPr>
      <w:numPr>
        <w:numId w:val="5"/>
      </w:numPr>
    </w:pPr>
  </w:style>
  <w:style w:type="paragraph" w:styleId="ListNumber5">
    <w:name w:val="List Number 5"/>
    <w:basedOn w:val="List5"/>
    <w:rsid w:val="0080285A"/>
    <w:pPr>
      <w:numPr>
        <w:numId w:val="6"/>
      </w:numPr>
    </w:pPr>
  </w:style>
  <w:style w:type="paragraph" w:styleId="BlockText">
    <w:name w:val="Block Text"/>
    <w:basedOn w:val="Normal"/>
    <w:rsid w:val="008028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8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85A"/>
    <w:rPr>
      <w:sz w:val="16"/>
      <w:vertAlign w:val="superscript"/>
    </w:rPr>
  </w:style>
  <w:style w:type="character" w:customStyle="1" w:styleId="Symbols">
    <w:name w:val="Symbols"/>
    <w:basedOn w:val="DefaultParagraphFont"/>
    <w:rsid w:val="0080285A"/>
    <w:rPr>
      <w:rFonts w:ascii="Symbol" w:hAnsi="Symbol"/>
    </w:rPr>
  </w:style>
  <w:style w:type="character" w:customStyle="1" w:styleId="MenuOptions">
    <w:name w:val="Menu Options"/>
    <w:basedOn w:val="DefaultParagraphFont"/>
    <w:rsid w:val="008028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85A"/>
    <w:rPr>
      <w:b/>
    </w:rPr>
  </w:style>
  <w:style w:type="character" w:customStyle="1" w:styleId="Underlined">
    <w:name w:val="Underlined"/>
    <w:basedOn w:val="DefaultParagraphFont"/>
    <w:rsid w:val="0080285A"/>
    <w:rPr>
      <w:u w:val="single"/>
    </w:rPr>
  </w:style>
  <w:style w:type="paragraph" w:customStyle="1" w:styleId="TableBodyTextRight">
    <w:name w:val="Table Body Text Right"/>
    <w:basedOn w:val="TableBodyText"/>
    <w:rsid w:val="008028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85A"/>
    <w:rPr>
      <w:sz w:val="18"/>
    </w:rPr>
  </w:style>
  <w:style w:type="paragraph" w:customStyle="1" w:styleId="BodySmallRight">
    <w:name w:val="Body Small Right"/>
    <w:basedOn w:val="BodyTextRight"/>
    <w:rsid w:val="0080285A"/>
    <w:rPr>
      <w:sz w:val="18"/>
      <w:szCs w:val="18"/>
    </w:rPr>
  </w:style>
  <w:style w:type="paragraph" w:customStyle="1" w:styleId="MarginEdition">
    <w:name w:val="Margin Edition"/>
    <w:basedOn w:val="MarginNote"/>
    <w:rsid w:val="008028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85A"/>
    <w:rPr>
      <w:sz w:val="2"/>
      <w:szCs w:val="2"/>
    </w:rPr>
  </w:style>
  <w:style w:type="character" w:customStyle="1" w:styleId="Small">
    <w:name w:val="Small"/>
    <w:basedOn w:val="DefaultParagraphFont"/>
    <w:rsid w:val="0080285A"/>
    <w:rPr>
      <w:sz w:val="16"/>
    </w:rPr>
  </w:style>
  <w:style w:type="paragraph" w:customStyle="1" w:styleId="WideTable">
    <w:name w:val="Wide Table"/>
    <w:basedOn w:val="Normal"/>
    <w:rsid w:val="008028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85A"/>
  </w:style>
  <w:style w:type="paragraph" w:styleId="Quote">
    <w:name w:val="Quote"/>
    <w:basedOn w:val="Heading1"/>
    <w:link w:val="QuoteChar"/>
    <w:qFormat/>
    <w:rsid w:val="008028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8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85A"/>
    <w:pPr>
      <w:pageBreakBefore/>
    </w:pPr>
  </w:style>
  <w:style w:type="paragraph" w:customStyle="1" w:styleId="Border">
    <w:name w:val="Border"/>
    <w:basedOn w:val="Normal"/>
    <w:qFormat/>
    <w:rsid w:val="008028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8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8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8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8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8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8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8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8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85A"/>
    <w:rPr>
      <w:u w:val="single"/>
    </w:rPr>
  </w:style>
  <w:style w:type="character" w:customStyle="1" w:styleId="BoldandItalics">
    <w:name w:val="Bold and Italics"/>
    <w:qFormat/>
    <w:rsid w:val="0080285A"/>
    <w:rPr>
      <w:b/>
      <w:i/>
      <w:u w:val="none"/>
    </w:rPr>
  </w:style>
  <w:style w:type="paragraph" w:styleId="BalloonText">
    <w:name w:val="Balloon Text"/>
    <w:basedOn w:val="Normal"/>
    <w:link w:val="BalloonTextChar"/>
    <w:rsid w:val="008028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8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8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8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8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8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85A"/>
    <w:pPr>
      <w:spacing w:before="0" w:after="0"/>
    </w:pPr>
  </w:style>
  <w:style w:type="paragraph" w:customStyle="1" w:styleId="BodyTextBold">
    <w:name w:val="Body Text Bold"/>
    <w:basedOn w:val="BodyText"/>
    <w:qFormat/>
    <w:rsid w:val="0080285A"/>
    <w:rPr>
      <w:b/>
    </w:rPr>
  </w:style>
  <w:style w:type="character" w:styleId="Hyperlink">
    <w:name w:val="Hyperlink"/>
    <w:basedOn w:val="DefaultParagraphFont"/>
    <w:uiPriority w:val="99"/>
    <w:unhideWhenUsed/>
    <w:rsid w:val="00D441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4478</Characters>
  <Application>Microsoft Office Word</Application>
  <DocSecurity>0</DocSecurity>
  <Lines>248</Lines>
  <Paragraphs>134</Paragraphs>
  <ScaleCrop>false</ScaleCrop>
  <Company>Author-it Software Corporation Ltd.</Company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MARN007 Use seamanship skills on board a vessel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2020-10-27T00:46:00Z</dcterms:created>
  <dcterms:modified xsi:type="dcterms:W3CDTF">2020-10-27T00:46:00Z</dcterms:modified>
</cp:coreProperties>
</file>