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0E9A" w:rsidP="00EB0E9A">
      <w:pPr>
        <w:pStyle w:val="Title"/>
      </w:pPr>
      <w:r>
        <w:fldChar w:fldCharType="begin"/>
      </w:r>
      <w:r>
        <w:instrText xml:space="preserve"> TITLE   \* MERGEFORMAT </w:instrText>
      </w:r>
      <w:r>
        <w:fldChar w:fldCharType="separate"/>
      </w:r>
      <w:r>
        <w:t>MARN005 Maintain seaworthiness of a vessel</w:t>
      </w:r>
      <w:r>
        <w:fldChar w:fldCharType="end"/>
      </w:r>
    </w:p>
    <w:p w:rsidR="00EB0E9A" w:rsidP="00EB0E9A">
      <w:pPr>
        <w:pStyle w:val="Version"/>
        <w:sectPr w:rsidSect="00F711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112B" w:rsidP="00F7112B">
      <w:pPr>
        <w:pStyle w:val="SuperHeading"/>
      </w:pPr>
      <w:r w:rsidRPr="00F7112B">
        <w:t>MARN005 Maintain seaworthiness of a vessel</w:t>
      </w:r>
    </w:p>
    <w:p w:rsidR="00000000" w:rsidRPr="00F7112B" w:rsidP="00F7112B">
      <w:pPr>
        <w:pStyle w:val="Heading1"/>
      </w:pPr>
      <w:bookmarkStart w:id="1" w:name="O_596622"/>
      <w:bookmarkEnd w:id="1"/>
      <w:r w:rsidRPr="00F7112B">
        <w:t>Modification History</w:t>
      </w:r>
    </w:p>
    <w:p w:rsidR="00000000" w:rsidRPr="00F7112B" w:rsidP="00EB0E9A">
      <w:pPr>
        <w:pStyle w:val="BodyText"/>
      </w:pPr>
      <w:r w:rsidRPr="00F7112B">
        <w:t>Release 1. New unit of competency.</w:t>
      </w:r>
    </w:p>
    <w:p w:rsidR="00000000" w:rsidRPr="00F7112B" w:rsidP="00F7112B">
      <w:pPr>
        <w:pStyle w:val="Heading1"/>
      </w:pPr>
      <w:bookmarkStart w:id="2" w:name="O_596623"/>
      <w:bookmarkEnd w:id="2"/>
      <w:r w:rsidRPr="00F7112B">
        <w:t>Application</w:t>
      </w:r>
    </w:p>
    <w:p w:rsidR="00000000" w:rsidRPr="00F7112B" w:rsidP="00EB0E9A">
      <w:pPr>
        <w:pStyle w:val="BodyText"/>
      </w:pPr>
      <w:r w:rsidRPr="00F7112B">
        <w:t>This unit involves the skills and knowledge required to maintain the seaworthiness of a vessel.</w:t>
      </w:r>
    </w:p>
    <w:p w:rsidR="00000000" w:rsidRPr="00F7112B" w:rsidP="00EB0E9A">
      <w:pPr>
        <w:pStyle w:val="BodyText"/>
      </w:pPr>
      <w:r w:rsidRPr="00F7112B">
        <w:t>This unit applies to people working in the maritime industry as a Watchkee</w:t>
      </w:r>
      <w:r w:rsidRPr="00F7112B">
        <w:t>per Deck, a Master up to 500 gross tonnage (GT), or a Master up to 80 metres Near Coastal.</w:t>
      </w:r>
    </w:p>
    <w:p w:rsidR="00000000" w:rsidRPr="00F7112B" w:rsidP="00EB0E9A">
      <w:pPr>
        <w:pStyle w:val="BodyText"/>
      </w:pPr>
      <w:r w:rsidRPr="00F7112B">
        <w:t>This unit has links to legislative and certification requirements.</w:t>
      </w:r>
    </w:p>
    <w:p w:rsidR="00000000" w:rsidRPr="00F7112B" w:rsidP="00F7112B">
      <w:pPr>
        <w:pStyle w:val="Heading1"/>
      </w:pPr>
      <w:bookmarkStart w:id="3" w:name="O_596624"/>
      <w:bookmarkEnd w:id="3"/>
      <w:r w:rsidRPr="00F7112B">
        <w:t>Pre-requisite Unit</w:t>
      </w:r>
    </w:p>
    <w:p w:rsidR="00000000" w:rsidRPr="00F7112B" w:rsidP="00EB0E9A">
      <w:pPr>
        <w:pStyle w:val="BodyText"/>
      </w:pPr>
      <w:r w:rsidRPr="00F7112B">
        <w:t>Not applicable.</w:t>
      </w:r>
    </w:p>
    <w:p w:rsidR="00000000" w:rsidRPr="00F7112B" w:rsidP="00F7112B">
      <w:pPr>
        <w:pStyle w:val="Heading1"/>
      </w:pPr>
      <w:bookmarkStart w:id="4" w:name="O_596625"/>
      <w:bookmarkEnd w:id="4"/>
      <w:r w:rsidRPr="00F7112B">
        <w:t>Competency Field</w:t>
      </w:r>
    </w:p>
    <w:p w:rsidR="00000000" w:rsidRPr="00F7112B" w:rsidP="00EB0E9A">
      <w:pPr>
        <w:pStyle w:val="BodyText"/>
      </w:pPr>
      <w:r w:rsidRPr="00F7112B">
        <w:t>N – Seamans</w:t>
      </w:r>
      <w:r w:rsidRPr="00F7112B">
        <w:t>hip</w:t>
      </w:r>
    </w:p>
    <w:p w:rsidR="00000000" w:rsidRPr="00F7112B" w:rsidP="00F7112B">
      <w:pPr>
        <w:pStyle w:val="Heading1"/>
      </w:pPr>
      <w:bookmarkStart w:id="5" w:name="O_596626"/>
      <w:bookmarkEnd w:id="5"/>
      <w:r w:rsidRPr="00F7112B">
        <w:t>Unit Sector</w:t>
      </w:r>
    </w:p>
    <w:p w:rsidR="00000000" w:rsidRPr="00F7112B" w:rsidP="00EB0E9A">
      <w:pPr>
        <w:pStyle w:val="BodyText"/>
      </w:pPr>
      <w:r w:rsidRPr="00F7112B">
        <w:t>Not applicable.</w:t>
      </w:r>
    </w:p>
    <w:p w:rsidR="00000000" w:rsidRPr="00F7112B" w:rsidP="00F7112B">
      <w:pPr>
        <w:pStyle w:val="Heading1"/>
      </w:pPr>
      <w:bookmarkStart w:id="6" w:name="O_596627"/>
      <w:bookmarkEnd w:id="6"/>
      <w:r w:rsidRPr="00F7112B">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EB0E9A">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F7112B">
            <w:pPr>
              <w:pStyle w:val="BodyText"/>
              <w:rPr>
                <w:lang w:val="en-NZ"/>
              </w:rPr>
            </w:pPr>
            <w:r w:rsidRPr="00F7112B">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F7112B">
            <w:pPr>
              <w:pStyle w:val="BodyText"/>
              <w:rPr>
                <w:lang w:val="en-NZ"/>
              </w:rPr>
            </w:pPr>
            <w:r w:rsidRPr="00F7112B">
              <w:t>Performance criteria describe the performance needed to demonstrate achievement of the element.</w:t>
            </w:r>
          </w:p>
        </w:tc>
      </w:tr>
      <w:tr w:rsidTr="00EB0E9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7112B" w:rsidP="00F7112B">
            <w:pPr>
              <w:pStyle w:val="BodyText"/>
            </w:pPr>
            <w:r w:rsidRPr="00F7112B">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F7112B">
            <w:pPr>
              <w:pStyle w:val="BodyText"/>
              <w:rPr>
                <w:lang w:val="en-NZ"/>
              </w:rPr>
            </w:pPr>
            <w:r w:rsidRPr="00F7112B">
              <w:rPr>
                <w:rStyle w:val="SpecialBold"/>
              </w:rPr>
              <w:t>Check weather tight and watertight integrity of vessel</w:t>
            </w:r>
          </w:p>
        </w:tc>
        <w:tc>
          <w:tcPr>
            <w:tcW w:w="719" w:type="dxa"/>
            <w:tcBorders>
              <w:top w:val="nil"/>
              <w:left w:val="nil"/>
              <w:bottom w:val="nil"/>
              <w:right w:val="nil"/>
            </w:tcBorders>
            <w:tcMar>
              <w:top w:w="0" w:type="dxa"/>
              <w:left w:w="62" w:type="dxa"/>
              <w:bottom w:w="0" w:type="dxa"/>
              <w:right w:w="62" w:type="dxa"/>
            </w:tcMar>
          </w:tcPr>
          <w:p w:rsidR="00000000" w:rsidP="00F7112B">
            <w:pPr>
              <w:pStyle w:val="BodyText"/>
              <w:rPr>
                <w:lang w:val="en-NZ"/>
              </w:rPr>
            </w:pPr>
            <w:r w:rsidRPr="00F7112B">
              <w:t>1.1</w:t>
            </w:r>
          </w:p>
        </w:tc>
        <w:tc>
          <w:tcPr>
            <w:tcW w:w="6045" w:type="dxa"/>
            <w:tcBorders>
              <w:top w:val="nil"/>
              <w:left w:val="nil"/>
              <w:bottom w:val="nil"/>
              <w:right w:val="nil"/>
            </w:tcBorders>
            <w:tcMar>
              <w:top w:w="0" w:type="dxa"/>
              <w:left w:w="62" w:type="dxa"/>
              <w:bottom w:w="0" w:type="dxa"/>
              <w:right w:w="62" w:type="dxa"/>
            </w:tcMar>
          </w:tcPr>
          <w:p w:rsidR="00000000" w:rsidP="00F7112B">
            <w:pPr>
              <w:pStyle w:val="BodyText"/>
              <w:rPr>
                <w:lang w:val="en-NZ"/>
              </w:rPr>
            </w:pPr>
            <w:r w:rsidRPr="00F7112B">
              <w:t>Structural members of vessel are investigated to establish weather tight and watertight requirements of vessel</w:t>
            </w:r>
          </w:p>
        </w:tc>
      </w:tr>
      <w:tr w:rsidTr="00EB0E9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7112B">
            <w:pPr>
              <w:pStyle w:val="BodyText"/>
              <w:rPr>
                <w:lang w:val="en-NZ"/>
              </w:rPr>
            </w:pPr>
            <w:r w:rsidRPr="00F7112B">
              <w:t>1.2</w:t>
            </w:r>
          </w:p>
        </w:tc>
        <w:tc>
          <w:tcPr>
            <w:tcW w:w="6045" w:type="dxa"/>
            <w:tcBorders>
              <w:top w:val="nil"/>
              <w:left w:val="nil"/>
              <w:bottom w:val="nil"/>
              <w:right w:val="nil"/>
            </w:tcBorders>
            <w:tcMar>
              <w:top w:w="0" w:type="dxa"/>
              <w:left w:w="62" w:type="dxa"/>
              <w:bottom w:w="0" w:type="dxa"/>
              <w:right w:w="62" w:type="dxa"/>
            </w:tcMar>
          </w:tcPr>
          <w:p w:rsidR="00000000" w:rsidP="00F7112B">
            <w:pPr>
              <w:pStyle w:val="BodyText"/>
              <w:rPr>
                <w:lang w:val="en-NZ"/>
              </w:rPr>
            </w:pPr>
            <w:r w:rsidRPr="00F7112B">
              <w:t>Inspections of vessel are planned according to regulatory and organisational re</w:t>
            </w:r>
            <w:r w:rsidRPr="00F7112B">
              <w:t>quirements</w:t>
            </w:r>
          </w:p>
        </w:tc>
      </w:tr>
      <w:tr w:rsidTr="00EB0E9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7112B">
            <w:pPr>
              <w:pStyle w:val="BodyText"/>
              <w:rPr>
                <w:lang w:val="en-NZ"/>
              </w:rPr>
            </w:pPr>
            <w:r w:rsidRPr="00F7112B">
              <w:t>1.3</w:t>
            </w:r>
          </w:p>
        </w:tc>
        <w:tc>
          <w:tcPr>
            <w:tcW w:w="6045" w:type="dxa"/>
            <w:tcBorders>
              <w:top w:val="nil"/>
              <w:left w:val="nil"/>
              <w:bottom w:val="nil"/>
              <w:right w:val="nil"/>
            </w:tcBorders>
            <w:tcMar>
              <w:top w:w="0" w:type="dxa"/>
              <w:left w:w="62" w:type="dxa"/>
              <w:bottom w:w="0" w:type="dxa"/>
              <w:right w:w="62" w:type="dxa"/>
            </w:tcMar>
          </w:tcPr>
          <w:p w:rsidR="00000000" w:rsidP="00F7112B">
            <w:pPr>
              <w:pStyle w:val="BodyText"/>
              <w:rPr>
                <w:lang w:val="en-NZ"/>
              </w:rPr>
            </w:pPr>
            <w:r w:rsidRPr="00F7112B">
              <w:t>Checks are completed to confirm weather tight and watertight integrity of vessel at all times</w:t>
            </w:r>
          </w:p>
        </w:tc>
      </w:tr>
      <w:tr w:rsidTr="00EB0E9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7112B">
            <w:pPr>
              <w:pStyle w:val="BodyText"/>
              <w:rPr>
                <w:lang w:val="en-NZ"/>
              </w:rPr>
            </w:pPr>
            <w:r w:rsidRPr="00F7112B">
              <w:t>1.4</w:t>
            </w:r>
          </w:p>
        </w:tc>
        <w:tc>
          <w:tcPr>
            <w:tcW w:w="6045" w:type="dxa"/>
            <w:tcBorders>
              <w:top w:val="nil"/>
              <w:left w:val="nil"/>
              <w:bottom w:val="nil"/>
              <w:right w:val="nil"/>
            </w:tcBorders>
            <w:tcMar>
              <w:top w:w="0" w:type="dxa"/>
              <w:left w:w="62" w:type="dxa"/>
              <w:bottom w:w="0" w:type="dxa"/>
              <w:right w:w="62" w:type="dxa"/>
            </w:tcMar>
          </w:tcPr>
          <w:p w:rsidR="00000000" w:rsidP="00F7112B">
            <w:pPr>
              <w:pStyle w:val="BodyText"/>
              <w:rPr>
                <w:lang w:val="en-NZ"/>
              </w:rPr>
            </w:pPr>
            <w:r w:rsidRPr="00F7112B">
              <w:t xml:space="preserve">Defects and damage to vessel are identified and reported </w:t>
            </w:r>
            <w:r w:rsidRPr="00F7112B">
              <w:t>according to organisational procedures</w:t>
            </w:r>
          </w:p>
        </w:tc>
      </w:tr>
      <w:tr w:rsidTr="00EB0E9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7112B" w:rsidP="00F7112B">
            <w:pPr>
              <w:pStyle w:val="BodyText"/>
            </w:pPr>
            <w:r w:rsidRPr="00F7112B">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F7112B">
            <w:pPr>
              <w:pStyle w:val="BodyText"/>
              <w:rPr>
                <w:lang w:val="en-NZ"/>
              </w:rPr>
            </w:pPr>
            <w:r w:rsidRPr="00F7112B">
              <w:rPr>
                <w:rStyle w:val="SpecialBold"/>
              </w:rPr>
              <w:t>Take action to meet environmental changes</w:t>
            </w:r>
          </w:p>
        </w:tc>
        <w:tc>
          <w:tcPr>
            <w:tcW w:w="719" w:type="dxa"/>
            <w:tcBorders>
              <w:top w:val="nil"/>
              <w:left w:val="nil"/>
              <w:bottom w:val="nil"/>
              <w:right w:val="nil"/>
            </w:tcBorders>
            <w:tcMar>
              <w:top w:w="0" w:type="dxa"/>
              <w:left w:w="62" w:type="dxa"/>
              <w:bottom w:w="0" w:type="dxa"/>
              <w:right w:w="62" w:type="dxa"/>
            </w:tcMar>
          </w:tcPr>
          <w:p w:rsidR="00000000" w:rsidP="00F7112B">
            <w:pPr>
              <w:pStyle w:val="BodyText"/>
              <w:rPr>
                <w:lang w:val="en-NZ"/>
              </w:rPr>
            </w:pPr>
            <w:r w:rsidRPr="00F7112B">
              <w:t>2.1</w:t>
            </w:r>
          </w:p>
        </w:tc>
        <w:tc>
          <w:tcPr>
            <w:tcW w:w="6045" w:type="dxa"/>
            <w:tcBorders>
              <w:top w:val="nil"/>
              <w:left w:val="nil"/>
              <w:bottom w:val="nil"/>
              <w:right w:val="nil"/>
            </w:tcBorders>
            <w:tcMar>
              <w:top w:w="0" w:type="dxa"/>
              <w:left w:w="62" w:type="dxa"/>
              <w:bottom w:w="0" w:type="dxa"/>
              <w:right w:w="62" w:type="dxa"/>
            </w:tcMar>
          </w:tcPr>
          <w:p w:rsidR="00000000" w:rsidP="00F7112B">
            <w:pPr>
              <w:pStyle w:val="BodyText"/>
              <w:rPr>
                <w:lang w:val="en-NZ"/>
              </w:rPr>
            </w:pPr>
            <w:r w:rsidRPr="00F7112B">
              <w:t>Anticipated sea and weather conditions are analysed to identify situations that may jeopardise vessel weather tight and watertight integrity</w:t>
            </w:r>
          </w:p>
        </w:tc>
      </w:tr>
      <w:tr w:rsidTr="00EB0E9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7112B">
            <w:pPr>
              <w:pStyle w:val="BodyText"/>
              <w:rPr>
                <w:lang w:val="en-NZ"/>
              </w:rPr>
            </w:pPr>
            <w:r w:rsidRPr="00F7112B">
              <w:t>2.2</w:t>
            </w:r>
          </w:p>
        </w:tc>
        <w:tc>
          <w:tcPr>
            <w:tcW w:w="6045" w:type="dxa"/>
            <w:tcBorders>
              <w:top w:val="nil"/>
              <w:left w:val="nil"/>
              <w:bottom w:val="nil"/>
              <w:right w:val="nil"/>
            </w:tcBorders>
            <w:tcMar>
              <w:top w:w="0" w:type="dxa"/>
              <w:left w:w="62" w:type="dxa"/>
              <w:bottom w:w="0" w:type="dxa"/>
              <w:right w:w="62" w:type="dxa"/>
            </w:tcMar>
          </w:tcPr>
          <w:p w:rsidR="00000000" w:rsidP="00F7112B">
            <w:pPr>
              <w:pStyle w:val="BodyText"/>
              <w:rPr>
                <w:lang w:val="en-NZ"/>
              </w:rPr>
            </w:pPr>
            <w:r w:rsidRPr="00F7112B">
              <w:t>Effect of severe wind and rolling in associated sea conditions on vessel weather tight and watertight integrity is recognised</w:t>
            </w:r>
          </w:p>
        </w:tc>
      </w:tr>
      <w:tr w:rsidTr="00EB0E9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7112B">
            <w:pPr>
              <w:pStyle w:val="BodyText"/>
              <w:rPr>
                <w:lang w:val="en-NZ"/>
              </w:rPr>
            </w:pPr>
            <w:r w:rsidRPr="00F7112B">
              <w:t>2.3</w:t>
            </w:r>
          </w:p>
        </w:tc>
        <w:tc>
          <w:tcPr>
            <w:tcW w:w="6045" w:type="dxa"/>
            <w:tcBorders>
              <w:top w:val="nil"/>
              <w:left w:val="nil"/>
              <w:bottom w:val="nil"/>
              <w:right w:val="nil"/>
            </w:tcBorders>
            <w:tcMar>
              <w:top w:w="0" w:type="dxa"/>
              <w:left w:w="62" w:type="dxa"/>
              <w:bottom w:w="0" w:type="dxa"/>
              <w:right w:w="62" w:type="dxa"/>
            </w:tcMar>
          </w:tcPr>
          <w:p w:rsidR="00000000" w:rsidP="00F7112B">
            <w:pPr>
              <w:pStyle w:val="BodyText"/>
              <w:rPr>
                <w:lang w:val="en-NZ"/>
              </w:rPr>
            </w:pPr>
            <w:r w:rsidRPr="00F7112B">
              <w:t>Effect of water on deck on vessel weather tight and watertight integrity is ascertained</w:t>
            </w:r>
          </w:p>
        </w:tc>
      </w:tr>
      <w:tr w:rsidTr="00EB0E9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7112B">
            <w:pPr>
              <w:pStyle w:val="BodyText"/>
              <w:rPr>
                <w:lang w:val="en-NZ"/>
              </w:rPr>
            </w:pPr>
            <w:r w:rsidRPr="00F7112B">
              <w:t>2.4</w:t>
            </w:r>
          </w:p>
        </w:tc>
        <w:tc>
          <w:tcPr>
            <w:tcW w:w="6045" w:type="dxa"/>
            <w:tcBorders>
              <w:top w:val="nil"/>
              <w:left w:val="nil"/>
              <w:bottom w:val="nil"/>
              <w:right w:val="nil"/>
            </w:tcBorders>
            <w:tcMar>
              <w:top w:w="0" w:type="dxa"/>
              <w:left w:w="62" w:type="dxa"/>
              <w:bottom w:w="0" w:type="dxa"/>
              <w:right w:w="62" w:type="dxa"/>
            </w:tcMar>
          </w:tcPr>
          <w:p w:rsidR="00000000" w:rsidP="00F7112B">
            <w:pPr>
              <w:pStyle w:val="BodyText"/>
              <w:rPr>
                <w:lang w:val="en-NZ"/>
              </w:rPr>
            </w:pPr>
            <w:r w:rsidRPr="00F7112B">
              <w:t xml:space="preserve">Appropriate action is taken </w:t>
            </w:r>
            <w:r w:rsidRPr="00F7112B">
              <w:t>to maintain vessel weather tight and watertight integrity according to organisational procedures</w:t>
            </w:r>
          </w:p>
        </w:tc>
      </w:tr>
      <w:tr w:rsidTr="00EB0E9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7112B" w:rsidP="00F7112B">
            <w:pPr>
              <w:pStyle w:val="BodyText"/>
            </w:pPr>
            <w:r w:rsidRPr="00F7112B">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F7112B">
            <w:pPr>
              <w:pStyle w:val="BodyText"/>
              <w:rPr>
                <w:lang w:val="en-NZ"/>
              </w:rPr>
            </w:pPr>
            <w:r w:rsidRPr="00F7112B">
              <w:rPr>
                <w:rStyle w:val="SpecialBold"/>
              </w:rPr>
              <w:t>Maintain records</w:t>
            </w:r>
          </w:p>
        </w:tc>
        <w:tc>
          <w:tcPr>
            <w:tcW w:w="719" w:type="dxa"/>
            <w:tcBorders>
              <w:top w:val="nil"/>
              <w:left w:val="nil"/>
              <w:bottom w:val="nil"/>
              <w:right w:val="nil"/>
            </w:tcBorders>
            <w:tcMar>
              <w:top w:w="0" w:type="dxa"/>
              <w:left w:w="62" w:type="dxa"/>
              <w:bottom w:w="0" w:type="dxa"/>
              <w:right w:w="62" w:type="dxa"/>
            </w:tcMar>
          </w:tcPr>
          <w:p w:rsidR="00000000" w:rsidP="00F7112B">
            <w:pPr>
              <w:pStyle w:val="BodyText"/>
              <w:rPr>
                <w:lang w:val="en-NZ"/>
              </w:rPr>
            </w:pPr>
            <w:r w:rsidRPr="00F7112B">
              <w:t>3.1</w:t>
            </w:r>
          </w:p>
        </w:tc>
        <w:tc>
          <w:tcPr>
            <w:tcW w:w="6045" w:type="dxa"/>
            <w:tcBorders>
              <w:top w:val="nil"/>
              <w:left w:val="nil"/>
              <w:bottom w:val="nil"/>
              <w:right w:val="nil"/>
            </w:tcBorders>
            <w:tcMar>
              <w:top w:w="0" w:type="dxa"/>
              <w:left w:w="62" w:type="dxa"/>
              <w:bottom w:w="0" w:type="dxa"/>
              <w:right w:w="62" w:type="dxa"/>
            </w:tcMar>
          </w:tcPr>
          <w:p w:rsidR="00000000" w:rsidP="00F7112B">
            <w:pPr>
              <w:pStyle w:val="BodyText"/>
              <w:rPr>
                <w:lang w:val="en-NZ"/>
              </w:rPr>
            </w:pPr>
            <w:r w:rsidRPr="00F7112B">
              <w:t>Relevant documents and records are completed and maintained as required according to regulatory and organisational requirements</w:t>
            </w:r>
          </w:p>
        </w:tc>
      </w:tr>
      <w:tr w:rsidTr="00EB0E9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7112B">
            <w:pPr>
              <w:pStyle w:val="BodyText"/>
              <w:rPr>
                <w:lang w:val="en-NZ"/>
              </w:rPr>
            </w:pPr>
            <w:r w:rsidRPr="00F7112B">
              <w:t>3.2</w:t>
            </w:r>
          </w:p>
        </w:tc>
        <w:tc>
          <w:tcPr>
            <w:tcW w:w="6045" w:type="dxa"/>
            <w:tcBorders>
              <w:top w:val="nil"/>
              <w:left w:val="nil"/>
              <w:bottom w:val="nil"/>
              <w:right w:val="nil"/>
            </w:tcBorders>
            <w:tcMar>
              <w:top w:w="0" w:type="dxa"/>
              <w:left w:w="62" w:type="dxa"/>
              <w:bottom w:w="0" w:type="dxa"/>
              <w:right w:w="62" w:type="dxa"/>
            </w:tcMar>
          </w:tcPr>
          <w:p w:rsidR="00000000" w:rsidP="00F7112B">
            <w:pPr>
              <w:pStyle w:val="BodyText"/>
              <w:rPr>
                <w:lang w:val="en-NZ"/>
              </w:rPr>
            </w:pPr>
            <w:r w:rsidRPr="00F7112B">
              <w:t>Relevant documents are sent to appropriate bodies and copies are filed according to regulatory and organisational requirements</w:t>
            </w:r>
          </w:p>
        </w:tc>
      </w:tr>
      <w:tr w:rsidTr="00EB0E9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7112B">
            <w:pPr>
              <w:pStyle w:val="BodyText"/>
              <w:rPr>
                <w:lang w:val="en-NZ"/>
              </w:rPr>
            </w:pPr>
            <w:r w:rsidRPr="00F7112B">
              <w:t>3.3</w:t>
            </w:r>
          </w:p>
        </w:tc>
        <w:tc>
          <w:tcPr>
            <w:tcW w:w="6045" w:type="dxa"/>
            <w:tcBorders>
              <w:top w:val="nil"/>
              <w:left w:val="nil"/>
              <w:bottom w:val="nil"/>
              <w:right w:val="nil"/>
            </w:tcBorders>
            <w:tcMar>
              <w:top w:w="0" w:type="dxa"/>
              <w:left w:w="62" w:type="dxa"/>
              <w:bottom w:w="0" w:type="dxa"/>
              <w:right w:w="62" w:type="dxa"/>
            </w:tcMar>
          </w:tcPr>
          <w:p w:rsidR="00000000" w:rsidRPr="00F7112B" w:rsidP="00F7112B">
            <w:pPr>
              <w:pStyle w:val="BodyText"/>
            </w:pPr>
            <w:r w:rsidRPr="00F7112B">
              <w:t>Documents are stored according to regulatory and organisational requirements</w:t>
            </w:r>
          </w:p>
        </w:tc>
      </w:tr>
    </w:tbl>
    <w:p w:rsidR="00000000" w:rsidRPr="00F7112B" w:rsidP="00F7112B">
      <w:pPr>
        <w:pStyle w:val="BodyText"/>
      </w:pPr>
    </w:p>
    <w:p w:rsidR="00000000" w:rsidRPr="00F7112B" w:rsidP="00F7112B">
      <w:pPr>
        <w:pStyle w:val="AllowPageBreak"/>
      </w:pPr>
    </w:p>
    <w:p w:rsidR="00000000" w:rsidRPr="00F7112B" w:rsidP="00F7112B">
      <w:pPr>
        <w:pStyle w:val="Heading1"/>
      </w:pPr>
      <w:bookmarkStart w:id="7" w:name="O_596628"/>
      <w:bookmarkEnd w:id="7"/>
      <w:r w:rsidRPr="00F7112B">
        <w:t>Foundation Skills</w:t>
      </w:r>
    </w:p>
    <w:tbl>
      <w:tblPr>
        <w:tblW w:w="9498" w:type="dxa"/>
        <w:tblLayout w:type="fixed"/>
        <w:tblCellMar>
          <w:left w:w="62" w:type="dxa"/>
          <w:right w:w="62" w:type="dxa"/>
        </w:tblCellMar>
        <w:tblLook w:val="0000"/>
      </w:tblPr>
      <w:tblGrid>
        <w:gridCol w:w="9498"/>
      </w:tblGrid>
      <w:tr w:rsidTr="00F7112B">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F7112B">
            <w:pPr>
              <w:pStyle w:val="BodyText"/>
              <w:rPr>
                <w:lang w:val="en-NZ"/>
              </w:rPr>
            </w:pPr>
            <w:r w:rsidRPr="00F7112B">
              <w:t>This section describes those language, literacy, numeracy and employment skills that are essential to performance.</w:t>
            </w:r>
          </w:p>
        </w:tc>
      </w:tr>
      <w:tr w:rsidTr="00F7112B">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F7112B" w:rsidP="00F7112B">
            <w:pPr>
              <w:pStyle w:val="BodyText"/>
            </w:pPr>
            <w:r w:rsidRPr="00F7112B">
              <w:t xml:space="preserve">Foundation skills essential to performance are explicit in the performance criteria of this unit of competency. </w:t>
            </w:r>
          </w:p>
        </w:tc>
      </w:tr>
    </w:tbl>
    <w:p w:rsidR="00000000" w:rsidRPr="00F7112B" w:rsidP="00F7112B">
      <w:pPr>
        <w:pStyle w:val="BodyText"/>
      </w:pPr>
    </w:p>
    <w:p w:rsidR="00000000" w:rsidRPr="00F7112B" w:rsidP="00F7112B">
      <w:pPr>
        <w:pStyle w:val="AllowPageBreak"/>
      </w:pPr>
    </w:p>
    <w:p w:rsidR="00000000" w:rsidRPr="00F7112B" w:rsidP="00F7112B">
      <w:pPr>
        <w:pStyle w:val="Heading1"/>
      </w:pPr>
      <w:bookmarkStart w:id="8" w:name="O_596629"/>
      <w:bookmarkEnd w:id="8"/>
      <w:r w:rsidRPr="00F7112B">
        <w:t>Range of</w:t>
      </w:r>
      <w:r w:rsidRPr="00F7112B">
        <w:t xml:space="preserve"> Conditions</w:t>
      </w:r>
    </w:p>
    <w:tbl>
      <w:tblPr>
        <w:tblW w:w="9498" w:type="dxa"/>
        <w:tblLayout w:type="fixed"/>
        <w:tblCellMar>
          <w:left w:w="62" w:type="dxa"/>
          <w:right w:w="62" w:type="dxa"/>
        </w:tblCellMar>
        <w:tblLook w:val="0000"/>
      </w:tblPr>
      <w:tblGrid>
        <w:gridCol w:w="2735"/>
        <w:gridCol w:w="6763"/>
      </w:tblGrid>
      <w:tr w:rsidTr="00EB0E9A">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F7112B" w:rsidP="00F7112B">
            <w:pPr>
              <w:pStyle w:val="BodyText"/>
            </w:pPr>
            <w:r w:rsidRPr="00F7112B">
              <w:t>Specifies different work environments and conditions that may affect performance. Essential operating conditions that may be present (depending on the work situation, needs of the candidate, accessibility of the item, and local industry and reg</w:t>
            </w:r>
            <w:r w:rsidRPr="00F7112B">
              <w:t>ional contexts) are included.</w:t>
            </w:r>
          </w:p>
          <w:p w:rsidR="00000000" w:rsidRPr="00F7112B" w:rsidP="00F7112B">
            <w:pPr>
              <w:pStyle w:val="BodyText"/>
            </w:pPr>
          </w:p>
          <w:p w:rsidR="00000000" w:rsidP="00F7112B">
            <w:pPr>
              <w:pStyle w:val="BodyText"/>
              <w:rPr>
                <w:lang w:val="en-NZ"/>
              </w:rPr>
            </w:pPr>
            <w:r w:rsidRPr="00F7112B">
              <w:t>Range is restricted to essential operating conditions and any other variables essential to the work environment.</w:t>
            </w:r>
          </w:p>
        </w:tc>
      </w:tr>
      <w:tr w:rsidTr="00EB0E9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7112B">
            <w:pPr>
              <w:pStyle w:val="BodyText"/>
              <w:rPr>
                <w:lang w:val="en-NZ"/>
              </w:rPr>
            </w:pPr>
            <w:r w:rsidRPr="00F7112B">
              <w:t>Structural members of vessel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F7112B" w:rsidP="00F7112B">
            <w:pPr>
              <w:pStyle w:val="ListBullet"/>
            </w:pPr>
            <w:r w:rsidRPr="00F7112B">
              <w:t>bulkheads including the collision bulkhead</w:t>
            </w:r>
          </w:p>
          <w:p w:rsidR="00000000" w:rsidRPr="00F7112B" w:rsidP="00F7112B">
            <w:pPr>
              <w:pStyle w:val="ListBullet"/>
            </w:pPr>
            <w:r w:rsidRPr="00F7112B">
              <w:t>frames</w:t>
            </w:r>
          </w:p>
          <w:p w:rsidR="00000000" w:rsidRPr="00F7112B" w:rsidP="00F7112B">
            <w:pPr>
              <w:pStyle w:val="ListBullet"/>
            </w:pPr>
            <w:r w:rsidRPr="00F7112B">
              <w:t>freeboard deck</w:t>
            </w:r>
          </w:p>
          <w:p w:rsidR="00000000" w:rsidRPr="00F7112B" w:rsidP="00F7112B">
            <w:pPr>
              <w:pStyle w:val="ListBullet"/>
            </w:pPr>
            <w:r w:rsidRPr="00F7112B">
              <w:t>hatch and tank openings</w:t>
            </w:r>
          </w:p>
          <w:p w:rsidR="00000000" w:rsidRPr="00F7112B" w:rsidP="00F7112B">
            <w:pPr>
              <w:pStyle w:val="ListBullet"/>
            </w:pPr>
            <w:r w:rsidRPr="00F7112B">
              <w:t>longitudinal and transverse girders</w:t>
            </w:r>
          </w:p>
          <w:p w:rsidR="00000000" w:rsidRPr="00F7112B" w:rsidP="00F7112B">
            <w:pPr>
              <w:pStyle w:val="ListBullet"/>
            </w:pPr>
            <w:r w:rsidRPr="00F7112B">
              <w:t>shell plating</w:t>
            </w:r>
          </w:p>
          <w:p w:rsidR="00000000" w:rsidRPr="00F7112B" w:rsidP="00F7112B">
            <w:pPr>
              <w:pStyle w:val="ListBullet"/>
            </w:pPr>
            <w:r w:rsidRPr="00F7112B">
              <w:t>tank tops</w:t>
            </w:r>
          </w:p>
          <w:p w:rsidR="00000000" w:rsidRPr="00F7112B" w:rsidP="00F7112B">
            <w:pPr>
              <w:pStyle w:val="ListBullet"/>
            </w:pPr>
            <w:r w:rsidRPr="00F7112B">
              <w:t>various types of keel arrangements</w:t>
            </w:r>
          </w:p>
          <w:p w:rsidR="00000000" w:rsidP="00F7112B">
            <w:pPr>
              <w:pStyle w:val="ListBullet"/>
              <w:rPr>
                <w:lang w:val="en-NZ"/>
              </w:rPr>
            </w:pPr>
            <w:r w:rsidRPr="00F7112B">
              <w:t>watertight and weather tight compartments</w:t>
            </w:r>
          </w:p>
        </w:tc>
      </w:tr>
      <w:tr w:rsidTr="00EB0E9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F7112B">
            <w:pPr>
              <w:pStyle w:val="BodyText"/>
              <w:rPr>
                <w:lang w:val="en-NZ"/>
              </w:rPr>
            </w:pPr>
          </w:p>
        </w:tc>
      </w:tr>
      <w:tr w:rsidTr="00EB0E9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7112B">
            <w:pPr>
              <w:pStyle w:val="BodyText"/>
              <w:rPr>
                <w:lang w:val="en-NZ"/>
              </w:rPr>
            </w:pPr>
            <w:r w:rsidRPr="00F7112B">
              <w:t>Inspections of vessel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F7112B" w:rsidP="00F7112B">
            <w:pPr>
              <w:pStyle w:val="ListBullet"/>
            </w:pPr>
            <w:r w:rsidRPr="00F7112B">
              <w:t>inspection of hull and fittings during dry-docking</w:t>
            </w:r>
          </w:p>
          <w:p w:rsidR="00000000" w:rsidRPr="00F7112B" w:rsidP="00F7112B">
            <w:pPr>
              <w:pStyle w:val="ListBullet"/>
            </w:pPr>
            <w:r w:rsidRPr="00F7112B">
              <w:t>inspections required after completion of maintenance work</w:t>
            </w:r>
          </w:p>
          <w:p w:rsidR="00000000" w:rsidRPr="00F7112B" w:rsidP="00F7112B">
            <w:pPr>
              <w:pStyle w:val="ListBullet"/>
            </w:pPr>
            <w:r w:rsidRPr="00F7112B">
              <w:t xml:space="preserve">inspections required after docking prior to refloating </w:t>
            </w:r>
          </w:p>
          <w:p w:rsidR="00000000" w:rsidRPr="00F7112B" w:rsidP="00F7112B">
            <w:pPr>
              <w:pStyle w:val="ListBullet"/>
            </w:pPr>
            <w:r w:rsidRPr="00F7112B">
              <w:t xml:space="preserve">inspections to be made after </w:t>
            </w:r>
            <w:r w:rsidRPr="00F7112B">
              <w:t>any situation which may have caused damage to the vessel</w:t>
            </w:r>
          </w:p>
          <w:p w:rsidR="00000000" w:rsidRPr="00F7112B" w:rsidP="00F7112B">
            <w:pPr>
              <w:pStyle w:val="ListBullet"/>
            </w:pPr>
            <w:r w:rsidRPr="00F7112B">
              <w:t>pre sailing inspections</w:t>
            </w:r>
          </w:p>
          <w:p w:rsidR="00000000" w:rsidP="00F7112B">
            <w:pPr>
              <w:pStyle w:val="ListBullet"/>
              <w:rPr>
                <w:lang w:val="en-NZ"/>
              </w:rPr>
            </w:pPr>
            <w:r w:rsidRPr="00F7112B">
              <w:t>routine inspections</w:t>
            </w:r>
          </w:p>
        </w:tc>
      </w:tr>
      <w:tr w:rsidTr="00EB0E9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F7112B">
            <w:pPr>
              <w:pStyle w:val="BodyText"/>
              <w:rPr>
                <w:lang w:val="en-NZ"/>
              </w:rPr>
            </w:pPr>
          </w:p>
        </w:tc>
      </w:tr>
      <w:tr w:rsidTr="00EB0E9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7112B">
            <w:pPr>
              <w:pStyle w:val="BodyText"/>
              <w:rPr>
                <w:lang w:val="en-NZ"/>
              </w:rPr>
            </w:pPr>
            <w:r w:rsidRPr="00F7112B">
              <w:t>Defects and damage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F7112B" w:rsidP="00F7112B">
            <w:pPr>
              <w:pStyle w:val="ListBullet"/>
            </w:pPr>
            <w:r w:rsidRPr="00F7112B">
              <w:t>corrosion to operating or structural parts of the vessel</w:t>
            </w:r>
          </w:p>
          <w:p w:rsidR="00000000" w:rsidRPr="00F7112B" w:rsidP="00F7112B">
            <w:pPr>
              <w:pStyle w:val="ListBullet"/>
            </w:pPr>
            <w:r w:rsidRPr="00F7112B">
              <w:t xml:space="preserve">damage to the vessel through cargo shift </w:t>
            </w:r>
          </w:p>
          <w:p w:rsidR="00000000" w:rsidRPr="00F7112B" w:rsidP="00F7112B">
            <w:pPr>
              <w:pStyle w:val="ListBullet"/>
            </w:pPr>
            <w:r w:rsidRPr="00F7112B">
              <w:t>hatch cover seals</w:t>
            </w:r>
          </w:p>
          <w:p w:rsidR="00000000" w:rsidRPr="00F7112B" w:rsidP="00F7112B">
            <w:pPr>
              <w:pStyle w:val="ListBullet"/>
            </w:pPr>
            <w:r w:rsidRPr="00F7112B">
              <w:t>structural damage through collision, grounding or fire</w:t>
            </w:r>
          </w:p>
          <w:p w:rsidR="00000000" w:rsidP="00F7112B">
            <w:pPr>
              <w:pStyle w:val="ListBullet"/>
              <w:rPr>
                <w:lang w:val="en-NZ"/>
              </w:rPr>
            </w:pPr>
            <w:r w:rsidRPr="00F7112B">
              <w:t>watertight door seals and closing arrangements</w:t>
            </w:r>
          </w:p>
        </w:tc>
      </w:tr>
      <w:tr w:rsidTr="00EB0E9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F7112B">
            <w:pPr>
              <w:pStyle w:val="BodyText"/>
              <w:rPr>
                <w:lang w:val="en-NZ"/>
              </w:rPr>
            </w:pPr>
          </w:p>
        </w:tc>
      </w:tr>
      <w:tr w:rsidTr="00EB0E9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7112B">
            <w:pPr>
              <w:pStyle w:val="BodyText"/>
              <w:rPr>
                <w:lang w:val="en-NZ"/>
              </w:rPr>
            </w:pPr>
            <w:r w:rsidRPr="00F7112B">
              <w:t>Situations that may jeopardise vessel weather tight and watertig</w:t>
            </w:r>
            <w:r w:rsidRPr="00F7112B">
              <w:t>ht integrity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F7112B" w:rsidP="00F7112B">
            <w:pPr>
              <w:pStyle w:val="ListBullet"/>
            </w:pPr>
            <w:r w:rsidRPr="00F7112B">
              <w:t>collision, grounding or fire</w:t>
            </w:r>
          </w:p>
          <w:p w:rsidR="00000000" w:rsidRPr="00F7112B" w:rsidP="00F7112B">
            <w:pPr>
              <w:pStyle w:val="ListBullet"/>
            </w:pPr>
            <w:r w:rsidRPr="00F7112B">
              <w:t>failure to conduct appropriate inspections</w:t>
            </w:r>
          </w:p>
          <w:p w:rsidR="00000000" w:rsidP="00F7112B">
            <w:pPr>
              <w:pStyle w:val="ListBullet"/>
              <w:rPr>
                <w:lang w:val="en-NZ"/>
              </w:rPr>
            </w:pPr>
            <w:r w:rsidRPr="00F7112B">
              <w:t>heavy weather damage</w:t>
            </w:r>
          </w:p>
        </w:tc>
      </w:tr>
      <w:tr w:rsidTr="00EB0E9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F7112B">
            <w:pPr>
              <w:pStyle w:val="BodyText"/>
              <w:rPr>
                <w:lang w:val="en-NZ"/>
              </w:rPr>
            </w:pPr>
          </w:p>
        </w:tc>
      </w:tr>
      <w:tr w:rsidTr="00EB0E9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7112B">
            <w:pPr>
              <w:pStyle w:val="BodyText"/>
              <w:rPr>
                <w:lang w:val="en-NZ"/>
              </w:rPr>
            </w:pPr>
            <w:r w:rsidRPr="00F7112B">
              <w:t>Appropriate actions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F7112B" w:rsidP="00F7112B">
            <w:pPr>
              <w:pStyle w:val="ListBullet"/>
            </w:pPr>
            <w:r w:rsidRPr="00F7112B">
              <w:t>avoiding adverse weather</w:t>
            </w:r>
          </w:p>
          <w:p w:rsidR="00000000" w:rsidRPr="00F7112B" w:rsidP="00F7112B">
            <w:pPr>
              <w:pStyle w:val="ListBullet"/>
            </w:pPr>
            <w:r w:rsidRPr="00F7112B">
              <w:t>checking the security of the vessel</w:t>
            </w:r>
          </w:p>
          <w:p w:rsidR="00000000" w:rsidRPr="00F7112B" w:rsidP="00F7112B">
            <w:pPr>
              <w:pStyle w:val="ListBullet"/>
            </w:pPr>
            <w:r w:rsidRPr="00F7112B">
              <w:t>closing openings</w:t>
            </w:r>
          </w:p>
          <w:p w:rsidR="00000000" w:rsidRPr="00F7112B" w:rsidP="00F7112B">
            <w:pPr>
              <w:pStyle w:val="ListBullet"/>
            </w:pPr>
            <w:r w:rsidRPr="00F7112B">
              <w:t>ensuring appropriate equipment is in readiness for damage control</w:t>
            </w:r>
          </w:p>
          <w:p w:rsidR="00000000" w:rsidRPr="00F7112B" w:rsidP="00F7112B">
            <w:pPr>
              <w:pStyle w:val="ListBullet"/>
            </w:pPr>
            <w:r w:rsidRPr="00F7112B">
              <w:t>ensuring free surface is minimised in ballast and fuel tanks</w:t>
            </w:r>
          </w:p>
          <w:p w:rsidR="00000000" w:rsidRPr="00F7112B" w:rsidP="00F7112B">
            <w:pPr>
              <w:pStyle w:val="ListBullet"/>
            </w:pPr>
            <w:r w:rsidRPr="00F7112B">
              <w:t>ensuring freeing ports allow water taken on deck to clear</w:t>
            </w:r>
          </w:p>
          <w:p w:rsidR="00000000" w:rsidRPr="00F7112B" w:rsidP="00F7112B">
            <w:pPr>
              <w:pStyle w:val="ListBullet"/>
            </w:pPr>
            <w:r w:rsidRPr="00F7112B">
              <w:t>ensuring passenger</w:t>
            </w:r>
            <w:r w:rsidRPr="00F7112B">
              <w:t xml:space="preserve"> distribution does not exceed allowed limits</w:t>
            </w:r>
          </w:p>
          <w:p w:rsidR="00000000" w:rsidRPr="00F7112B" w:rsidP="00F7112B">
            <w:pPr>
              <w:pStyle w:val="ListBullet"/>
            </w:pPr>
            <w:r w:rsidRPr="00F7112B">
              <w:t xml:space="preserve">ensuring stores, cargo and equipment are properly stowed and lashed </w:t>
            </w:r>
          </w:p>
          <w:p w:rsidR="00000000" w:rsidRPr="00F7112B" w:rsidP="00F7112B">
            <w:pPr>
              <w:pStyle w:val="ListBullet"/>
            </w:pPr>
            <w:r w:rsidRPr="00F7112B">
              <w:t>establishing procedures for restoring or managing weather tight and watertight integrity during an emergency</w:t>
            </w:r>
          </w:p>
          <w:p w:rsidR="00000000" w:rsidRPr="00F7112B" w:rsidP="00F7112B">
            <w:pPr>
              <w:pStyle w:val="ListBullet"/>
            </w:pPr>
            <w:r w:rsidRPr="00F7112B">
              <w:t>maintaining the stability conditi</w:t>
            </w:r>
            <w:r w:rsidRPr="00F7112B">
              <w:t>on within approved limits</w:t>
            </w:r>
          </w:p>
          <w:p w:rsidR="00000000" w:rsidP="00F7112B">
            <w:pPr>
              <w:pStyle w:val="ListBullet"/>
              <w:rPr>
                <w:lang w:val="en-NZ"/>
              </w:rPr>
            </w:pPr>
            <w:r w:rsidRPr="00F7112B">
              <w:t>testing of tanks and other watertight areas</w:t>
            </w:r>
          </w:p>
        </w:tc>
      </w:tr>
      <w:tr w:rsidTr="00EB0E9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F7112B">
            <w:pPr>
              <w:pStyle w:val="BodyText"/>
              <w:rPr>
                <w:lang w:val="en-NZ"/>
              </w:rPr>
            </w:pPr>
          </w:p>
        </w:tc>
      </w:tr>
      <w:tr w:rsidTr="00EB0E9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7112B">
            <w:pPr>
              <w:pStyle w:val="BodyText"/>
              <w:rPr>
                <w:lang w:val="en-NZ"/>
              </w:rPr>
            </w:pPr>
            <w:r w:rsidRPr="00F7112B">
              <w:t>Relevant documents and records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F7112B" w:rsidP="00F7112B">
            <w:pPr>
              <w:pStyle w:val="ListBullet"/>
            </w:pPr>
            <w:r w:rsidRPr="00F7112B">
              <w:t xml:space="preserve">equipment manufacturer instructions </w:t>
            </w:r>
          </w:p>
          <w:p w:rsidR="00000000" w:rsidRPr="00F7112B" w:rsidP="00F7112B">
            <w:pPr>
              <w:pStyle w:val="ListBullet"/>
            </w:pPr>
            <w:r w:rsidRPr="00F7112B">
              <w:t>logbooks, including oil record and garbage log books as applicable</w:t>
            </w:r>
          </w:p>
          <w:p w:rsidR="00000000" w:rsidRPr="00F7112B" w:rsidP="00F7112B">
            <w:pPr>
              <w:pStyle w:val="ListBullet"/>
            </w:pPr>
            <w:r w:rsidRPr="00F7112B">
              <w:t>organisational operation orders under the International Management Code for the Safe Operation of Ships and for Pollution Prevention (ISM) Code</w:t>
            </w:r>
          </w:p>
          <w:p w:rsidR="00000000" w:rsidRPr="00F7112B" w:rsidP="00F7112B">
            <w:pPr>
              <w:pStyle w:val="ListBullet"/>
            </w:pPr>
            <w:r w:rsidRPr="00F7112B">
              <w:t>plans and drawings</w:t>
            </w:r>
          </w:p>
          <w:p w:rsidR="00000000" w:rsidRPr="00F7112B" w:rsidP="00F7112B">
            <w:pPr>
              <w:pStyle w:val="ListBullet"/>
            </w:pPr>
            <w:r w:rsidRPr="00F7112B">
              <w:t>relevant maritime regulations and legislative requirements</w:t>
            </w:r>
          </w:p>
          <w:p w:rsidR="00000000" w:rsidRPr="00F7112B" w:rsidP="00F7112B">
            <w:pPr>
              <w:pStyle w:val="ListBullet"/>
            </w:pPr>
            <w:r w:rsidRPr="00F7112B">
              <w:t>stability data manual</w:t>
            </w:r>
          </w:p>
        </w:tc>
      </w:tr>
    </w:tbl>
    <w:p w:rsidR="00000000" w:rsidRPr="00F7112B" w:rsidP="00F7112B">
      <w:pPr>
        <w:pStyle w:val="BodyText"/>
      </w:pPr>
    </w:p>
    <w:p w:rsidR="00000000" w:rsidRPr="00F7112B" w:rsidP="00F7112B">
      <w:pPr>
        <w:pStyle w:val="AllowPageBreak"/>
      </w:pPr>
    </w:p>
    <w:p w:rsidR="00000000" w:rsidRPr="00F7112B" w:rsidP="00F7112B">
      <w:pPr>
        <w:pStyle w:val="Heading1"/>
      </w:pPr>
      <w:bookmarkStart w:id="9" w:name="O_596630"/>
      <w:bookmarkEnd w:id="9"/>
      <w:r w:rsidRPr="00F7112B">
        <w:t>Unit Mapping Information</w:t>
      </w:r>
    </w:p>
    <w:p w:rsidR="00000000" w:rsidRPr="00F7112B" w:rsidP="00EB0E9A">
      <w:pPr>
        <w:pStyle w:val="BodyText"/>
      </w:pPr>
      <w:r w:rsidRPr="00F7112B">
        <w:t>This is a new unit. This unit is equivalent to MARN5001A Maintain seaworthiness of a vessel.</w:t>
      </w:r>
    </w:p>
    <w:p w:rsidR="00000000" w:rsidRPr="00F7112B" w:rsidP="00F7112B">
      <w:pPr>
        <w:pStyle w:val="Heading1"/>
      </w:pPr>
      <w:bookmarkStart w:id="10" w:name="O_596637"/>
      <w:bookmarkEnd w:id="10"/>
      <w:r w:rsidRPr="00F7112B">
        <w:t>Links</w:t>
      </w:r>
    </w:p>
    <w:p w:rsidR="00000000" w:rsidRPr="00F7112B" w:rsidP="00EB0E9A">
      <w:pPr>
        <w:pStyle w:val="BodyText"/>
      </w:pPr>
      <w:r w:rsidRPr="00F7112B">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2132A3">
        <w:rPr>
          <w:rStyle w:val="Hyperlink"/>
        </w:rPr>
        <w:t>https://vetnet.gov.au/Pages/TrainingDocs.aspx?q=772efb7b-4cce-47fe-9bbd-ee3b1d1eb4c2</w:t>
      </w:r>
      <w:r>
        <w:fldChar w:fldCharType="end"/>
      </w:r>
    </w:p>
    <w:p w:rsidR="00000000" w:rsidRPr="00F7112B" w:rsidP="00F7112B"/>
    <w:sectPr w:rsidSect="00F711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1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12B" w:rsidRPr="00EB0E9A" w:rsidP="00EB0E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1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E9A" w:rsidP="00F711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B0E9A" w:rsidP="00F7112B">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B0E9A" w:rsidP="00F711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1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E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112B" w:rsidRPr="00EB0E9A" w:rsidP="00EB0E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1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E9A" w:rsidRPr="002D2AF8" w:rsidP="00F7112B">
    <w:pPr>
      <w:pStyle w:val="Header"/>
      <w:framePr w:wrap="around"/>
    </w:pPr>
    <w:r>
      <w:fldChar w:fldCharType="begin"/>
    </w:r>
    <w:r>
      <w:instrText xml:space="preserve"> TITLE   \* MERGEFORMAT </w:instrText>
    </w:r>
    <w:r>
      <w:fldChar w:fldCharType="separate"/>
    </w:r>
    <w:r>
      <w:t>MARN005 Maintain seaworthiness of a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EB0E9A" w:rsidP="00F711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85810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9FC1C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11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112B"/>
    <w:pPr>
      <w:spacing w:before="360" w:after="60"/>
      <w:outlineLvl w:val="0"/>
    </w:pPr>
    <w:rPr>
      <w:sz w:val="32"/>
    </w:rPr>
  </w:style>
  <w:style w:type="paragraph" w:styleId="Heading2">
    <w:name w:val="heading 2"/>
    <w:basedOn w:val="HeadingBase"/>
    <w:next w:val="BodyText"/>
    <w:link w:val="Heading2Char"/>
    <w:qFormat/>
    <w:rsid w:val="00F7112B"/>
    <w:pPr>
      <w:keepLines/>
      <w:spacing w:before="240" w:after="120"/>
      <w:outlineLvl w:val="1"/>
    </w:pPr>
    <w:rPr>
      <w:sz w:val="28"/>
      <w:szCs w:val="40"/>
    </w:rPr>
  </w:style>
  <w:style w:type="paragraph" w:styleId="Heading3">
    <w:name w:val="heading 3"/>
    <w:basedOn w:val="HeadingBase"/>
    <w:next w:val="BodyText"/>
    <w:link w:val="Heading3Char"/>
    <w:qFormat/>
    <w:rsid w:val="00F7112B"/>
    <w:pPr>
      <w:spacing w:before="180" w:after="120"/>
      <w:outlineLvl w:val="2"/>
    </w:pPr>
    <w:rPr>
      <w:spacing w:val="-10"/>
      <w:kern w:val="32"/>
    </w:rPr>
  </w:style>
  <w:style w:type="paragraph" w:styleId="Heading4">
    <w:name w:val="heading 4"/>
    <w:basedOn w:val="HeadingBase"/>
    <w:next w:val="BodyText"/>
    <w:link w:val="Heading4Char"/>
    <w:qFormat/>
    <w:rsid w:val="00F7112B"/>
    <w:pPr>
      <w:spacing w:before="160" w:after="120"/>
      <w:outlineLvl w:val="3"/>
    </w:pPr>
    <w:rPr>
      <w:sz w:val="22"/>
    </w:rPr>
  </w:style>
  <w:style w:type="paragraph" w:styleId="Heading5">
    <w:name w:val="heading 5"/>
    <w:basedOn w:val="HeadingBase"/>
    <w:next w:val="Normal"/>
    <w:link w:val="Heading5Char"/>
    <w:qFormat/>
    <w:rsid w:val="00F7112B"/>
    <w:pPr>
      <w:spacing w:before="80"/>
      <w:outlineLvl w:val="4"/>
    </w:pPr>
    <w:rPr>
      <w:color w:val="918585"/>
      <w:sz w:val="20"/>
    </w:rPr>
  </w:style>
  <w:style w:type="paragraph" w:styleId="Heading6">
    <w:name w:val="heading 6"/>
    <w:basedOn w:val="HeadingBase"/>
    <w:next w:val="Normal"/>
    <w:link w:val="Heading6Char"/>
    <w:qFormat/>
    <w:rsid w:val="00F7112B"/>
    <w:pPr>
      <w:spacing w:before="60"/>
      <w:outlineLvl w:val="5"/>
    </w:pPr>
    <w:rPr>
      <w:color w:val="918585"/>
      <w:sz w:val="20"/>
    </w:rPr>
  </w:style>
  <w:style w:type="paragraph" w:styleId="Heading7">
    <w:name w:val="heading 7"/>
    <w:basedOn w:val="Normal"/>
    <w:next w:val="Normal"/>
    <w:link w:val="Heading7Char"/>
    <w:qFormat/>
    <w:rsid w:val="00F7112B"/>
    <w:pPr>
      <w:ind w:left="720"/>
      <w:outlineLvl w:val="6"/>
    </w:pPr>
    <w:rPr>
      <w:i/>
    </w:rPr>
  </w:style>
  <w:style w:type="paragraph" w:styleId="Heading8">
    <w:name w:val="heading 8"/>
    <w:basedOn w:val="Normal"/>
    <w:next w:val="Normal"/>
    <w:link w:val="Heading8Char"/>
    <w:qFormat/>
    <w:rsid w:val="00F7112B"/>
    <w:pPr>
      <w:ind w:left="720"/>
      <w:outlineLvl w:val="7"/>
    </w:pPr>
    <w:rPr>
      <w:i/>
    </w:rPr>
  </w:style>
  <w:style w:type="paragraph" w:styleId="Heading9">
    <w:name w:val="heading 9"/>
    <w:basedOn w:val="Normal"/>
    <w:next w:val="Normal"/>
    <w:link w:val="Heading9Char"/>
    <w:qFormat/>
    <w:rsid w:val="00F7112B"/>
    <w:pPr>
      <w:ind w:left="720"/>
      <w:outlineLvl w:val="8"/>
    </w:pPr>
    <w:rPr>
      <w:i/>
    </w:rPr>
  </w:style>
  <w:style w:type="character" w:default="1" w:styleId="DefaultParagraphFont">
    <w:name w:val="Default Paragraph Font"/>
    <w:uiPriority w:val="1"/>
    <w:unhideWhenUsed/>
    <w:rsid w:val="00F711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112B"/>
  </w:style>
  <w:style w:type="character" w:customStyle="1" w:styleId="Heading1Char">
    <w:name w:val="Heading 1 Char"/>
    <w:basedOn w:val="DefaultParagraphFont"/>
    <w:link w:val="Heading1"/>
    <w:rsid w:val="00F7112B"/>
    <w:rPr>
      <w:rFonts w:ascii="Times New Roman" w:eastAsia="Times New Roman" w:hAnsi="Times New Roman" w:cs="Times New Roman"/>
      <w:b/>
      <w:sz w:val="32"/>
      <w:szCs w:val="20"/>
      <w:lang w:eastAsia="en-US"/>
    </w:rPr>
  </w:style>
  <w:style w:type="paragraph" w:styleId="BodyText">
    <w:name w:val="Body Text"/>
    <w:basedOn w:val="Normal"/>
    <w:link w:val="BodyTextChar"/>
    <w:rsid w:val="00F711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112B"/>
    <w:rPr>
      <w:rFonts w:ascii="Times New Roman" w:eastAsia="Times New Roman" w:hAnsi="Times New Roman" w:cs="Times New Roman"/>
      <w:sz w:val="24"/>
      <w:lang w:eastAsia="en-US"/>
    </w:rPr>
  </w:style>
  <w:style w:type="paragraph" w:styleId="ListBullet">
    <w:name w:val="List Bullet"/>
    <w:basedOn w:val="List"/>
    <w:rsid w:val="00F7112B"/>
    <w:pPr>
      <w:numPr>
        <w:numId w:val="11"/>
      </w:numPr>
      <w:tabs>
        <w:tab w:val="clear" w:pos="340"/>
      </w:tabs>
      <w:spacing w:before="40" w:after="40"/>
    </w:pPr>
  </w:style>
  <w:style w:type="character" w:customStyle="1" w:styleId="SpecialBold">
    <w:name w:val="Special Bold"/>
    <w:basedOn w:val="DefaultParagraphFont"/>
    <w:rsid w:val="00F7112B"/>
    <w:rPr>
      <w:b/>
      <w:spacing w:val="0"/>
    </w:rPr>
  </w:style>
  <w:style w:type="paragraph" w:customStyle="1" w:styleId="SuperHeading">
    <w:name w:val="SuperHeading"/>
    <w:basedOn w:val="Normal"/>
    <w:rsid w:val="00F7112B"/>
    <w:pPr>
      <w:spacing w:before="240" w:after="120"/>
      <w:outlineLvl w:val="0"/>
    </w:pPr>
    <w:rPr>
      <w:rFonts w:ascii="Times New Roman" w:hAnsi="Times New Roman"/>
      <w:b/>
      <w:sz w:val="32"/>
    </w:rPr>
  </w:style>
  <w:style w:type="paragraph" w:customStyle="1" w:styleId="AllowPageBreak">
    <w:name w:val="AllowPageBreak"/>
    <w:rsid w:val="00F711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11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11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11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11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11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11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11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112B"/>
    <w:rPr>
      <w:rFonts w:ascii="Courier New" w:eastAsia="Times New Roman" w:hAnsi="Courier New" w:cs="Times New Roman"/>
      <w:i/>
      <w:szCs w:val="20"/>
      <w:lang w:eastAsia="en-US"/>
    </w:rPr>
  </w:style>
  <w:style w:type="paragraph" w:customStyle="1" w:styleId="HeadingBase">
    <w:name w:val="Heading Base"/>
    <w:rsid w:val="00F711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112B"/>
    <w:pPr>
      <w:tabs>
        <w:tab w:val="right" w:leader="dot" w:pos="9072"/>
      </w:tabs>
      <w:ind w:left="567"/>
    </w:pPr>
    <w:rPr>
      <w:szCs w:val="22"/>
    </w:rPr>
  </w:style>
  <w:style w:type="paragraph" w:customStyle="1" w:styleId="TOCBase">
    <w:name w:val="TOC Base"/>
    <w:rsid w:val="00F711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112B"/>
    <w:pPr>
      <w:tabs>
        <w:tab w:val="right" w:leader="dot" w:pos="9072"/>
      </w:tabs>
      <w:spacing w:before="40" w:after="40"/>
      <w:ind w:left="284"/>
    </w:pPr>
    <w:rPr>
      <w:rFonts w:ascii="Times New Roman" w:hAnsi="Times New Roman"/>
    </w:rPr>
  </w:style>
  <w:style w:type="paragraph" w:styleId="TOC1">
    <w:name w:val="toc 1"/>
    <w:basedOn w:val="TOCBase"/>
    <w:next w:val="Normal"/>
    <w:rsid w:val="00F711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11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112B"/>
    <w:rPr>
      <w:rFonts w:ascii="Times New Roman" w:eastAsia="Times New Roman" w:hAnsi="Times New Roman" w:cs="Times New Roman"/>
      <w:sz w:val="16"/>
      <w:lang w:eastAsia="en-US"/>
    </w:rPr>
  </w:style>
  <w:style w:type="paragraph" w:styleId="Title">
    <w:name w:val="Title"/>
    <w:basedOn w:val="HeadingBase"/>
    <w:link w:val="TitleChar"/>
    <w:qFormat/>
    <w:rsid w:val="00F7112B"/>
    <w:pPr>
      <w:spacing w:before="5040"/>
      <w:jc w:val="center"/>
    </w:pPr>
    <w:rPr>
      <w:sz w:val="48"/>
      <w:szCs w:val="72"/>
      <w:lang w:val="en-US"/>
    </w:rPr>
  </w:style>
  <w:style w:type="character" w:customStyle="1" w:styleId="TitleChar">
    <w:name w:val="Title Char"/>
    <w:basedOn w:val="DefaultParagraphFont"/>
    <w:link w:val="Title"/>
    <w:rsid w:val="00F711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112B"/>
    <w:pPr>
      <w:tabs>
        <w:tab w:val="left" w:pos="3600"/>
        <w:tab w:val="left" w:pos="3958"/>
      </w:tabs>
    </w:pPr>
  </w:style>
  <w:style w:type="paragraph" w:styleId="List">
    <w:name w:val="List"/>
    <w:basedOn w:val="BodyText"/>
    <w:next w:val="BodyText"/>
    <w:rsid w:val="00F7112B"/>
    <w:pPr>
      <w:tabs>
        <w:tab w:val="left" w:pos="340"/>
      </w:tabs>
      <w:spacing w:before="60" w:after="60"/>
      <w:ind w:left="340" w:hanging="340"/>
    </w:pPr>
  </w:style>
  <w:style w:type="paragraph" w:customStyle="1" w:styleId="Note">
    <w:name w:val="Note"/>
    <w:basedOn w:val="BodyText"/>
    <w:rsid w:val="00F711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112B"/>
    <w:pPr>
      <w:framePr w:wrap="auto" w:hAnchor="text" w:y="6049"/>
    </w:pPr>
    <w:rPr>
      <w:color w:val="000000"/>
      <w:sz w:val="40"/>
    </w:rPr>
  </w:style>
  <w:style w:type="paragraph" w:customStyle="1" w:styleId="TOCTitle">
    <w:name w:val="TOCTitle"/>
    <w:basedOn w:val="Heading1"/>
    <w:rsid w:val="00F7112B"/>
    <w:pPr>
      <w:spacing w:after="240"/>
      <w:jc w:val="center"/>
      <w:outlineLvl w:val="9"/>
    </w:pPr>
    <w:rPr>
      <w:caps/>
    </w:rPr>
  </w:style>
  <w:style w:type="paragraph" w:customStyle="1" w:styleId="Version">
    <w:name w:val="Version"/>
    <w:rsid w:val="00F7112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7112B"/>
    <w:pPr>
      <w:numPr>
        <w:numId w:val="12"/>
      </w:numPr>
      <w:tabs>
        <w:tab w:val="clear" w:pos="680"/>
      </w:tabs>
    </w:pPr>
  </w:style>
  <w:style w:type="paragraph" w:styleId="Index1">
    <w:name w:val="index 1"/>
    <w:basedOn w:val="Normal"/>
    <w:next w:val="Normal"/>
    <w:semiHidden/>
    <w:rsid w:val="00F7112B"/>
    <w:pPr>
      <w:keepNext w:val="0"/>
      <w:tabs>
        <w:tab w:val="right" w:pos="4176"/>
      </w:tabs>
      <w:ind w:left="198" w:hanging="198"/>
    </w:pPr>
    <w:rPr>
      <w:rFonts w:ascii="Garamond" w:hAnsi="Garamond"/>
    </w:rPr>
  </w:style>
  <w:style w:type="paragraph" w:styleId="IndexHeading">
    <w:name w:val="index heading"/>
    <w:basedOn w:val="Normal"/>
    <w:next w:val="Index1"/>
    <w:semiHidden/>
    <w:rsid w:val="00F7112B"/>
    <w:pPr>
      <w:spacing w:before="120" w:after="120"/>
    </w:pPr>
    <w:rPr>
      <w:rFonts w:ascii="Arial" w:hAnsi="Arial"/>
      <w:b/>
      <w:color w:val="918585"/>
      <w:sz w:val="24"/>
    </w:rPr>
  </w:style>
  <w:style w:type="paragraph" w:styleId="Header">
    <w:name w:val="header"/>
    <w:basedOn w:val="Normal"/>
    <w:link w:val="HeaderChar"/>
    <w:rsid w:val="00F711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112B"/>
    <w:rPr>
      <w:rFonts w:ascii="Times New Roman" w:eastAsia="Times New Roman" w:hAnsi="Times New Roman" w:cs="Times New Roman"/>
      <w:sz w:val="16"/>
      <w:szCs w:val="20"/>
      <w:lang w:val="en-GB" w:eastAsia="en-US"/>
    </w:rPr>
  </w:style>
  <w:style w:type="paragraph" w:customStyle="1" w:styleId="Chapter">
    <w:name w:val="Chapter"/>
    <w:basedOn w:val="Normal"/>
    <w:rsid w:val="00F7112B"/>
    <w:pPr>
      <w:spacing w:before="240"/>
    </w:pPr>
    <w:rPr>
      <w:rFonts w:ascii="Times New Roman" w:hAnsi="Times New Roman"/>
      <w:smallCaps/>
      <w:spacing w:val="80"/>
      <w:sz w:val="28"/>
    </w:rPr>
  </w:style>
  <w:style w:type="paragraph" w:customStyle="1" w:styleId="InChapter">
    <w:name w:val="InChapter"/>
    <w:basedOn w:val="Heading3"/>
    <w:rsid w:val="00F7112B"/>
    <w:pPr>
      <w:spacing w:after="240"/>
      <w:outlineLvl w:val="9"/>
    </w:pPr>
    <w:rPr>
      <w:noProof/>
    </w:rPr>
  </w:style>
  <w:style w:type="paragraph" w:styleId="Index2">
    <w:name w:val="index 2"/>
    <w:basedOn w:val="Normal"/>
    <w:next w:val="Normal"/>
    <w:semiHidden/>
    <w:rsid w:val="00F7112B"/>
    <w:pPr>
      <w:tabs>
        <w:tab w:val="right" w:pos="4176"/>
      </w:tabs>
      <w:ind w:left="568" w:hanging="284"/>
    </w:pPr>
    <w:rPr>
      <w:rFonts w:ascii="Garamond" w:hAnsi="Garamond"/>
    </w:rPr>
  </w:style>
  <w:style w:type="paragraph" w:customStyle="1" w:styleId="Byline">
    <w:name w:val="Byline"/>
    <w:rsid w:val="00F711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112B"/>
    <w:pPr>
      <w:tabs>
        <w:tab w:val="clear" w:pos="3600"/>
        <w:tab w:val="clear" w:pos="3958"/>
      </w:tabs>
      <w:jc w:val="right"/>
    </w:pPr>
  </w:style>
  <w:style w:type="character" w:styleId="Emphasis">
    <w:name w:val="Emphasis"/>
    <w:basedOn w:val="DefaultParagraphFont"/>
    <w:qFormat/>
    <w:rsid w:val="00F7112B"/>
    <w:rPr>
      <w:i/>
    </w:rPr>
  </w:style>
  <w:style w:type="paragraph" w:styleId="Caption">
    <w:name w:val="caption"/>
    <w:basedOn w:val="BodyText"/>
    <w:next w:val="Normal"/>
    <w:qFormat/>
    <w:rsid w:val="00F7112B"/>
    <w:pPr>
      <w:framePr w:w="2268" w:hSpace="181" w:vSpace="181" w:wrap="around" w:vAnchor="text" w:hAnchor="page" w:x="1135" w:y="285" w:anchorLock="1"/>
    </w:pPr>
    <w:rPr>
      <w:i/>
    </w:rPr>
  </w:style>
  <w:style w:type="paragraph" w:customStyle="1" w:styleId="MiniTOCTitle">
    <w:name w:val="MiniTOCTitle"/>
    <w:basedOn w:val="Heading4"/>
    <w:rsid w:val="00F7112B"/>
    <w:pPr>
      <w:spacing w:before="240"/>
      <w:outlineLvl w:val="9"/>
    </w:pPr>
    <w:rPr>
      <w:noProof/>
      <w:sz w:val="24"/>
    </w:rPr>
  </w:style>
  <w:style w:type="paragraph" w:customStyle="1" w:styleId="MiniTOCItem">
    <w:name w:val="MiniTOCItem"/>
    <w:basedOn w:val="ListBullet"/>
    <w:rsid w:val="00F7112B"/>
    <w:pPr>
      <w:numPr>
        <w:numId w:val="0"/>
      </w:numPr>
      <w:tabs>
        <w:tab w:val="right" w:leader="dot" w:pos="6521"/>
      </w:tabs>
      <w:spacing w:before="0" w:after="0"/>
    </w:pPr>
  </w:style>
  <w:style w:type="paragraph" w:customStyle="1" w:styleId="TOFTitle">
    <w:name w:val="TOFTitle"/>
    <w:basedOn w:val="TOCTitle"/>
    <w:rsid w:val="00F7112B"/>
  </w:style>
  <w:style w:type="paragraph" w:styleId="TableofFigures">
    <w:name w:val="table of figures"/>
    <w:basedOn w:val="Normal"/>
    <w:next w:val="Normal"/>
    <w:semiHidden/>
    <w:rsid w:val="00F7112B"/>
    <w:pPr>
      <w:tabs>
        <w:tab w:val="right" w:leader="dot" w:pos="9072"/>
      </w:tabs>
      <w:ind w:left="970" w:hanging="403"/>
    </w:pPr>
    <w:rPr>
      <w:rFonts w:ascii="Times New Roman" w:hAnsi="Times New Roman"/>
      <w:b/>
    </w:rPr>
  </w:style>
  <w:style w:type="paragraph" w:styleId="ListNumber">
    <w:name w:val="List Number"/>
    <w:basedOn w:val="List"/>
    <w:rsid w:val="00F7112B"/>
    <w:pPr>
      <w:numPr>
        <w:numId w:val="14"/>
      </w:numPr>
      <w:tabs>
        <w:tab w:val="clear" w:pos="340"/>
      </w:tabs>
    </w:pPr>
  </w:style>
  <w:style w:type="character" w:customStyle="1" w:styleId="WingdingSymbols">
    <w:name w:val="Wingding Symbols"/>
    <w:rsid w:val="00F7112B"/>
    <w:rPr>
      <w:rFonts w:ascii="Wingdings" w:hAnsi="Wingdings"/>
    </w:rPr>
  </w:style>
  <w:style w:type="paragraph" w:customStyle="1" w:styleId="TableHeading">
    <w:name w:val="Table Heading"/>
    <w:basedOn w:val="HeadingBase"/>
    <w:rsid w:val="00F7112B"/>
    <w:pPr>
      <w:keepLines/>
      <w:pBdr>
        <w:bottom w:val="single" w:sz="6" w:space="1" w:color="918585"/>
      </w:pBdr>
      <w:spacing w:before="240"/>
    </w:pPr>
  </w:style>
  <w:style w:type="character" w:customStyle="1" w:styleId="HotSpot">
    <w:name w:val="HotSpot"/>
    <w:rsid w:val="00F7112B"/>
    <w:rPr>
      <w:color w:val="0033CC"/>
      <w:u w:val="none"/>
    </w:rPr>
  </w:style>
  <w:style w:type="paragraph" w:customStyle="1" w:styleId="BodyTextRight">
    <w:name w:val="Body Text Right"/>
    <w:basedOn w:val="BodyText"/>
    <w:rsid w:val="00F7112B"/>
    <w:pPr>
      <w:spacing w:before="0" w:after="0"/>
      <w:jc w:val="right"/>
    </w:pPr>
  </w:style>
  <w:style w:type="paragraph" w:styleId="Index3">
    <w:name w:val="index 3"/>
    <w:basedOn w:val="ListNumber2"/>
    <w:next w:val="Normal"/>
    <w:semiHidden/>
    <w:rsid w:val="00F7112B"/>
    <w:pPr>
      <w:numPr>
        <w:numId w:val="0"/>
      </w:numPr>
      <w:tabs>
        <w:tab w:val="right" w:leader="dot" w:pos="4176"/>
      </w:tabs>
    </w:pPr>
  </w:style>
  <w:style w:type="paragraph" w:styleId="ListNumber2">
    <w:name w:val="List Number 2"/>
    <w:basedOn w:val="List2"/>
    <w:rsid w:val="00F7112B"/>
    <w:pPr>
      <w:numPr>
        <w:numId w:val="9"/>
      </w:numPr>
      <w:tabs>
        <w:tab w:val="clear" w:pos="1060"/>
      </w:tabs>
    </w:pPr>
  </w:style>
  <w:style w:type="paragraph" w:customStyle="1" w:styleId="MarginNote">
    <w:name w:val="Margin Note"/>
    <w:basedOn w:val="BodyText"/>
    <w:rsid w:val="00F711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11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11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112B"/>
    <w:rPr>
      <w:sz w:val="32"/>
    </w:rPr>
  </w:style>
  <w:style w:type="paragraph" w:customStyle="1" w:styleId="HeadingProcedure">
    <w:name w:val="Heading Procedure"/>
    <w:basedOn w:val="HeadingBase"/>
    <w:next w:val="Normal"/>
    <w:rsid w:val="00F7112B"/>
    <w:pPr>
      <w:tabs>
        <w:tab w:val="left" w:pos="0"/>
      </w:tabs>
      <w:spacing w:before="120" w:after="60"/>
    </w:pPr>
    <w:rPr>
      <w:i/>
      <w:color w:val="918585"/>
      <w:sz w:val="22"/>
    </w:rPr>
  </w:style>
  <w:style w:type="paragraph" w:customStyle="1" w:styleId="TableBodyText">
    <w:name w:val="Table Body Text"/>
    <w:basedOn w:val="BodyText"/>
    <w:rsid w:val="00F7112B"/>
    <w:pPr>
      <w:spacing w:before="60" w:after="60"/>
    </w:pPr>
  </w:style>
  <w:style w:type="paragraph" w:styleId="ListContinue">
    <w:name w:val="List Continue"/>
    <w:basedOn w:val="List"/>
    <w:rsid w:val="00F7112B"/>
    <w:pPr>
      <w:ind w:firstLine="0"/>
    </w:pPr>
  </w:style>
  <w:style w:type="paragraph" w:customStyle="1" w:styleId="ListNote">
    <w:name w:val="List Note"/>
    <w:basedOn w:val="List"/>
    <w:rsid w:val="00F7112B"/>
    <w:pPr>
      <w:pBdr>
        <w:top w:val="single" w:sz="6" w:space="2" w:color="918585"/>
        <w:bottom w:val="single" w:sz="6" w:space="2" w:color="918585"/>
      </w:pBdr>
      <w:tabs>
        <w:tab w:val="left" w:pos="1021"/>
      </w:tabs>
      <w:ind w:firstLine="0"/>
    </w:pPr>
  </w:style>
  <w:style w:type="paragraph" w:customStyle="1" w:styleId="Warning">
    <w:name w:val="Warning"/>
    <w:basedOn w:val="BodyText"/>
    <w:rsid w:val="00F7112B"/>
    <w:pPr>
      <w:shd w:val="clear" w:color="auto" w:fill="D9D9D9"/>
      <w:tabs>
        <w:tab w:val="left" w:pos="992"/>
      </w:tabs>
      <w:ind w:left="119" w:right="119"/>
    </w:pPr>
    <w:rPr>
      <w:sz w:val="20"/>
    </w:rPr>
  </w:style>
  <w:style w:type="paragraph" w:customStyle="1" w:styleId="MarginIcons">
    <w:name w:val="Margin Icons"/>
    <w:basedOn w:val="BodyText"/>
    <w:rsid w:val="00F711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112B"/>
    <w:rPr>
      <w:rFonts w:ascii="Courier New" w:hAnsi="Courier New"/>
    </w:rPr>
  </w:style>
  <w:style w:type="paragraph" w:customStyle="1" w:styleId="NoteBullet">
    <w:name w:val="Note Bullet"/>
    <w:basedOn w:val="Note"/>
    <w:rsid w:val="00F7112B"/>
    <w:pPr>
      <w:tabs>
        <w:tab w:val="clear" w:pos="680"/>
      </w:tabs>
      <w:spacing w:before="60" w:after="60"/>
    </w:pPr>
  </w:style>
  <w:style w:type="paragraph" w:customStyle="1" w:styleId="SubHeading2">
    <w:name w:val="SubHeading2"/>
    <w:basedOn w:val="HeadingBase"/>
    <w:rsid w:val="00F7112B"/>
    <w:pPr>
      <w:spacing w:before="240" w:after="60"/>
    </w:pPr>
    <w:rPr>
      <w:sz w:val="20"/>
    </w:rPr>
  </w:style>
  <w:style w:type="paragraph" w:customStyle="1" w:styleId="SubHeading1">
    <w:name w:val="SubHeading1"/>
    <w:basedOn w:val="HeadingBase"/>
    <w:rsid w:val="00F7112B"/>
    <w:pPr>
      <w:spacing w:before="240" w:after="60"/>
    </w:pPr>
    <w:rPr>
      <w:color w:val="918585"/>
      <w:sz w:val="22"/>
    </w:rPr>
  </w:style>
  <w:style w:type="paragraph" w:customStyle="1" w:styleId="SideHeading">
    <w:name w:val="Side Heading"/>
    <w:basedOn w:val="HeadingBase"/>
    <w:rsid w:val="00F711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112B"/>
    <w:pPr>
      <w:numPr>
        <w:numId w:val="10"/>
      </w:numPr>
    </w:pPr>
  </w:style>
  <w:style w:type="paragraph" w:styleId="PlainText">
    <w:name w:val="Plain Text"/>
    <w:basedOn w:val="Normal"/>
    <w:link w:val="PlainTextChar"/>
    <w:rsid w:val="00F7112B"/>
    <w:rPr>
      <w:sz w:val="20"/>
    </w:rPr>
  </w:style>
  <w:style w:type="character" w:customStyle="1" w:styleId="PlainTextChar">
    <w:name w:val="Plain Text Char"/>
    <w:basedOn w:val="DefaultParagraphFont"/>
    <w:link w:val="PlainText"/>
    <w:rsid w:val="00F7112B"/>
    <w:rPr>
      <w:rFonts w:ascii="Courier New" w:eastAsia="Times New Roman" w:hAnsi="Courier New" w:cs="Times New Roman"/>
      <w:sz w:val="20"/>
      <w:szCs w:val="20"/>
      <w:lang w:eastAsia="en-US"/>
    </w:rPr>
  </w:style>
  <w:style w:type="character" w:customStyle="1" w:styleId="MenuOption">
    <w:name w:val="Menu Option"/>
    <w:basedOn w:val="DefaultParagraphFont"/>
    <w:rsid w:val="00F7112B"/>
    <w:rPr>
      <w:b/>
      <w:smallCaps/>
    </w:rPr>
  </w:style>
  <w:style w:type="paragraph" w:customStyle="1" w:styleId="TableListNumber">
    <w:name w:val="Table List Number"/>
    <w:basedOn w:val="ListNumber"/>
    <w:rsid w:val="00F7112B"/>
    <w:pPr>
      <w:numPr>
        <w:numId w:val="0"/>
      </w:numPr>
    </w:pPr>
  </w:style>
  <w:style w:type="paragraph" w:styleId="TOC4">
    <w:name w:val="toc 4"/>
    <w:basedOn w:val="TOCBase"/>
    <w:next w:val="Normal"/>
    <w:semiHidden/>
    <w:rsid w:val="00F7112B"/>
    <w:pPr>
      <w:tabs>
        <w:tab w:val="right" w:leader="dot" w:pos="9071"/>
      </w:tabs>
      <w:ind w:left="1701"/>
    </w:pPr>
  </w:style>
  <w:style w:type="paragraph" w:customStyle="1" w:styleId="ListAlpha">
    <w:name w:val="List Alpha"/>
    <w:basedOn w:val="List"/>
    <w:rsid w:val="00F7112B"/>
    <w:pPr>
      <w:numPr>
        <w:numId w:val="8"/>
      </w:numPr>
    </w:pPr>
  </w:style>
  <w:style w:type="paragraph" w:customStyle="1" w:styleId="ListAlpha2">
    <w:name w:val="List Alpha 2"/>
    <w:basedOn w:val="List2"/>
    <w:rsid w:val="00F7112B"/>
    <w:pPr>
      <w:numPr>
        <w:numId w:val="7"/>
      </w:numPr>
    </w:pPr>
  </w:style>
  <w:style w:type="paragraph" w:styleId="List2">
    <w:name w:val="List 2"/>
    <w:basedOn w:val="BodyText"/>
    <w:rsid w:val="00F7112B"/>
    <w:pPr>
      <w:tabs>
        <w:tab w:val="left" w:pos="680"/>
      </w:tabs>
      <w:spacing w:before="60" w:after="60"/>
      <w:ind w:left="680" w:hanging="340"/>
    </w:pPr>
  </w:style>
  <w:style w:type="paragraph" w:styleId="List3">
    <w:name w:val="List 3"/>
    <w:basedOn w:val="BodyText"/>
    <w:rsid w:val="00F7112B"/>
    <w:pPr>
      <w:tabs>
        <w:tab w:val="left" w:pos="1021"/>
      </w:tabs>
      <w:spacing w:before="60" w:after="60"/>
      <w:ind w:left="1020" w:hanging="340"/>
    </w:pPr>
  </w:style>
  <w:style w:type="paragraph" w:styleId="List4">
    <w:name w:val="List 4"/>
    <w:basedOn w:val="BodyText"/>
    <w:rsid w:val="00F7112B"/>
    <w:pPr>
      <w:tabs>
        <w:tab w:val="left" w:pos="1361"/>
      </w:tabs>
      <w:spacing w:before="60" w:after="60"/>
      <w:ind w:left="1361" w:hanging="340"/>
    </w:pPr>
  </w:style>
  <w:style w:type="paragraph" w:styleId="List5">
    <w:name w:val="List 5"/>
    <w:basedOn w:val="BodyText"/>
    <w:rsid w:val="00F7112B"/>
    <w:pPr>
      <w:tabs>
        <w:tab w:val="left" w:pos="1701"/>
      </w:tabs>
      <w:spacing w:before="60" w:after="60"/>
      <w:ind w:left="1701" w:hanging="340"/>
    </w:pPr>
  </w:style>
  <w:style w:type="paragraph" w:styleId="ListBullet3">
    <w:name w:val="List Bullet 3"/>
    <w:basedOn w:val="List3"/>
    <w:rsid w:val="00F7112B"/>
    <w:pPr>
      <w:numPr>
        <w:numId w:val="13"/>
      </w:numPr>
      <w:tabs>
        <w:tab w:val="clear" w:pos="1021"/>
      </w:tabs>
      <w:ind w:left="1037" w:hanging="357"/>
    </w:pPr>
  </w:style>
  <w:style w:type="paragraph" w:styleId="ListBullet4">
    <w:name w:val="List Bullet 4"/>
    <w:basedOn w:val="List4"/>
    <w:rsid w:val="00F7112B"/>
    <w:pPr>
      <w:numPr>
        <w:numId w:val="2"/>
      </w:numPr>
      <w:tabs>
        <w:tab w:val="clear" w:pos="1361"/>
      </w:tabs>
    </w:pPr>
  </w:style>
  <w:style w:type="paragraph" w:styleId="ListBullet5">
    <w:name w:val="List Bullet 5"/>
    <w:basedOn w:val="List5"/>
    <w:rsid w:val="00F7112B"/>
    <w:pPr>
      <w:numPr>
        <w:numId w:val="3"/>
      </w:numPr>
    </w:pPr>
  </w:style>
  <w:style w:type="paragraph" w:styleId="ListContinue2">
    <w:name w:val="List Continue 2"/>
    <w:basedOn w:val="List2"/>
    <w:rsid w:val="00F7112B"/>
    <w:pPr>
      <w:ind w:firstLine="0"/>
    </w:pPr>
  </w:style>
  <w:style w:type="paragraph" w:styleId="ListContinue3">
    <w:name w:val="List Continue 3"/>
    <w:basedOn w:val="List3"/>
    <w:rsid w:val="00F7112B"/>
    <w:pPr>
      <w:ind w:left="1021" w:firstLine="0"/>
    </w:pPr>
  </w:style>
  <w:style w:type="paragraph" w:styleId="ListContinue4">
    <w:name w:val="List Continue 4"/>
    <w:basedOn w:val="List4"/>
    <w:rsid w:val="00F7112B"/>
    <w:pPr>
      <w:ind w:firstLine="0"/>
    </w:pPr>
  </w:style>
  <w:style w:type="paragraph" w:styleId="ListContinue5">
    <w:name w:val="List Continue 5"/>
    <w:basedOn w:val="List5"/>
    <w:rsid w:val="00F7112B"/>
    <w:pPr>
      <w:ind w:firstLine="0"/>
    </w:pPr>
  </w:style>
  <w:style w:type="paragraph" w:styleId="ListNumber3">
    <w:name w:val="List Number 3"/>
    <w:basedOn w:val="List3"/>
    <w:rsid w:val="00F7112B"/>
    <w:pPr>
      <w:numPr>
        <w:numId w:val="4"/>
      </w:numPr>
    </w:pPr>
  </w:style>
  <w:style w:type="paragraph" w:styleId="ListNumber4">
    <w:name w:val="List Number 4"/>
    <w:basedOn w:val="List4"/>
    <w:rsid w:val="00F7112B"/>
    <w:pPr>
      <w:numPr>
        <w:numId w:val="5"/>
      </w:numPr>
    </w:pPr>
  </w:style>
  <w:style w:type="paragraph" w:styleId="ListNumber5">
    <w:name w:val="List Number 5"/>
    <w:basedOn w:val="List5"/>
    <w:rsid w:val="00F7112B"/>
    <w:pPr>
      <w:numPr>
        <w:numId w:val="6"/>
      </w:numPr>
    </w:pPr>
  </w:style>
  <w:style w:type="paragraph" w:styleId="BlockText">
    <w:name w:val="Block Text"/>
    <w:basedOn w:val="Normal"/>
    <w:rsid w:val="00F7112B"/>
    <w:pPr>
      <w:spacing w:after="120"/>
      <w:ind w:left="1440" w:right="1440"/>
    </w:pPr>
  </w:style>
  <w:style w:type="character" w:customStyle="1" w:styleId="Subscript">
    <w:name w:val="Subscript"/>
    <w:basedOn w:val="DefaultParagraphFont"/>
    <w:rsid w:val="00F7112B"/>
    <w:rPr>
      <w:sz w:val="16"/>
      <w:vertAlign w:val="subscript"/>
    </w:rPr>
  </w:style>
  <w:style w:type="character" w:customStyle="1" w:styleId="Superscript">
    <w:name w:val="Superscript"/>
    <w:basedOn w:val="DefaultParagraphFont"/>
    <w:rsid w:val="00F7112B"/>
    <w:rPr>
      <w:sz w:val="16"/>
      <w:vertAlign w:val="superscript"/>
    </w:rPr>
  </w:style>
  <w:style w:type="character" w:customStyle="1" w:styleId="Symbols">
    <w:name w:val="Symbols"/>
    <w:basedOn w:val="DefaultParagraphFont"/>
    <w:rsid w:val="00F7112B"/>
    <w:rPr>
      <w:rFonts w:ascii="Symbol" w:hAnsi="Symbol"/>
    </w:rPr>
  </w:style>
  <w:style w:type="character" w:customStyle="1" w:styleId="MenuOptions">
    <w:name w:val="Menu Options"/>
    <w:basedOn w:val="DefaultParagraphFont"/>
    <w:rsid w:val="00F7112B"/>
    <w:rPr>
      <w:rFonts w:ascii="Arial Narrow" w:hAnsi="Arial Narrow"/>
      <w:smallCaps/>
    </w:rPr>
  </w:style>
  <w:style w:type="character" w:customStyle="1" w:styleId="Buttons">
    <w:name w:val="Buttons"/>
    <w:basedOn w:val="DefaultParagraphFont"/>
    <w:rsid w:val="00F7112B"/>
    <w:rPr>
      <w:b/>
    </w:rPr>
  </w:style>
  <w:style w:type="character" w:customStyle="1" w:styleId="Underlined">
    <w:name w:val="Underlined"/>
    <w:basedOn w:val="DefaultParagraphFont"/>
    <w:rsid w:val="00F7112B"/>
    <w:rPr>
      <w:u w:val="single"/>
    </w:rPr>
  </w:style>
  <w:style w:type="paragraph" w:customStyle="1" w:styleId="TableBodyTextRight">
    <w:name w:val="Table Body Text Right"/>
    <w:basedOn w:val="TableBodyText"/>
    <w:rsid w:val="00F7112B"/>
    <w:pPr>
      <w:widowControl w:val="0"/>
      <w:autoSpaceDE w:val="0"/>
      <w:autoSpaceDN w:val="0"/>
      <w:adjustRightInd w:val="0"/>
      <w:jc w:val="right"/>
    </w:pPr>
    <w:rPr>
      <w:rFonts w:cs="Arial"/>
      <w:szCs w:val="18"/>
    </w:rPr>
  </w:style>
  <w:style w:type="paragraph" w:customStyle="1" w:styleId="CopyrightText">
    <w:name w:val="Copyright Text"/>
    <w:basedOn w:val="BodyText"/>
    <w:rsid w:val="00F7112B"/>
    <w:rPr>
      <w:sz w:val="18"/>
    </w:rPr>
  </w:style>
  <w:style w:type="paragraph" w:customStyle="1" w:styleId="BodySmallRight">
    <w:name w:val="Body Small Right"/>
    <w:basedOn w:val="BodyTextRight"/>
    <w:rsid w:val="00F7112B"/>
    <w:rPr>
      <w:sz w:val="18"/>
      <w:szCs w:val="18"/>
    </w:rPr>
  </w:style>
  <w:style w:type="paragraph" w:customStyle="1" w:styleId="MarginEdition">
    <w:name w:val="Margin Edition"/>
    <w:basedOn w:val="MarginNote"/>
    <w:rsid w:val="00F7112B"/>
    <w:pPr>
      <w:spacing w:before="0" w:after="0"/>
    </w:pPr>
    <w:rPr>
      <w:rFonts w:ascii="Times New Roman" w:hAnsi="Times New Roman"/>
      <w:color w:val="999999"/>
    </w:rPr>
  </w:style>
  <w:style w:type="paragraph" w:customStyle="1" w:styleId="Spacer">
    <w:name w:val="Spacer"/>
    <w:basedOn w:val="Normal"/>
    <w:rsid w:val="00F7112B"/>
    <w:rPr>
      <w:sz w:val="2"/>
      <w:szCs w:val="2"/>
    </w:rPr>
  </w:style>
  <w:style w:type="character" w:customStyle="1" w:styleId="Small">
    <w:name w:val="Small"/>
    <w:basedOn w:val="DefaultParagraphFont"/>
    <w:rsid w:val="00F7112B"/>
    <w:rPr>
      <w:sz w:val="16"/>
    </w:rPr>
  </w:style>
  <w:style w:type="paragraph" w:customStyle="1" w:styleId="WideTable">
    <w:name w:val="Wide Table"/>
    <w:basedOn w:val="Normal"/>
    <w:rsid w:val="00F7112B"/>
    <w:pPr>
      <w:ind w:left="-1418"/>
    </w:pPr>
    <w:rPr>
      <w:sz w:val="2"/>
      <w:szCs w:val="2"/>
    </w:rPr>
  </w:style>
  <w:style w:type="character" w:styleId="PageNumber">
    <w:name w:val="page number"/>
    <w:basedOn w:val="DefaultParagraphFont"/>
    <w:rsid w:val="00F7112B"/>
  </w:style>
  <w:style w:type="paragraph" w:styleId="Quote">
    <w:name w:val="Quote"/>
    <w:basedOn w:val="Heading1"/>
    <w:link w:val="QuoteChar"/>
    <w:qFormat/>
    <w:rsid w:val="00F7112B"/>
    <w:rPr>
      <w:b w:val="0"/>
      <w:sz w:val="72"/>
      <w:szCs w:val="72"/>
      <w:lang w:val="en-NZ"/>
    </w:rPr>
  </w:style>
  <w:style w:type="character" w:customStyle="1" w:styleId="QuoteChar">
    <w:name w:val="Quote Char"/>
    <w:basedOn w:val="DefaultParagraphFont"/>
    <w:link w:val="Quote"/>
    <w:rsid w:val="00F711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112B"/>
    <w:pPr>
      <w:pageBreakBefore/>
    </w:pPr>
  </w:style>
  <w:style w:type="paragraph" w:customStyle="1" w:styleId="Border">
    <w:name w:val="Border"/>
    <w:basedOn w:val="Normal"/>
    <w:qFormat/>
    <w:rsid w:val="00F711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112B"/>
    <w:rPr>
      <w:b/>
      <w:bCs/>
      <w:i/>
      <w:iCs/>
      <w:color w:val="auto"/>
    </w:rPr>
  </w:style>
  <w:style w:type="paragraph" w:styleId="IntenseQuote">
    <w:name w:val="Intense Quote"/>
    <w:basedOn w:val="Normal"/>
    <w:next w:val="Normal"/>
    <w:link w:val="IntenseQuoteChar"/>
    <w:uiPriority w:val="30"/>
    <w:qFormat/>
    <w:rsid w:val="00F711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11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112B"/>
    <w:rPr>
      <w:smallCaps/>
      <w:color w:val="auto"/>
      <w:u w:val="single"/>
    </w:rPr>
  </w:style>
  <w:style w:type="character" w:styleId="IntenseReference">
    <w:name w:val="Intense Reference"/>
    <w:basedOn w:val="DefaultParagraphFont"/>
    <w:uiPriority w:val="32"/>
    <w:qFormat/>
    <w:rsid w:val="00F7112B"/>
    <w:rPr>
      <w:b/>
      <w:bCs/>
      <w:smallCaps/>
      <w:color w:val="auto"/>
      <w:spacing w:val="5"/>
      <w:u w:val="single"/>
    </w:rPr>
  </w:style>
  <w:style w:type="paragraph" w:customStyle="1" w:styleId="2ColumnHeading">
    <w:name w:val="2Column Heading"/>
    <w:basedOn w:val="BodyText"/>
    <w:qFormat/>
    <w:rsid w:val="00F7112B"/>
    <w:pPr>
      <w:spacing w:after="60"/>
      <w:ind w:left="-2268"/>
    </w:pPr>
    <w:rPr>
      <w:b/>
    </w:rPr>
  </w:style>
  <w:style w:type="paragraph" w:customStyle="1" w:styleId="Heading1TOC">
    <w:name w:val="Heading1 TOC"/>
    <w:basedOn w:val="Normal"/>
    <w:qFormat/>
    <w:rsid w:val="00F7112B"/>
    <w:pPr>
      <w:spacing w:before="240" w:after="120"/>
    </w:pPr>
    <w:rPr>
      <w:rFonts w:ascii="Times New Roman" w:hAnsi="Times New Roman"/>
      <w:b/>
      <w:sz w:val="32"/>
    </w:rPr>
  </w:style>
  <w:style w:type="paragraph" w:customStyle="1" w:styleId="Heading2TOC">
    <w:name w:val="Heading2 TOC"/>
    <w:basedOn w:val="Normal"/>
    <w:qFormat/>
    <w:rsid w:val="00F7112B"/>
    <w:pPr>
      <w:spacing w:before="240" w:after="60"/>
    </w:pPr>
    <w:rPr>
      <w:rFonts w:ascii="Times New Roman" w:hAnsi="Times New Roman"/>
      <w:b/>
      <w:sz w:val="28"/>
    </w:rPr>
  </w:style>
  <w:style w:type="character" w:customStyle="1" w:styleId="Underline">
    <w:name w:val="Underline"/>
    <w:basedOn w:val="DefaultParagraphFont"/>
    <w:qFormat/>
    <w:rsid w:val="00F7112B"/>
    <w:rPr>
      <w:u w:val="single"/>
    </w:rPr>
  </w:style>
  <w:style w:type="character" w:customStyle="1" w:styleId="BoldandItalics">
    <w:name w:val="Bold and Italics"/>
    <w:qFormat/>
    <w:rsid w:val="00F7112B"/>
    <w:rPr>
      <w:b/>
      <w:i/>
      <w:u w:val="none"/>
    </w:rPr>
  </w:style>
  <w:style w:type="paragraph" w:styleId="BalloonText">
    <w:name w:val="Balloon Text"/>
    <w:basedOn w:val="Normal"/>
    <w:link w:val="BalloonTextChar"/>
    <w:rsid w:val="00F7112B"/>
    <w:rPr>
      <w:rFonts w:ascii="Tahoma" w:hAnsi="Tahoma" w:cs="Tahoma"/>
      <w:sz w:val="16"/>
      <w:szCs w:val="16"/>
    </w:rPr>
  </w:style>
  <w:style w:type="character" w:customStyle="1" w:styleId="BalloonTextChar">
    <w:name w:val="Balloon Text Char"/>
    <w:basedOn w:val="DefaultParagraphFont"/>
    <w:link w:val="BalloonText"/>
    <w:rsid w:val="00F711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11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11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112B"/>
    <w:rPr>
      <w:b/>
      <w:color w:val="660033"/>
      <w:spacing w:val="0"/>
    </w:rPr>
  </w:style>
  <w:style w:type="paragraph" w:customStyle="1" w:styleId="Nameditemlist">
    <w:name w:val="Named item list"/>
    <w:basedOn w:val="BodyText"/>
    <w:qFormat/>
    <w:rsid w:val="00F7112B"/>
    <w:pPr>
      <w:tabs>
        <w:tab w:val="left" w:pos="2835"/>
      </w:tabs>
      <w:ind w:left="2835" w:hanging="2835"/>
    </w:pPr>
  </w:style>
  <w:style w:type="paragraph" w:customStyle="1" w:styleId="BodyTextnopadding">
    <w:name w:val="Body Text no padding"/>
    <w:basedOn w:val="BodyText"/>
    <w:qFormat/>
    <w:rsid w:val="00F7112B"/>
    <w:pPr>
      <w:spacing w:before="0" w:after="0"/>
    </w:pPr>
  </w:style>
  <w:style w:type="paragraph" w:customStyle="1" w:styleId="BodyTextBold">
    <w:name w:val="Body Text Bold"/>
    <w:basedOn w:val="BodyText"/>
    <w:qFormat/>
    <w:rsid w:val="00F7112B"/>
    <w:rPr>
      <w:b/>
    </w:rPr>
  </w:style>
  <w:style w:type="character" w:styleId="Hyperlink">
    <w:name w:val="Hyperlink"/>
    <w:basedOn w:val="DefaultParagraphFont"/>
    <w:uiPriority w:val="99"/>
    <w:unhideWhenUsed/>
    <w:rsid w:val="00EB0E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766</Words>
  <Characters>4730</Characters>
  <Application>Microsoft Office Word</Application>
  <DocSecurity>0</DocSecurity>
  <Lines>205</Lines>
  <Paragraphs>122</Paragraphs>
  <ScaleCrop>false</ScaleCrop>
  <Company>Author-it Software Corporation Ltd.</Company>
  <LinksUpToDate>false</LinksUpToDate>
  <CharactersWithSpaces>5374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MARN005 Maintain seaworthiness of a vessel</dc:title>
  <dc:subject>Approved</dc:subject>
  <dc:creator>Australian Industry Standards</dc:creator>
  <cp:keywords>Release: 1</cp:keywords>
  <dc:description>Review Date: 12 April 2008</dc:description>
  <cp:lastModifiedBy>HSD_TPCMSd.prod</cp:lastModifiedBy>
  <cp:revision>3</cp:revision>
  <dcterms:created xsi:type="dcterms:W3CDTF">2020-10-27T00:54:00Z</dcterms:created>
  <dcterms:modified xsi:type="dcterms:W3CDTF">2020-10-27T00:54:00Z</dcterms:modified>
</cp:coreProperties>
</file>