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207" w:rsidP="008C6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MARN002 Apply seamanship skills aboard a vessel up to 12 metres</w:t>
      </w:r>
      <w:r>
        <w:fldChar w:fldCharType="end"/>
      </w:r>
    </w:p>
    <w:p w:rsidR="008C6207" w:rsidP="008C6207">
      <w:pPr>
        <w:pStyle w:val="Version"/>
        <w:sectPr w:rsidSect="00D82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AC1" w:rsidP="00D82AC1">
      <w:pPr>
        <w:pStyle w:val="SuperHeading"/>
      </w:pPr>
      <w:r w:rsidRPr="00D82AC1">
        <w:t>MARN002 Apply seamanship skills aboard a vessel up to 12 metres</w:t>
      </w:r>
    </w:p>
    <w:p w:rsidR="00000000" w:rsidRPr="00D82AC1" w:rsidP="00D82AC1">
      <w:pPr>
        <w:pStyle w:val="Heading1"/>
      </w:pPr>
      <w:bookmarkStart w:id="1" w:name="O_596348"/>
      <w:bookmarkEnd w:id="1"/>
      <w:r w:rsidRPr="00D82AC1">
        <w:t>Modification History</w:t>
      </w:r>
    </w:p>
    <w:p w:rsidR="00000000" w:rsidRPr="00D82AC1" w:rsidP="00D82AC1">
      <w:pPr>
        <w:pStyle w:val="BodyText"/>
      </w:pPr>
      <w:r w:rsidRPr="00D82AC1">
        <w:t>Release 1. New unit of competency.</w:t>
      </w: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2" w:name="O_596349"/>
      <w:bookmarkEnd w:id="2"/>
      <w:r w:rsidRPr="00D82AC1">
        <w:t>Application</w:t>
      </w:r>
    </w:p>
    <w:p w:rsidR="00000000" w:rsidRPr="00D82AC1" w:rsidP="00D82AC1">
      <w:pPr>
        <w:pStyle w:val="BodyText"/>
      </w:pPr>
      <w:r w:rsidRPr="00D82AC1">
        <w:t>This unit involves the skills and knowledge required to apply practical seamanship skills and techniques as part of work duties aboard a vessel up to12 metres.</w:t>
      </w:r>
    </w:p>
    <w:p w:rsidR="00000000" w:rsidRPr="00D82AC1" w:rsidP="00D82AC1">
      <w:pPr>
        <w:pStyle w:val="BodyText"/>
      </w:pPr>
    </w:p>
    <w:p w:rsidR="00000000" w:rsidRPr="00D82AC1" w:rsidP="00D82AC1">
      <w:pPr>
        <w:pStyle w:val="BodyText"/>
      </w:pPr>
      <w:r w:rsidRPr="00D82AC1">
        <w:t>This unit applies to Coxswain Grade 1 Near Coastal and Coxswain Grade 2 Near Coastal working in</w:t>
      </w:r>
      <w:r w:rsidRPr="00D82AC1">
        <w:t xml:space="preserve"> the maritime industry on vessels up to 12 metres.</w:t>
      </w:r>
    </w:p>
    <w:p w:rsidR="00000000" w:rsidRPr="00D82AC1" w:rsidP="00D82AC1">
      <w:pPr>
        <w:pStyle w:val="BodyText"/>
      </w:pPr>
    </w:p>
    <w:p w:rsidR="00000000" w:rsidRPr="00D82AC1" w:rsidP="00D82AC1">
      <w:pPr>
        <w:pStyle w:val="BodyText"/>
      </w:pPr>
      <w:r w:rsidRPr="00D82AC1">
        <w:t>This unit has links to legislative and certification requirements.</w:t>
      </w: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3" w:name="O_596350"/>
      <w:bookmarkEnd w:id="3"/>
      <w:r w:rsidRPr="00D82AC1">
        <w:t>Pre-requisite Unit</w:t>
      </w:r>
    </w:p>
    <w:p w:rsidR="00000000" w:rsidRPr="00D82AC1" w:rsidP="00D82AC1">
      <w:pPr>
        <w:pStyle w:val="BodyText"/>
      </w:pPr>
      <w:r w:rsidRPr="00D82AC1">
        <w:t>Not applicable.</w:t>
      </w: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4" w:name="O_596351"/>
      <w:bookmarkEnd w:id="4"/>
      <w:r w:rsidRPr="00D82AC1">
        <w:t>Competency Field</w:t>
      </w:r>
    </w:p>
    <w:p w:rsidR="00000000" w:rsidRPr="00D82AC1" w:rsidP="00D82AC1">
      <w:pPr>
        <w:pStyle w:val="BodyText"/>
      </w:pPr>
      <w:r w:rsidRPr="00D82AC1">
        <w:t>N – Seamanship</w:t>
      </w: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5" w:name="O_596352"/>
      <w:bookmarkEnd w:id="5"/>
      <w:r w:rsidRPr="00D82AC1">
        <w:t>Unit Sector</w:t>
      </w:r>
    </w:p>
    <w:p w:rsidR="00000000" w:rsidRPr="00D82AC1" w:rsidP="00D82AC1">
      <w:pPr>
        <w:pStyle w:val="BodyText"/>
      </w:pPr>
      <w:r w:rsidRPr="00D82AC1">
        <w:t>Not app</w:t>
      </w:r>
      <w:r w:rsidRPr="00D82AC1">
        <w:t>licable.</w:t>
      </w: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6" w:name="O_596353"/>
      <w:bookmarkEnd w:id="6"/>
      <w:r w:rsidRPr="00D82AC1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Performance criteria describe the performance needed to demonstrate achievement of the element.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BodyText"/>
            </w:pPr>
            <w:r w:rsidRPr="00D82AC1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rPr>
                <w:rStyle w:val="SpecialBold"/>
              </w:rPr>
              <w:t>Use and maintain ropes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Rope types and common areas of use are correctly identified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Ropes are checked for wear and repairs are undertaken according to manufacturer guidelines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Ropes are coiled and stowed correctly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Knots and hitches are tied neatly and securely, and are used according to their correct application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Ropes are spliced neatly and securely according to their correct application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1.6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Rope ends are whipped where appropriate to maintain good conditio</w:t>
            </w:r>
            <w:r w:rsidRPr="00D82AC1">
              <w:t>n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BodyText"/>
            </w:pPr>
            <w:r w:rsidRPr="00D82AC1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rPr>
                <w:rStyle w:val="SpecialBold"/>
              </w:rPr>
              <w:t>Secure vessel at anchor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Prior to letting go, anchor and equipment are prepared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Quantity of anchor cable run out or recovered is appropriate to the depth of water, weather and sea conditions, and tidal range in area of operation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During operation, control of cable is maintained within safe operating limits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Degree to which anchor and equipment are secured on completion of anchoring operations is appropriate to forecast conditions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During all operations, anchoring area is kept free of loose ropes, wires and debris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BodyText"/>
            </w:pPr>
            <w:r w:rsidRPr="00D82AC1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rPr>
                <w:rStyle w:val="SpecialBold"/>
              </w:rPr>
              <w:t>Secure vessel at a berth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At all times, mooring lines and associated equipment are handled safely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Throughout operations, mooring area is kept free of loose ropes, wires and debris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Tension on ropes is maintained at an appropriate level for the stage and nature of the operation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BodyText"/>
            </w:pPr>
            <w:r w:rsidRPr="00D82AC1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rPr>
                <w:rStyle w:val="SpecialBold"/>
              </w:rPr>
              <w:t>Check condition and seaworthiness of vessel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Coverage and freque</w:t>
            </w:r>
            <w:r w:rsidRPr="00D82AC1">
              <w:t>ncy of checks and inspections on vessel seaworthiness are undertaken according to workplace procedures and organisational safety management system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Watertight integrity is checked and appropriate action is taken to prepare for prevailing and forecast weather and sea conditions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Degree to which vessel is secured is appropriate to prevailing and forecast conditions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4.4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Irregularities are identified and appropriate action is taken to rectify the situation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4.5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Irregularities beyond ability to rectify are reported in time to enable remedial action to be taken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4.6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Reports of condition are completed according to workpla</w:t>
            </w:r>
            <w:r w:rsidRPr="00D82AC1">
              <w:t xml:space="preserve">ce </w:t>
            </w:r>
            <w:r w:rsidRPr="00D82AC1">
              <w:t>procedures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BodyText"/>
            </w:pPr>
            <w:r w:rsidRPr="00D82AC1">
              <w:rPr>
                <w:rStyle w:val="SpecialBold"/>
              </w:rPr>
              <w:t>5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rPr>
                <w:rStyle w:val="SpecialBold"/>
              </w:rPr>
              <w:t>Conduct refuelling operations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5.1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All personal protective equipment is accessed and used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5.2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Safety boundary for the refuelling process is established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5.3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Spill prevention systems are correctly deployed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5.4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BodyText"/>
            </w:pPr>
            <w:r w:rsidRPr="00D82AC1">
              <w:t>Refuelling operations are performed safely and according to organisational safety management system</w:t>
            </w:r>
          </w:p>
        </w:tc>
      </w:tr>
    </w:tbl>
    <w:p w:rsidR="00000000" w:rsidRPr="00D82AC1" w:rsidP="00D82AC1">
      <w:pPr>
        <w:pStyle w:val="BodyText"/>
      </w:pP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7" w:name="O_596354"/>
      <w:bookmarkEnd w:id="7"/>
      <w:r w:rsidRPr="00D82AC1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D82AC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This section describes those language, literacy, numeracy and employment skills that are essential to performance.</w:t>
            </w:r>
          </w:p>
        </w:tc>
      </w:tr>
      <w:tr w:rsidTr="00D82AC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BodyText"/>
            </w:pPr>
            <w:r w:rsidRPr="00D82AC1">
              <w:t>Foundation skills essential to performance are explicit in the performance criteria of this unit of competency.</w:t>
            </w:r>
          </w:p>
        </w:tc>
      </w:tr>
    </w:tbl>
    <w:p w:rsidR="00000000" w:rsidRPr="00D82AC1" w:rsidP="00D82AC1">
      <w:pPr>
        <w:pStyle w:val="BodyText"/>
      </w:pP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8" w:name="O_596355"/>
      <w:bookmarkEnd w:id="8"/>
      <w:r w:rsidRPr="00D82AC1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BodyText"/>
            </w:pPr>
            <w:r w:rsidRPr="00D82AC1">
              <w:t>Specifies different work environments and conditions that may affect performance. Essential operating con</w:t>
            </w:r>
            <w:r w:rsidRPr="00D82AC1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D82AC1" w:rsidP="00D82AC1">
            <w:pPr>
              <w:pStyle w:val="BodyText"/>
            </w:pPr>
          </w:p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Range is restricted to essential operating conditions and any other variables essentia</w:t>
            </w:r>
            <w:r w:rsidRPr="00D82AC1">
              <w:t>l to the work environment.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Rope types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ListBullet"/>
            </w:pPr>
            <w:r w:rsidRPr="00D82AC1">
              <w:t>braided</w:t>
            </w:r>
          </w:p>
          <w:p w:rsidR="00000000" w:rsidRPr="00D82AC1" w:rsidP="00D82AC1">
            <w:pPr>
              <w:pStyle w:val="ListBullet"/>
            </w:pPr>
            <w:r w:rsidRPr="00D82AC1">
              <w:t>Kevlar</w:t>
            </w:r>
          </w:p>
          <w:p w:rsidR="00000000" w:rsidRPr="00D82AC1" w:rsidP="00D82AC1">
            <w:pPr>
              <w:pStyle w:val="ListBullet"/>
            </w:pPr>
            <w:r w:rsidRPr="00D82AC1">
              <w:t>natural fibre</w:t>
            </w:r>
          </w:p>
          <w:p w:rsidR="00000000" w:rsidRPr="00D82AC1" w:rsidP="00D82AC1">
            <w:pPr>
              <w:pStyle w:val="ListBullet"/>
            </w:pPr>
            <w:r w:rsidRPr="00D82AC1">
              <w:t>plaited</w:t>
            </w:r>
          </w:p>
          <w:p w:rsidR="00000000" w:rsidRPr="00D82AC1" w:rsidP="00D82AC1">
            <w:pPr>
              <w:pStyle w:val="ListBullet"/>
            </w:pPr>
            <w:r w:rsidRPr="00D82AC1">
              <w:t>polyester</w:t>
            </w:r>
          </w:p>
          <w:p w:rsidR="00000000" w:rsidRPr="00D82AC1" w:rsidP="00D82AC1">
            <w:pPr>
              <w:pStyle w:val="ListBullet"/>
            </w:pPr>
            <w:r w:rsidRPr="00D82AC1">
              <w:t xml:space="preserve">wire core rope </w:t>
            </w:r>
          </w:p>
          <w:p w:rsidR="00000000" w:rsidP="00D82AC1">
            <w:pPr>
              <w:pStyle w:val="ListBullet"/>
              <w:rPr>
                <w:lang w:val="en-NZ"/>
              </w:rPr>
            </w:pPr>
            <w:r w:rsidRPr="00D82AC1">
              <w:t>wire rope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Knots and hitches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ListBullet"/>
            </w:pPr>
            <w:r w:rsidRPr="00D82AC1">
              <w:t>bowline</w:t>
            </w:r>
          </w:p>
          <w:p w:rsidR="00000000" w:rsidRPr="00D82AC1" w:rsidP="00D82AC1">
            <w:pPr>
              <w:pStyle w:val="ListBullet"/>
            </w:pPr>
            <w:r w:rsidRPr="00D82AC1">
              <w:t>clove hitch</w:t>
            </w:r>
          </w:p>
          <w:p w:rsidR="00000000" w:rsidRPr="00D82AC1" w:rsidP="00D82AC1">
            <w:pPr>
              <w:pStyle w:val="ListBullet"/>
            </w:pPr>
            <w:r w:rsidRPr="00D82AC1">
              <w:t>eye splice</w:t>
            </w:r>
          </w:p>
          <w:p w:rsidR="00000000" w:rsidRPr="00D82AC1" w:rsidP="00D82AC1">
            <w:pPr>
              <w:pStyle w:val="ListBullet"/>
            </w:pPr>
            <w:r w:rsidRPr="00D82AC1">
              <w:t>reef knot</w:t>
            </w:r>
          </w:p>
          <w:p w:rsidR="00000000" w:rsidRPr="00D82AC1" w:rsidP="00D82AC1">
            <w:pPr>
              <w:pStyle w:val="ListBullet"/>
            </w:pPr>
            <w:r w:rsidRPr="00D82AC1">
              <w:t>rolling hitch</w:t>
            </w:r>
          </w:p>
          <w:p w:rsidR="00000000" w:rsidRPr="00D82AC1" w:rsidP="00D82AC1">
            <w:pPr>
              <w:pStyle w:val="ListBullet"/>
            </w:pPr>
            <w:r w:rsidRPr="00D82AC1">
              <w:t>round turn and two half hitches</w:t>
            </w:r>
          </w:p>
          <w:p w:rsidR="00000000" w:rsidP="00D82AC1">
            <w:pPr>
              <w:pStyle w:val="ListBullet"/>
              <w:rPr>
                <w:lang w:val="en-NZ"/>
              </w:rPr>
            </w:pPr>
            <w:r w:rsidRPr="00D82AC1">
              <w:t>short splice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Anchor and equipment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ListBullet"/>
            </w:pPr>
            <w:r w:rsidRPr="00D82AC1">
              <w:t>anchor buoy</w:t>
            </w:r>
          </w:p>
          <w:p w:rsidR="00000000" w:rsidRPr="00D82AC1" w:rsidP="00D82AC1">
            <w:pPr>
              <w:pStyle w:val="ListBullet"/>
            </w:pPr>
            <w:r w:rsidRPr="00D82AC1">
              <w:t>anchor securing arrangements</w:t>
            </w:r>
          </w:p>
          <w:p w:rsidR="00000000" w:rsidRPr="00D82AC1" w:rsidP="00D82AC1">
            <w:pPr>
              <w:pStyle w:val="ListBullet"/>
            </w:pPr>
            <w:r w:rsidRPr="00D82AC1">
              <w:t>sea anchor</w:t>
            </w:r>
          </w:p>
          <w:p w:rsidR="00000000" w:rsidRPr="00D82AC1" w:rsidP="00D82AC1">
            <w:pPr>
              <w:pStyle w:val="ListBullet"/>
            </w:pPr>
            <w:r w:rsidRPr="00D82AC1">
              <w:t>single anchor</w:t>
            </w:r>
          </w:p>
          <w:p w:rsidR="00000000" w:rsidRPr="00D82AC1" w:rsidP="00D82AC1">
            <w:pPr>
              <w:pStyle w:val="ListBullet"/>
            </w:pPr>
            <w:r w:rsidRPr="00D82AC1">
              <w:t>twin anchor</w:t>
            </w:r>
          </w:p>
          <w:p w:rsidR="00000000" w:rsidP="00D82AC1">
            <w:pPr>
              <w:pStyle w:val="ListBullet"/>
              <w:rPr>
                <w:lang w:val="en-NZ"/>
              </w:rPr>
            </w:pPr>
            <w:r w:rsidRPr="00D82AC1">
              <w:t>windlass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Mooring lines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ListBullet"/>
            </w:pPr>
            <w:r w:rsidRPr="00D82AC1">
              <w:t>back springs</w:t>
            </w:r>
          </w:p>
          <w:p w:rsidR="00000000" w:rsidRPr="00D82AC1" w:rsidP="00D82AC1">
            <w:pPr>
              <w:pStyle w:val="ListBullet"/>
            </w:pPr>
            <w:r w:rsidRPr="00D82AC1">
              <w:t>bow and stern ropes</w:t>
            </w:r>
          </w:p>
          <w:p w:rsidR="00000000" w:rsidRPr="00D82AC1" w:rsidP="00D82AC1">
            <w:pPr>
              <w:pStyle w:val="ListBullet"/>
            </w:pPr>
            <w:r w:rsidRPr="00D82AC1">
              <w:t>breast lines</w:t>
            </w:r>
          </w:p>
          <w:p w:rsidR="00000000" w:rsidP="00D82AC1">
            <w:pPr>
              <w:pStyle w:val="ListBullet"/>
              <w:rPr>
                <w:lang w:val="en-NZ"/>
              </w:rPr>
            </w:pPr>
            <w:r w:rsidRPr="00D82AC1">
              <w:t>fore and aft springs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Coverage includes one or more of the following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ListBullet"/>
            </w:pPr>
            <w:r w:rsidRPr="00D82AC1">
              <w:t>accommodation spaces</w:t>
            </w:r>
          </w:p>
          <w:p w:rsidR="00000000" w:rsidRPr="00D82AC1" w:rsidP="00D82AC1">
            <w:pPr>
              <w:pStyle w:val="ListBullet"/>
            </w:pPr>
            <w:r w:rsidRPr="00D82AC1">
              <w:t>engine room</w:t>
            </w:r>
          </w:p>
          <w:p w:rsidR="00000000" w:rsidRPr="00D82AC1" w:rsidP="00D82AC1">
            <w:pPr>
              <w:pStyle w:val="ListBullet"/>
            </w:pPr>
            <w:r w:rsidRPr="00D82AC1">
              <w:t>galley</w:t>
            </w:r>
          </w:p>
          <w:p w:rsidR="00000000" w:rsidRPr="00D82AC1" w:rsidP="00D82AC1">
            <w:pPr>
              <w:pStyle w:val="ListBullet"/>
            </w:pPr>
            <w:r w:rsidRPr="00D82AC1">
              <w:t>navigation lights</w:t>
            </w:r>
          </w:p>
          <w:p w:rsidR="00000000" w:rsidRPr="00D82AC1" w:rsidP="00D82AC1">
            <w:pPr>
              <w:pStyle w:val="ListBullet"/>
            </w:pPr>
            <w:r w:rsidRPr="00D82AC1">
              <w:t>personal facilities</w:t>
            </w:r>
          </w:p>
          <w:p w:rsidR="00000000" w:rsidRPr="00D82AC1" w:rsidP="00D82AC1">
            <w:pPr>
              <w:pStyle w:val="ListBullet"/>
            </w:pPr>
            <w:r w:rsidRPr="00D82AC1">
              <w:t>storage spaces</w:t>
            </w:r>
          </w:p>
          <w:p w:rsidR="00000000" w:rsidRPr="00D82AC1" w:rsidP="00D82AC1">
            <w:pPr>
              <w:pStyle w:val="ListBullet"/>
            </w:pPr>
            <w:r w:rsidRPr="00D82AC1">
              <w:t>trailer lights</w:t>
            </w:r>
          </w:p>
          <w:p w:rsidR="00000000" w:rsidP="00D82AC1">
            <w:pPr>
              <w:pStyle w:val="ListBullet"/>
              <w:rPr>
                <w:lang w:val="en-NZ"/>
              </w:rPr>
            </w:pPr>
            <w:r w:rsidRPr="00D82AC1">
              <w:t>wheelhouse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Secured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ListBullet"/>
            </w:pPr>
            <w:r w:rsidRPr="00D82AC1">
              <w:t>accommodation and storage spaces</w:t>
            </w:r>
          </w:p>
          <w:p w:rsidR="00000000" w:rsidRPr="00D82AC1" w:rsidP="00D82AC1">
            <w:pPr>
              <w:pStyle w:val="ListBullet"/>
            </w:pPr>
            <w:r w:rsidRPr="00D82AC1">
              <w:t>anchors</w:t>
            </w:r>
          </w:p>
          <w:p w:rsidR="00000000" w:rsidRPr="00D82AC1" w:rsidP="00D82AC1">
            <w:pPr>
              <w:pStyle w:val="ListBullet"/>
            </w:pPr>
            <w:r w:rsidRPr="00D82AC1">
              <w:t>galley, stores and equipment</w:t>
            </w:r>
          </w:p>
          <w:p w:rsidR="00000000" w:rsidRPr="00D82AC1" w:rsidP="00D82AC1">
            <w:pPr>
              <w:pStyle w:val="ListBullet"/>
            </w:pPr>
            <w:r w:rsidRPr="00D82AC1">
              <w:t>materials on deck and below</w:t>
            </w:r>
          </w:p>
          <w:p w:rsidR="00000000" w:rsidRPr="00D82AC1" w:rsidP="00D82AC1">
            <w:pPr>
              <w:pStyle w:val="ListBullet"/>
            </w:pPr>
            <w:r w:rsidRPr="00D82AC1">
              <w:t xml:space="preserve">large objects likely to move in a sea way </w:t>
            </w:r>
          </w:p>
          <w:p w:rsidR="00000000" w:rsidP="00D82AC1">
            <w:pPr>
              <w:pStyle w:val="ListBullet"/>
              <w:rPr>
                <w:lang w:val="en-NZ"/>
              </w:rPr>
            </w:pPr>
            <w:r w:rsidRPr="00D82AC1">
              <w:t>openings</w:t>
            </w: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</w:p>
        </w:tc>
      </w:tr>
      <w:tr w:rsidTr="008C620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C1">
            <w:pPr>
              <w:pStyle w:val="BodyText"/>
              <w:rPr>
                <w:lang w:val="en-NZ"/>
              </w:rPr>
            </w:pPr>
            <w:r w:rsidRPr="00D82AC1">
              <w:t>Irregularities include one or more of the folowing: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C1" w:rsidP="00D82AC1">
            <w:pPr>
              <w:pStyle w:val="ListBullet"/>
            </w:pPr>
            <w:r w:rsidRPr="00D82AC1">
              <w:t>factors affecting the safety and integrity of:</w:t>
            </w:r>
          </w:p>
          <w:p w:rsidR="00000000" w:rsidRPr="00D82AC1" w:rsidP="00D82AC1">
            <w:pPr>
              <w:pStyle w:val="ListBullet2"/>
            </w:pPr>
            <w:r w:rsidRPr="00D82AC1">
              <w:t>crew</w:t>
            </w:r>
          </w:p>
          <w:p w:rsidR="00000000" w:rsidRPr="00D82AC1" w:rsidP="00D82AC1">
            <w:pPr>
              <w:pStyle w:val="ListBullet2"/>
            </w:pPr>
            <w:r w:rsidRPr="00D82AC1">
              <w:t>equipment</w:t>
            </w:r>
          </w:p>
          <w:p w:rsidR="00000000" w:rsidRPr="00D82AC1" w:rsidP="00D82AC1">
            <w:pPr>
              <w:pStyle w:val="ListBullet2"/>
            </w:pPr>
            <w:r w:rsidRPr="00D82AC1">
              <w:t xml:space="preserve">materials, such as cargo </w:t>
            </w:r>
          </w:p>
          <w:p w:rsidR="00000000" w:rsidRPr="00D82AC1" w:rsidP="00D82AC1">
            <w:pPr>
              <w:pStyle w:val="ListBullet2"/>
            </w:pPr>
            <w:r w:rsidRPr="00D82AC1">
              <w:t>vessel</w:t>
            </w:r>
          </w:p>
        </w:tc>
      </w:tr>
    </w:tbl>
    <w:p w:rsidR="00000000" w:rsidRPr="00D82AC1" w:rsidP="00D82AC1">
      <w:pPr>
        <w:pStyle w:val="BodyText"/>
      </w:pP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9" w:name="O_596356"/>
      <w:bookmarkEnd w:id="9"/>
      <w:r w:rsidRPr="00D82AC1">
        <w:t>Unit Mapping Information</w:t>
      </w:r>
    </w:p>
    <w:p w:rsidR="00000000" w:rsidRPr="00D82AC1" w:rsidP="00D82AC1">
      <w:pPr>
        <w:pStyle w:val="BodyText"/>
      </w:pPr>
      <w:r w:rsidRPr="00D82AC1">
        <w:t>This i</w:t>
      </w:r>
      <w:r w:rsidRPr="00D82AC1">
        <w:t>s a new unit. This unit is equivalent to MARN2001A Apply seamanship skills aboard a vessel up to 12 metres.</w:t>
      </w:r>
    </w:p>
    <w:p w:rsidR="00000000" w:rsidRPr="00D82AC1" w:rsidP="00D82AC1">
      <w:pPr>
        <w:pStyle w:val="AllowPageBreak"/>
      </w:pPr>
    </w:p>
    <w:p w:rsidR="00000000" w:rsidRPr="00D82AC1" w:rsidP="00D82AC1">
      <w:pPr>
        <w:pStyle w:val="Heading1"/>
      </w:pPr>
      <w:bookmarkStart w:id="10" w:name="O_596363"/>
      <w:bookmarkEnd w:id="10"/>
      <w:r w:rsidRPr="00D82AC1">
        <w:t>Links</w:t>
      </w:r>
    </w:p>
    <w:p w:rsidR="00000000" w:rsidRPr="00D82AC1" w:rsidP="00D82AC1">
      <w:pPr>
        <w:pStyle w:val="BodyText"/>
      </w:pPr>
      <w:r w:rsidRPr="00D82AC1">
        <w:t>MAR Maritime Training Package Companion Volume Implementation Guide at: - http://companion_volumes.vetnet.education.gov.au/Pa</w:t>
      </w:r>
      <w:r w:rsidRPr="00D82AC1">
        <w:t>ges/TrainingPackage.aspx?pid=22</w:t>
      </w:r>
    </w:p>
    <w:p w:rsidR="00000000" w:rsidRPr="00D82AC1" w:rsidP="00D82AC1"/>
    <w:sectPr w:rsidSect="00D82A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C1" w:rsidRPr="008C6207" w:rsidP="008C6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207" w:rsidP="00D82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207" w:rsidP="00D82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C6207" w:rsidP="00D82A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C1" w:rsidRPr="008C6207" w:rsidP="008C62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207" w:rsidRPr="002D2AF8" w:rsidP="00D82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MARN002 Apply seamanship skills aboard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8C6207" w:rsidP="00D82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DE4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A85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14B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AC1"/>
  </w:style>
  <w:style w:type="character" w:customStyle="1" w:styleId="Heading1Char">
    <w:name w:val="Heading 1 Char"/>
    <w:basedOn w:val="DefaultParagraphFont"/>
    <w:link w:val="Heading1"/>
    <w:rsid w:val="00D82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A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A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A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AC1"/>
    <w:rPr>
      <w:b/>
      <w:spacing w:val="0"/>
    </w:rPr>
  </w:style>
  <w:style w:type="paragraph" w:styleId="ListBullet2">
    <w:name w:val="List Bullet 2"/>
    <w:basedOn w:val="List2"/>
    <w:rsid w:val="00D82A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A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A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A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A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A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AC1"/>
    <w:rPr>
      <w:i/>
    </w:rPr>
  </w:style>
  <w:style w:type="paragraph" w:styleId="Caption">
    <w:name w:val="caption"/>
    <w:basedOn w:val="BodyText"/>
    <w:next w:val="Normal"/>
    <w:qFormat/>
    <w:rsid w:val="00D82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AC1"/>
  </w:style>
  <w:style w:type="paragraph" w:styleId="TableofFigures">
    <w:name w:val="table of figures"/>
    <w:basedOn w:val="Normal"/>
    <w:next w:val="Normal"/>
    <w:semiHidden/>
    <w:rsid w:val="00D82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AC1"/>
    <w:pPr>
      <w:numPr>
        <w:numId w:val="11"/>
      </w:numPr>
    </w:pPr>
  </w:style>
  <w:style w:type="character" w:customStyle="1" w:styleId="WingdingSymbols">
    <w:name w:val="Wingding Symbols"/>
    <w:rsid w:val="00D82AC1"/>
    <w:rPr>
      <w:rFonts w:ascii="Wingdings" w:hAnsi="Wingdings"/>
    </w:rPr>
  </w:style>
  <w:style w:type="paragraph" w:customStyle="1" w:styleId="TableHeading">
    <w:name w:val="Table Heading"/>
    <w:basedOn w:val="HeadingBase"/>
    <w:rsid w:val="00D82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AC1"/>
    <w:rPr>
      <w:color w:val="0033CC"/>
      <w:u w:val="none"/>
    </w:rPr>
  </w:style>
  <w:style w:type="paragraph" w:customStyle="1" w:styleId="BodyTextRight">
    <w:name w:val="Body Text Right"/>
    <w:basedOn w:val="BodyText"/>
    <w:rsid w:val="00D82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A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AC1"/>
    <w:rPr>
      <w:sz w:val="32"/>
    </w:rPr>
  </w:style>
  <w:style w:type="paragraph" w:customStyle="1" w:styleId="HeadingProcedure">
    <w:name w:val="Heading Procedure"/>
    <w:basedOn w:val="HeadingBase"/>
    <w:next w:val="Normal"/>
    <w:rsid w:val="00D82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AC1"/>
    <w:pPr>
      <w:spacing w:before="60" w:after="60"/>
    </w:pPr>
  </w:style>
  <w:style w:type="paragraph" w:styleId="ListContinue">
    <w:name w:val="List Continue"/>
    <w:basedOn w:val="List"/>
    <w:rsid w:val="00D82AC1"/>
    <w:pPr>
      <w:ind w:firstLine="0"/>
    </w:pPr>
  </w:style>
  <w:style w:type="paragraph" w:customStyle="1" w:styleId="ListNote">
    <w:name w:val="List Note"/>
    <w:basedOn w:val="List"/>
    <w:rsid w:val="00D82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AC1"/>
    <w:rPr>
      <w:rFonts w:ascii="Courier New" w:hAnsi="Courier New"/>
    </w:rPr>
  </w:style>
  <w:style w:type="paragraph" w:customStyle="1" w:styleId="NoteBullet">
    <w:name w:val="Note Bullet"/>
    <w:basedOn w:val="Note"/>
    <w:rsid w:val="00D82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A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2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AC1"/>
    <w:rPr>
      <w:b/>
      <w:smallCaps/>
    </w:rPr>
  </w:style>
  <w:style w:type="paragraph" w:customStyle="1" w:styleId="TableListNumber">
    <w:name w:val="Table List Number"/>
    <w:basedOn w:val="ListNumber"/>
    <w:rsid w:val="00D82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AC1"/>
    <w:pPr>
      <w:numPr>
        <w:numId w:val="9"/>
      </w:numPr>
    </w:pPr>
  </w:style>
  <w:style w:type="paragraph" w:customStyle="1" w:styleId="ListAlpha2">
    <w:name w:val="List Alpha 2"/>
    <w:basedOn w:val="List2"/>
    <w:rsid w:val="00D82AC1"/>
    <w:pPr>
      <w:numPr>
        <w:numId w:val="8"/>
      </w:numPr>
    </w:pPr>
  </w:style>
  <w:style w:type="paragraph" w:styleId="List2">
    <w:name w:val="List 2"/>
    <w:basedOn w:val="BodyText"/>
    <w:rsid w:val="00D82A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A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AC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A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AC1"/>
    <w:pPr>
      <w:numPr>
        <w:numId w:val="4"/>
      </w:numPr>
    </w:pPr>
  </w:style>
  <w:style w:type="paragraph" w:styleId="ListContinue2">
    <w:name w:val="List Continue 2"/>
    <w:basedOn w:val="List2"/>
    <w:rsid w:val="00D82AC1"/>
    <w:pPr>
      <w:ind w:firstLine="0"/>
    </w:pPr>
  </w:style>
  <w:style w:type="paragraph" w:styleId="ListContinue3">
    <w:name w:val="List Continue 3"/>
    <w:basedOn w:val="List3"/>
    <w:rsid w:val="00D82AC1"/>
    <w:pPr>
      <w:ind w:left="1021" w:firstLine="0"/>
    </w:pPr>
  </w:style>
  <w:style w:type="paragraph" w:styleId="ListContinue4">
    <w:name w:val="List Continue 4"/>
    <w:basedOn w:val="List4"/>
    <w:rsid w:val="00D82AC1"/>
    <w:pPr>
      <w:ind w:firstLine="0"/>
    </w:pPr>
  </w:style>
  <w:style w:type="paragraph" w:styleId="ListContinue5">
    <w:name w:val="List Continue 5"/>
    <w:basedOn w:val="List5"/>
    <w:rsid w:val="00D82AC1"/>
    <w:pPr>
      <w:ind w:firstLine="0"/>
    </w:pPr>
  </w:style>
  <w:style w:type="paragraph" w:styleId="ListNumber3">
    <w:name w:val="List Number 3"/>
    <w:basedOn w:val="List3"/>
    <w:rsid w:val="00D82AC1"/>
    <w:pPr>
      <w:numPr>
        <w:numId w:val="5"/>
      </w:numPr>
    </w:pPr>
  </w:style>
  <w:style w:type="paragraph" w:styleId="ListNumber4">
    <w:name w:val="List Number 4"/>
    <w:basedOn w:val="List4"/>
    <w:rsid w:val="00D82AC1"/>
    <w:pPr>
      <w:numPr>
        <w:numId w:val="6"/>
      </w:numPr>
    </w:pPr>
  </w:style>
  <w:style w:type="paragraph" w:styleId="ListNumber5">
    <w:name w:val="List Number 5"/>
    <w:basedOn w:val="List5"/>
    <w:rsid w:val="00D82AC1"/>
    <w:pPr>
      <w:numPr>
        <w:numId w:val="7"/>
      </w:numPr>
    </w:pPr>
  </w:style>
  <w:style w:type="paragraph" w:styleId="BlockText">
    <w:name w:val="Block Text"/>
    <w:basedOn w:val="Normal"/>
    <w:rsid w:val="00D82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A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AC1"/>
    <w:rPr>
      <w:sz w:val="16"/>
      <w:vertAlign w:val="superscript"/>
    </w:rPr>
  </w:style>
  <w:style w:type="character" w:customStyle="1" w:styleId="Symbols">
    <w:name w:val="Symbols"/>
    <w:basedOn w:val="DefaultParagraphFont"/>
    <w:rsid w:val="00D82AC1"/>
    <w:rPr>
      <w:rFonts w:ascii="Symbol" w:hAnsi="Symbol"/>
    </w:rPr>
  </w:style>
  <w:style w:type="character" w:customStyle="1" w:styleId="MenuOptions">
    <w:name w:val="Menu Options"/>
    <w:basedOn w:val="DefaultParagraphFont"/>
    <w:rsid w:val="00D82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AC1"/>
    <w:rPr>
      <w:b/>
    </w:rPr>
  </w:style>
  <w:style w:type="character" w:customStyle="1" w:styleId="Underlined">
    <w:name w:val="Underlined"/>
    <w:basedOn w:val="DefaultParagraphFont"/>
    <w:rsid w:val="00D82AC1"/>
    <w:rPr>
      <w:u w:val="single"/>
    </w:rPr>
  </w:style>
  <w:style w:type="paragraph" w:customStyle="1" w:styleId="TableBodyTextRight">
    <w:name w:val="Table Body Text Right"/>
    <w:basedOn w:val="TableBodyText"/>
    <w:rsid w:val="00D82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AC1"/>
    <w:rPr>
      <w:sz w:val="18"/>
    </w:rPr>
  </w:style>
  <w:style w:type="paragraph" w:customStyle="1" w:styleId="BodySmallRight">
    <w:name w:val="Body Small Right"/>
    <w:basedOn w:val="BodyTextRight"/>
    <w:rsid w:val="00D82AC1"/>
    <w:rPr>
      <w:sz w:val="18"/>
      <w:szCs w:val="18"/>
    </w:rPr>
  </w:style>
  <w:style w:type="paragraph" w:customStyle="1" w:styleId="MarginEdition">
    <w:name w:val="Margin Edition"/>
    <w:basedOn w:val="MarginNote"/>
    <w:rsid w:val="00D82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AC1"/>
    <w:rPr>
      <w:sz w:val="2"/>
      <w:szCs w:val="2"/>
    </w:rPr>
  </w:style>
  <w:style w:type="character" w:customStyle="1" w:styleId="Small">
    <w:name w:val="Small"/>
    <w:basedOn w:val="DefaultParagraphFont"/>
    <w:rsid w:val="00D82AC1"/>
    <w:rPr>
      <w:sz w:val="16"/>
    </w:rPr>
  </w:style>
  <w:style w:type="paragraph" w:customStyle="1" w:styleId="WideTable">
    <w:name w:val="Wide Table"/>
    <w:basedOn w:val="Normal"/>
    <w:rsid w:val="00D82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AC1"/>
  </w:style>
  <w:style w:type="paragraph" w:styleId="Quote">
    <w:name w:val="Quote"/>
    <w:basedOn w:val="Heading1"/>
    <w:link w:val="QuoteChar"/>
    <w:qFormat/>
    <w:rsid w:val="00D82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AC1"/>
    <w:pPr>
      <w:pageBreakBefore/>
    </w:pPr>
  </w:style>
  <w:style w:type="paragraph" w:customStyle="1" w:styleId="Border">
    <w:name w:val="Border"/>
    <w:basedOn w:val="Normal"/>
    <w:qFormat/>
    <w:rsid w:val="00D82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AC1"/>
    <w:rPr>
      <w:u w:val="single"/>
    </w:rPr>
  </w:style>
  <w:style w:type="character" w:customStyle="1" w:styleId="BoldandItalics">
    <w:name w:val="Bold and Italics"/>
    <w:qFormat/>
    <w:rsid w:val="00D82AC1"/>
    <w:rPr>
      <w:b/>
      <w:i/>
      <w:u w:val="none"/>
    </w:rPr>
  </w:style>
  <w:style w:type="paragraph" w:styleId="BalloonText">
    <w:name w:val="Balloon Text"/>
    <w:basedOn w:val="Normal"/>
    <w:link w:val="BalloonTextChar"/>
    <w:rsid w:val="00D82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A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A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4442</Characters>
  <Application>Microsoft Office Word</Application>
  <DocSecurity>0</DocSecurity>
  <Lines>252</Lines>
  <Paragraphs>136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MARN002 Apply seamanship skills aboard a vessel up to 12 metres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2016-02-24T03:52:00Z</dcterms:created>
  <dcterms:modified xsi:type="dcterms:W3CDTF">2016-02-24T03:52:00Z</dcterms:modified>
</cp:coreProperties>
</file>