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ACC" w:rsidP="002E4ACC">
      <w:pPr>
        <w:pStyle w:val="Title"/>
      </w:pPr>
      <w:r>
        <w:fldChar w:fldCharType="begin"/>
      </w:r>
      <w:r>
        <w:instrText xml:space="preserve"> TITLE   \* MERGEFORMAT </w:instrText>
      </w:r>
      <w:r>
        <w:fldChar w:fldCharType="separate"/>
      </w:r>
      <w:r>
        <w:t>MARM011 Calculate, assess and report on vessel trim and stability</w:t>
      </w:r>
      <w:r>
        <w:fldChar w:fldCharType="end"/>
      </w:r>
    </w:p>
    <w:p w:rsidR="002E4ACC" w:rsidP="002E4ACC">
      <w:pPr>
        <w:pStyle w:val="Version"/>
        <w:sectPr w:rsidSect="00976E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6E96" w:rsidP="00976E96">
      <w:pPr>
        <w:pStyle w:val="SuperHeading"/>
      </w:pPr>
      <w:r w:rsidRPr="00976E96">
        <w:t>MARM011 Calcu</w:t>
      </w:r>
      <w:r w:rsidRPr="00976E96">
        <w:t>late, assess and report on vessel trim and stability</w:t>
      </w:r>
    </w:p>
    <w:p w:rsidR="00000000" w:rsidRPr="00976E96" w:rsidP="00976E96">
      <w:pPr>
        <w:pStyle w:val="Heading1"/>
      </w:pPr>
      <w:bookmarkStart w:id="1" w:name="O_662114"/>
      <w:bookmarkEnd w:id="1"/>
      <w:r w:rsidRPr="00976E96">
        <w:t>Modification History</w:t>
      </w:r>
    </w:p>
    <w:p w:rsidR="00000000" w:rsidRPr="00976E96" w:rsidP="002E4ACC">
      <w:pPr>
        <w:pStyle w:val="BodyText"/>
      </w:pPr>
      <w:r w:rsidRPr="00976E96">
        <w:t>Release 1. New unit of competency.</w:t>
      </w:r>
    </w:p>
    <w:p w:rsidR="00000000" w:rsidRPr="00976E96" w:rsidP="00976E96">
      <w:pPr>
        <w:pStyle w:val="Heading1"/>
      </w:pPr>
      <w:bookmarkStart w:id="2" w:name="O_662115"/>
      <w:bookmarkEnd w:id="2"/>
      <w:r w:rsidRPr="00976E96">
        <w:t>Application</w:t>
      </w:r>
    </w:p>
    <w:p w:rsidR="00000000" w:rsidRPr="00976E96" w:rsidP="002E4ACC">
      <w:pPr>
        <w:pStyle w:val="BodyText"/>
      </w:pPr>
      <w:r w:rsidRPr="00976E96">
        <w:t>This unit involves the skills and knowledge required to assess and report on vessel trim and intact stability as part of the survey function. It is limited to undertaking practical stability tests, simplified stability calculations, reporting inclining exp</w:t>
      </w:r>
      <w:r w:rsidRPr="00976E96">
        <w:t>eriments and consideration of damage stability implications.</w:t>
      </w:r>
    </w:p>
    <w:p w:rsidR="00000000" w:rsidRPr="00976E96" w:rsidP="002E4ACC">
      <w:pPr>
        <w:pStyle w:val="BodyText"/>
      </w:pPr>
      <w:r w:rsidRPr="00976E96">
        <w:t>This unit applies to people working in the maritime industry as a domestic commercial vessel marine surveyor and may form part of accreditation requirements for surveyors under Australian legisl</w:t>
      </w:r>
      <w:r w:rsidRPr="00976E96">
        <w:t>ation.</w:t>
      </w:r>
    </w:p>
    <w:p w:rsidR="00000000" w:rsidRPr="00976E96" w:rsidP="002E4ACC">
      <w:pPr>
        <w:pStyle w:val="BodyText"/>
      </w:pPr>
      <w:r w:rsidRPr="00976E96">
        <w:t>No licensing, legislative or certification requirements apply to this unit at the time of publication.</w:t>
      </w:r>
    </w:p>
    <w:p w:rsidR="00000000" w:rsidRPr="00976E96" w:rsidP="00976E96">
      <w:pPr>
        <w:pStyle w:val="Heading1"/>
      </w:pPr>
      <w:bookmarkStart w:id="3" w:name="O_662116"/>
      <w:bookmarkEnd w:id="3"/>
      <w:r w:rsidRPr="00976E96">
        <w:t>Pre-requisite Unit</w:t>
      </w:r>
    </w:p>
    <w:p w:rsidR="00000000" w:rsidRPr="00976E96" w:rsidP="002E4ACC">
      <w:pPr>
        <w:pStyle w:val="BodyText"/>
      </w:pPr>
      <w:r w:rsidRPr="00976E96">
        <w:t>Not applicable.</w:t>
      </w:r>
    </w:p>
    <w:p w:rsidR="00000000" w:rsidRPr="00976E96" w:rsidP="00976E96">
      <w:pPr>
        <w:pStyle w:val="Heading1"/>
      </w:pPr>
      <w:bookmarkStart w:id="4" w:name="O_662117"/>
      <w:bookmarkEnd w:id="4"/>
      <w:r w:rsidRPr="00976E96">
        <w:t>Competency Field</w:t>
      </w:r>
    </w:p>
    <w:p w:rsidR="00000000" w:rsidRPr="00976E96" w:rsidP="002E4ACC">
      <w:pPr>
        <w:pStyle w:val="BodyText"/>
      </w:pPr>
      <w:r w:rsidRPr="00976E96">
        <w:t>M – Marine Surveying</w:t>
      </w:r>
    </w:p>
    <w:p w:rsidR="00000000" w:rsidRPr="00976E96" w:rsidP="00976E96">
      <w:pPr>
        <w:pStyle w:val="Heading1"/>
      </w:pPr>
      <w:bookmarkStart w:id="5" w:name="O_662118"/>
      <w:bookmarkEnd w:id="5"/>
      <w:r w:rsidRPr="00976E96">
        <w:t>Unit Sector</w:t>
      </w:r>
    </w:p>
    <w:p w:rsidR="00000000" w:rsidRPr="00976E96" w:rsidP="002E4ACC">
      <w:pPr>
        <w:pStyle w:val="BodyText"/>
      </w:pPr>
      <w:r w:rsidRPr="00976E96">
        <w:t>Not appli</w:t>
      </w:r>
      <w:r w:rsidRPr="00976E96">
        <w:t>cable.</w:t>
      </w:r>
    </w:p>
    <w:p w:rsidR="00000000" w:rsidRPr="00976E96" w:rsidP="00976E96">
      <w:pPr>
        <w:pStyle w:val="Heading1"/>
      </w:pPr>
      <w:bookmarkStart w:id="6" w:name="O_662119"/>
      <w:bookmarkEnd w:id="6"/>
      <w:r w:rsidRPr="00976E9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E4AC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Performance criteria describe the performance needed to demonstrate achievement of the element.</w:t>
            </w:r>
          </w:p>
        </w:tc>
      </w:tr>
      <w:tr w:rsidTr="002E4AC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76E96" w:rsidP="00976E96">
            <w:pPr>
              <w:pStyle w:val="BodyText"/>
            </w:pPr>
            <w:r w:rsidRPr="00976E9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rPr>
                <w:rStyle w:val="SpecialBold"/>
              </w:rPr>
              <w:t>Plan and prepare stability testing</w:t>
            </w:r>
          </w:p>
        </w:tc>
        <w:tc>
          <w:tcPr>
            <w:tcW w:w="719"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1.1</w:t>
            </w:r>
          </w:p>
        </w:tc>
        <w:tc>
          <w:tcPr>
            <w:tcW w:w="604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Applicable stability criteria for class of vessel and its operations are identified and confirmed against regulatory requirements</w:t>
            </w:r>
          </w:p>
        </w:tc>
      </w:tr>
      <w:tr w:rsidTr="002E4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1.2</w:t>
            </w:r>
          </w:p>
        </w:tc>
        <w:tc>
          <w:tcPr>
            <w:tcW w:w="604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Differences between Uniform Shipping Laws (USL) and National Standard for Commercial Vessels (NSCV) standards for asses</w:t>
            </w:r>
            <w:r w:rsidRPr="00976E96">
              <w:t>sing stability are identified and applied to survey plan as required</w:t>
            </w:r>
          </w:p>
        </w:tc>
      </w:tr>
      <w:tr w:rsidTr="002E4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1.3</w:t>
            </w:r>
          </w:p>
        </w:tc>
        <w:tc>
          <w:tcPr>
            <w:tcW w:w="604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Information and data is used to establish and verify stability characteristics required for safe operation</w:t>
            </w:r>
          </w:p>
        </w:tc>
      </w:tr>
      <w:tr w:rsidTr="002E4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1.4</w:t>
            </w:r>
          </w:p>
        </w:tc>
        <w:tc>
          <w:tcPr>
            <w:tcW w:w="604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Types of stability related hazards that may occur during all types of operations are identified</w:t>
            </w:r>
          </w:p>
        </w:tc>
      </w:tr>
      <w:tr w:rsidTr="002E4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1.5</w:t>
            </w:r>
          </w:p>
        </w:tc>
        <w:tc>
          <w:tcPr>
            <w:tcW w:w="604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Range of intended and/or likely vessel loading conditions are accurately identified and their impact on stability is assessed</w:t>
            </w:r>
          </w:p>
        </w:tc>
      </w:tr>
      <w:tr w:rsidTr="002E4AC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76E96" w:rsidP="00976E96">
            <w:pPr>
              <w:pStyle w:val="BodyText"/>
            </w:pPr>
            <w:r w:rsidRPr="00976E9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rPr>
                <w:rStyle w:val="SpecialBold"/>
              </w:rPr>
              <w:t>Calculate vessel trim an</w:t>
            </w:r>
            <w:r w:rsidRPr="00976E96">
              <w:rPr>
                <w:rStyle w:val="SpecialBold"/>
              </w:rPr>
              <w:t xml:space="preserve">d stability </w:t>
            </w:r>
          </w:p>
        </w:tc>
        <w:tc>
          <w:tcPr>
            <w:tcW w:w="719"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2.1</w:t>
            </w:r>
          </w:p>
        </w:tc>
        <w:tc>
          <w:tcPr>
            <w:tcW w:w="604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 xml:space="preserve">Simplified stability calculations are performed to assess compliance with applicable stability criteria </w:t>
            </w:r>
          </w:p>
        </w:tc>
      </w:tr>
      <w:tr w:rsidTr="002E4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2.2</w:t>
            </w:r>
          </w:p>
        </w:tc>
        <w:tc>
          <w:tcPr>
            <w:tcW w:w="604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Stability assessment methods for equivalent solutions are applied as necessary according to regulatory requirements</w:t>
            </w:r>
          </w:p>
        </w:tc>
      </w:tr>
      <w:tr w:rsidTr="002E4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2.3</w:t>
            </w:r>
          </w:p>
        </w:tc>
        <w:tc>
          <w:tcPr>
            <w:tcW w:w="604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Trim, draughts and freeboard are measured accurately to safely and efficiently allow assessment of compliance with criteria</w:t>
            </w:r>
          </w:p>
        </w:tc>
      </w:tr>
      <w:tr w:rsidTr="002E4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2.4</w:t>
            </w:r>
          </w:p>
        </w:tc>
        <w:tc>
          <w:tcPr>
            <w:tcW w:w="604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Effects of weight distribution that may compromise vessel safety are included in stability assessment</w:t>
            </w:r>
          </w:p>
        </w:tc>
      </w:tr>
      <w:tr w:rsidTr="002E4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2.5</w:t>
            </w:r>
          </w:p>
        </w:tc>
        <w:tc>
          <w:tcPr>
            <w:tcW w:w="604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Computer-based stability programs are used as appropriate to assist with assessing compliance</w:t>
            </w:r>
          </w:p>
        </w:tc>
      </w:tr>
      <w:tr w:rsidTr="002E4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2.6</w:t>
            </w:r>
          </w:p>
        </w:tc>
        <w:tc>
          <w:tcPr>
            <w:tcW w:w="604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Results are recorded and verified to confirm compliance</w:t>
            </w:r>
          </w:p>
        </w:tc>
      </w:tr>
      <w:tr w:rsidTr="002E4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2.7</w:t>
            </w:r>
          </w:p>
        </w:tc>
        <w:tc>
          <w:tcPr>
            <w:tcW w:w="604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Appropriate methods are used to ensure vessel is not put at risk during assessment</w:t>
            </w:r>
          </w:p>
        </w:tc>
      </w:tr>
      <w:tr w:rsidTr="002E4AC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76E96" w:rsidP="00976E96">
            <w:pPr>
              <w:pStyle w:val="BodyText"/>
            </w:pPr>
            <w:r w:rsidRPr="00976E9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rPr>
                <w:rStyle w:val="SpecialBold"/>
              </w:rPr>
              <w:t xml:space="preserve">Apply </w:t>
            </w:r>
            <w:r w:rsidRPr="00976E96">
              <w:rPr>
                <w:rStyle w:val="SpecialBold"/>
              </w:rPr>
              <w:t>tests, assessments and theories to confirm compliance</w:t>
            </w:r>
          </w:p>
        </w:tc>
        <w:tc>
          <w:tcPr>
            <w:tcW w:w="719"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3.1</w:t>
            </w:r>
          </w:p>
        </w:tc>
        <w:tc>
          <w:tcPr>
            <w:tcW w:w="604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Tests and assessments that could assist to confirm stability compliance are verified and carried out according to safety instructions</w:t>
            </w:r>
          </w:p>
        </w:tc>
      </w:tr>
      <w:tr w:rsidTr="002E4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3.2</w:t>
            </w:r>
          </w:p>
        </w:tc>
        <w:tc>
          <w:tcPr>
            <w:tcW w:w="604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Small angle stability theories are used to establish metacentric height (GM) through transverse movement of weights across vessel deck</w:t>
            </w:r>
          </w:p>
        </w:tc>
      </w:tr>
      <w:tr w:rsidTr="002E4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3.3</w:t>
            </w:r>
          </w:p>
        </w:tc>
        <w:tc>
          <w:tcPr>
            <w:tcW w:w="604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Causes of inaccuracies and limitations of assumptions in tests, assessments and theories are interpreted accuratel</w:t>
            </w:r>
            <w:r w:rsidRPr="00976E96">
              <w:t>y and considered in stability assessment report</w:t>
            </w:r>
          </w:p>
        </w:tc>
      </w:tr>
      <w:tr w:rsidTr="002E4AC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76E96" w:rsidP="00976E96">
            <w:pPr>
              <w:pStyle w:val="BodyText"/>
            </w:pPr>
            <w:r w:rsidRPr="00976E96">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rPr>
                <w:rStyle w:val="SpecialBold"/>
              </w:rPr>
              <w:t>Identify other impacts on stability calculations</w:t>
            </w:r>
          </w:p>
        </w:tc>
        <w:tc>
          <w:tcPr>
            <w:tcW w:w="719"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4.1</w:t>
            </w:r>
          </w:p>
        </w:tc>
        <w:tc>
          <w:tcPr>
            <w:tcW w:w="604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Types and effects of damage on vessel stability are identified and considered according to regulatory requirements</w:t>
            </w:r>
          </w:p>
        </w:tc>
      </w:tr>
      <w:tr w:rsidTr="002E4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4.2</w:t>
            </w:r>
          </w:p>
        </w:tc>
        <w:tc>
          <w:tcPr>
            <w:tcW w:w="604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Damage stability considerations are accurately identified and effect of damage is correctly quantified</w:t>
            </w:r>
          </w:p>
        </w:tc>
      </w:tr>
      <w:tr w:rsidTr="002E4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4.3</w:t>
            </w:r>
          </w:p>
        </w:tc>
        <w:tc>
          <w:tcPr>
            <w:tcW w:w="604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 xml:space="preserve">Operational impact on stability is identified and considered </w:t>
            </w:r>
            <w:r w:rsidRPr="00976E96">
              <w:t>in compliance assessment</w:t>
            </w:r>
          </w:p>
        </w:tc>
      </w:tr>
      <w:tr w:rsidTr="002E4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4.4</w:t>
            </w:r>
          </w:p>
        </w:tc>
        <w:tc>
          <w:tcPr>
            <w:tcW w:w="604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Vessel safety management plan is reviewed to ensure k</w:t>
            </w:r>
            <w:r w:rsidRPr="00976E96">
              <w:t>nown or likely impacts on stability are included</w:t>
            </w:r>
          </w:p>
        </w:tc>
      </w:tr>
      <w:tr w:rsidTr="002E4AC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76E96" w:rsidP="00976E96">
            <w:pPr>
              <w:pStyle w:val="BodyText"/>
            </w:pPr>
            <w:r w:rsidRPr="00976E96">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rPr>
                <w:rStyle w:val="SpecialBold"/>
              </w:rPr>
              <w:t>Document and report findings</w:t>
            </w:r>
          </w:p>
        </w:tc>
        <w:tc>
          <w:tcPr>
            <w:tcW w:w="719"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5.1</w:t>
            </w:r>
          </w:p>
        </w:tc>
        <w:tc>
          <w:tcPr>
            <w:tcW w:w="604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Records are maintained and reports are prepared according to regulatory and organisational guidelines</w:t>
            </w:r>
          </w:p>
        </w:tc>
      </w:tr>
      <w:tr w:rsidTr="002E4AC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5.2</w:t>
            </w:r>
          </w:p>
        </w:tc>
        <w:tc>
          <w:tcPr>
            <w:tcW w:w="6045" w:type="dxa"/>
            <w:tcBorders>
              <w:top w:val="nil"/>
              <w:left w:val="nil"/>
              <w:bottom w:val="nil"/>
              <w:right w:val="nil"/>
            </w:tcBorders>
            <w:tcMar>
              <w:top w:w="0" w:type="dxa"/>
              <w:left w:w="62" w:type="dxa"/>
              <w:bottom w:w="0" w:type="dxa"/>
              <w:right w:w="62" w:type="dxa"/>
            </w:tcMar>
          </w:tcPr>
          <w:p w:rsidR="00000000" w:rsidRPr="00976E96" w:rsidP="00976E96">
            <w:pPr>
              <w:pStyle w:val="BodyText"/>
            </w:pPr>
            <w:r w:rsidRPr="00976E96">
              <w:t>Survey report is completed according to regulatory requirements</w:t>
            </w:r>
          </w:p>
        </w:tc>
      </w:tr>
    </w:tbl>
    <w:p w:rsidR="00000000" w:rsidRPr="00976E96" w:rsidP="00976E96">
      <w:pPr>
        <w:pStyle w:val="BodyText"/>
      </w:pPr>
    </w:p>
    <w:p w:rsidR="00000000" w:rsidRPr="00976E96" w:rsidP="00976E96">
      <w:pPr>
        <w:pStyle w:val="AllowPageBreak"/>
      </w:pPr>
    </w:p>
    <w:p w:rsidR="00000000" w:rsidRPr="00976E96" w:rsidP="00976E96">
      <w:pPr>
        <w:pStyle w:val="Heading1"/>
      </w:pPr>
      <w:bookmarkStart w:id="7" w:name="O_662120"/>
      <w:bookmarkEnd w:id="7"/>
      <w:r w:rsidRPr="00976E96">
        <w:t>Foundation Skills</w:t>
      </w:r>
    </w:p>
    <w:tbl>
      <w:tblPr>
        <w:tblW w:w="9498" w:type="dxa"/>
        <w:tblLayout w:type="fixed"/>
        <w:tblCellMar>
          <w:left w:w="62" w:type="dxa"/>
          <w:right w:w="62" w:type="dxa"/>
        </w:tblCellMar>
        <w:tblLook w:val="0000"/>
      </w:tblPr>
      <w:tblGrid>
        <w:gridCol w:w="9498"/>
      </w:tblGrid>
      <w:tr w:rsidTr="00976E9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76E96" w:rsidP="00976E96">
            <w:pPr>
              <w:pStyle w:val="BodyText"/>
            </w:pPr>
            <w:r w:rsidRPr="00976E96">
              <w:t>Foundation skills essential to performance are explicit in the performance criteria of this unit of competency.</w:t>
            </w:r>
          </w:p>
        </w:tc>
      </w:tr>
    </w:tbl>
    <w:p w:rsidR="00000000" w:rsidRPr="00976E96" w:rsidP="00976E96">
      <w:pPr>
        <w:pStyle w:val="BodyText"/>
      </w:pPr>
    </w:p>
    <w:p w:rsidR="00000000" w:rsidRPr="00976E96" w:rsidP="00976E96">
      <w:pPr>
        <w:pStyle w:val="AllowPageBreak"/>
      </w:pPr>
    </w:p>
    <w:p w:rsidR="00000000" w:rsidRPr="00976E96" w:rsidP="00976E96">
      <w:pPr>
        <w:pStyle w:val="Heading1"/>
      </w:pPr>
      <w:bookmarkStart w:id="8" w:name="O_662121"/>
      <w:bookmarkEnd w:id="8"/>
      <w:r w:rsidRPr="00976E96">
        <w:t>Range of Conditions</w:t>
      </w:r>
    </w:p>
    <w:tbl>
      <w:tblPr>
        <w:tblW w:w="9498" w:type="dxa"/>
        <w:tblLayout w:type="fixed"/>
        <w:tblCellMar>
          <w:left w:w="62" w:type="dxa"/>
          <w:right w:w="62" w:type="dxa"/>
        </w:tblCellMar>
        <w:tblLook w:val="0000"/>
      </w:tblPr>
      <w:tblGrid>
        <w:gridCol w:w="2735"/>
        <w:gridCol w:w="6763"/>
      </w:tblGrid>
      <w:tr w:rsidTr="00976E9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Range is restricted to essential operating conditions and any other variables essential to the work environment.</w:t>
            </w:r>
          </w:p>
        </w:tc>
      </w:tr>
      <w:tr w:rsidTr="00976E9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Applicable stability criteria includes one of the following:</w:t>
            </w:r>
          </w:p>
        </w:tc>
        <w:tc>
          <w:tcPr>
            <w:tcW w:w="6763" w:type="dxa"/>
            <w:tcBorders>
              <w:top w:val="nil"/>
              <w:left w:val="nil"/>
              <w:bottom w:val="nil"/>
              <w:right w:val="nil"/>
            </w:tcBorders>
            <w:tcMar>
              <w:top w:w="0" w:type="dxa"/>
              <w:left w:w="62" w:type="dxa"/>
              <w:bottom w:w="0" w:type="dxa"/>
              <w:right w:w="62" w:type="dxa"/>
            </w:tcMar>
          </w:tcPr>
          <w:p w:rsidR="00000000" w:rsidRPr="00976E96" w:rsidP="00976E96">
            <w:pPr>
              <w:pStyle w:val="ListBullet"/>
            </w:pPr>
            <w:r w:rsidRPr="00976E96">
              <w:t>NSCV guidelines</w:t>
            </w:r>
          </w:p>
          <w:p w:rsidR="00000000" w:rsidP="00976E96">
            <w:pPr>
              <w:pStyle w:val="ListBullet"/>
              <w:rPr>
                <w:lang w:val="en-NZ"/>
              </w:rPr>
            </w:pPr>
            <w:r w:rsidRPr="00976E96">
              <w:t>USL Code</w:t>
            </w:r>
          </w:p>
        </w:tc>
      </w:tr>
      <w:tr w:rsidTr="00976E9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Regulatory requirements include one of the following:</w:t>
            </w:r>
          </w:p>
        </w:tc>
        <w:tc>
          <w:tcPr>
            <w:tcW w:w="6763" w:type="dxa"/>
            <w:tcBorders>
              <w:top w:val="nil"/>
              <w:left w:val="nil"/>
              <w:bottom w:val="nil"/>
              <w:right w:val="nil"/>
            </w:tcBorders>
            <w:tcMar>
              <w:top w:w="0" w:type="dxa"/>
              <w:left w:w="62" w:type="dxa"/>
              <w:bottom w:w="0" w:type="dxa"/>
              <w:right w:w="62" w:type="dxa"/>
            </w:tcMar>
          </w:tcPr>
          <w:p w:rsidR="00000000" w:rsidRPr="00976E96" w:rsidP="00976E96">
            <w:pPr>
              <w:pStyle w:val="ListBullet"/>
            </w:pPr>
            <w:r w:rsidRPr="00976E96">
              <w:t xml:space="preserve">Marine Safety (Domestic Commercial Vessel) National Law </w:t>
            </w:r>
          </w:p>
          <w:p w:rsidR="00000000" w:rsidP="00976E96">
            <w:pPr>
              <w:pStyle w:val="ListBullet"/>
              <w:rPr>
                <w:lang w:val="en-NZ"/>
              </w:rPr>
            </w:pPr>
            <w:r w:rsidRPr="00976E96">
              <w:t>NSCV</w:t>
            </w:r>
          </w:p>
        </w:tc>
      </w:tr>
      <w:tr w:rsidTr="00976E9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Information and data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76E96" w:rsidP="00976E96">
            <w:pPr>
              <w:pStyle w:val="ListBullet"/>
            </w:pPr>
            <w:r w:rsidRPr="00976E96">
              <w:t>cargo information</w:t>
            </w:r>
          </w:p>
          <w:p w:rsidR="00000000" w:rsidRPr="00976E96" w:rsidP="00976E96">
            <w:pPr>
              <w:pStyle w:val="ListBullet"/>
            </w:pPr>
            <w:r w:rsidRPr="00976E96">
              <w:t>load lines</w:t>
            </w:r>
          </w:p>
          <w:p w:rsidR="00000000" w:rsidRPr="00976E96" w:rsidP="00976E96">
            <w:pPr>
              <w:pStyle w:val="ListBullet"/>
            </w:pPr>
            <w:r w:rsidRPr="00976E96">
              <w:t>means to:</w:t>
            </w:r>
          </w:p>
          <w:p w:rsidR="00000000" w:rsidRPr="00976E96" w:rsidP="00976E96">
            <w:pPr>
              <w:pStyle w:val="ListBullet"/>
            </w:pPr>
            <w:r w:rsidRPr="00976E96">
              <w:t>sound tanks</w:t>
            </w:r>
          </w:p>
          <w:p w:rsidR="00000000" w:rsidRPr="00976E96" w:rsidP="00976E96">
            <w:pPr>
              <w:pStyle w:val="ListBullet"/>
            </w:pPr>
            <w:r w:rsidRPr="00976E96">
              <w:t>read draught marks</w:t>
            </w:r>
          </w:p>
          <w:p w:rsidR="00000000" w:rsidP="00976E96">
            <w:pPr>
              <w:pStyle w:val="ListBullet"/>
              <w:rPr>
                <w:lang w:val="en-NZ"/>
              </w:rPr>
            </w:pPr>
            <w:r w:rsidRPr="00976E96">
              <w:t xml:space="preserve">stability book </w:t>
            </w:r>
          </w:p>
        </w:tc>
      </w:tr>
      <w:tr w:rsidTr="00976E9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Tests and assessments include one or more of</w:t>
            </w:r>
            <w:r w:rsidRPr="00976E96">
              <w:t xml:space="preserve"> the following:</w:t>
            </w:r>
          </w:p>
        </w:tc>
        <w:tc>
          <w:tcPr>
            <w:tcW w:w="6763" w:type="dxa"/>
            <w:tcBorders>
              <w:top w:val="nil"/>
              <w:left w:val="nil"/>
              <w:bottom w:val="nil"/>
              <w:right w:val="nil"/>
            </w:tcBorders>
            <w:tcMar>
              <w:top w:w="0" w:type="dxa"/>
              <w:left w:w="62" w:type="dxa"/>
              <w:bottom w:w="0" w:type="dxa"/>
              <w:right w:w="62" w:type="dxa"/>
            </w:tcMar>
          </w:tcPr>
          <w:p w:rsidR="00000000" w:rsidRPr="00976E96" w:rsidP="00976E96">
            <w:pPr>
              <w:pStyle w:val="ListBullet"/>
            </w:pPr>
            <w:r w:rsidRPr="00976E96">
              <w:t>buoyancy and stability after flooding</w:t>
            </w:r>
          </w:p>
          <w:p w:rsidR="00000000" w:rsidRPr="00976E96" w:rsidP="00976E96">
            <w:pPr>
              <w:pStyle w:val="ListBullet"/>
            </w:pPr>
            <w:r w:rsidRPr="00976E96">
              <w:t xml:space="preserve">freeboard </w:t>
            </w:r>
          </w:p>
          <w:p w:rsidR="00000000" w:rsidRPr="00976E96" w:rsidP="00976E96">
            <w:pPr>
              <w:pStyle w:val="ListBullet"/>
            </w:pPr>
            <w:r w:rsidRPr="00976E96">
              <w:t xml:space="preserve">lightship measurement </w:t>
            </w:r>
          </w:p>
          <w:p w:rsidR="00000000" w:rsidRPr="00976E96" w:rsidP="00976E96">
            <w:pPr>
              <w:pStyle w:val="ListBullet"/>
            </w:pPr>
            <w:r w:rsidRPr="00976E96">
              <w:t>practical inclining</w:t>
            </w:r>
          </w:p>
          <w:p w:rsidR="00000000" w:rsidRPr="00976E96" w:rsidP="00976E96">
            <w:pPr>
              <w:pStyle w:val="ListBullet"/>
            </w:pPr>
            <w:r w:rsidRPr="00976E96">
              <w:t>roll period test</w:t>
            </w:r>
          </w:p>
          <w:p w:rsidR="00000000" w:rsidRPr="00976E96" w:rsidP="00976E96">
            <w:pPr>
              <w:pStyle w:val="ListBullet"/>
            </w:pPr>
            <w:r w:rsidRPr="00976E96">
              <w:t>simplified stability tests</w:t>
            </w:r>
          </w:p>
          <w:p w:rsidR="00000000" w:rsidP="00976E96">
            <w:pPr>
              <w:pStyle w:val="ListBullet"/>
              <w:rPr>
                <w:lang w:val="en-NZ"/>
              </w:rPr>
            </w:pPr>
            <w:r w:rsidRPr="00976E96">
              <w:t>stability proof test</w:t>
            </w:r>
          </w:p>
        </w:tc>
      </w:tr>
      <w:tr w:rsidTr="00976E9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Types and effects of damage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76E96" w:rsidP="00976E96">
            <w:pPr>
              <w:pStyle w:val="ListBullet"/>
            </w:pPr>
            <w:r w:rsidRPr="00976E96">
              <w:t>added mass</w:t>
            </w:r>
          </w:p>
          <w:p w:rsidR="00000000" w:rsidRPr="00976E96" w:rsidP="00976E96">
            <w:pPr>
              <w:pStyle w:val="ListBullet"/>
            </w:pPr>
            <w:r w:rsidRPr="00976E96">
              <w:t>flooding</w:t>
            </w:r>
          </w:p>
          <w:p w:rsidR="00000000" w:rsidRPr="00976E96" w:rsidP="00976E96">
            <w:pPr>
              <w:pStyle w:val="ListBullet"/>
            </w:pPr>
            <w:r w:rsidRPr="00976E96">
              <w:t xml:space="preserve">large amounts of water on deck </w:t>
            </w:r>
          </w:p>
          <w:p w:rsidR="00000000" w:rsidP="00976E96">
            <w:pPr>
              <w:pStyle w:val="ListBullet"/>
              <w:rPr>
                <w:lang w:val="en-NZ"/>
              </w:rPr>
            </w:pPr>
            <w:r w:rsidRPr="00976E96">
              <w:t>lost buoyancy</w:t>
            </w:r>
          </w:p>
        </w:tc>
      </w:tr>
      <w:tr w:rsidTr="00976E9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Stability considerations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76E96" w:rsidP="00976E96">
            <w:pPr>
              <w:pStyle w:val="ListBullet"/>
            </w:pPr>
            <w:r w:rsidRPr="00976E96">
              <w:t>ballast management</w:t>
            </w:r>
          </w:p>
          <w:p w:rsidR="00000000" w:rsidRPr="00976E96" w:rsidP="00976E96">
            <w:pPr>
              <w:pStyle w:val="ListBullet"/>
            </w:pPr>
            <w:r w:rsidRPr="00976E96">
              <w:t>closing openings</w:t>
            </w:r>
          </w:p>
          <w:p w:rsidR="00000000" w:rsidRPr="00976E96" w:rsidP="00976E96">
            <w:pPr>
              <w:pStyle w:val="ListBullet"/>
            </w:pPr>
            <w:r w:rsidRPr="00976E96">
              <w:t xml:space="preserve">damage control measures to maintain, stabilise or restore watertight integrity of hull </w:t>
            </w:r>
          </w:p>
          <w:p w:rsidR="00000000" w:rsidRPr="00976E96" w:rsidP="00976E96">
            <w:pPr>
              <w:pStyle w:val="ListBullet"/>
            </w:pPr>
            <w:r w:rsidRPr="00976E96">
              <w:t>distribution of load on a vessel</w:t>
            </w:r>
          </w:p>
          <w:p w:rsidR="00000000" w:rsidRPr="00976E96" w:rsidP="00976E96">
            <w:pPr>
              <w:pStyle w:val="ListBullet"/>
            </w:pPr>
            <w:r w:rsidRPr="00976E96">
              <w:t>positioning of stowage and lashing of cargo, stores and equipment</w:t>
            </w:r>
          </w:p>
          <w:p w:rsidR="00000000" w:rsidRPr="00976E96" w:rsidP="00976E96">
            <w:pPr>
              <w:pStyle w:val="ListBullet"/>
            </w:pPr>
            <w:r w:rsidRPr="00976E96">
              <w:t>taking action to avoid or minimise cargo shift</w:t>
            </w:r>
          </w:p>
          <w:p w:rsidR="00000000" w:rsidP="00976E96">
            <w:pPr>
              <w:pStyle w:val="ListBullet"/>
              <w:rPr>
                <w:lang w:val="en-NZ"/>
              </w:rPr>
            </w:pPr>
            <w:r w:rsidRPr="00976E96">
              <w:t>taking precautions when using lifting equipment and other associated equipment</w:t>
            </w:r>
          </w:p>
        </w:tc>
      </w:tr>
      <w:tr w:rsidTr="00976E9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76E96">
            <w:pPr>
              <w:pStyle w:val="BodyText"/>
              <w:rPr>
                <w:lang w:val="en-NZ"/>
              </w:rPr>
            </w:pPr>
            <w:r w:rsidRPr="00976E96">
              <w:t>Operational impact includes on</w:t>
            </w:r>
            <w:r w:rsidRPr="00976E96">
              <w:t>e or more of the following:</w:t>
            </w:r>
          </w:p>
        </w:tc>
        <w:tc>
          <w:tcPr>
            <w:tcW w:w="6763" w:type="dxa"/>
            <w:tcBorders>
              <w:top w:val="nil"/>
              <w:left w:val="nil"/>
              <w:bottom w:val="nil"/>
              <w:right w:val="nil"/>
            </w:tcBorders>
            <w:tcMar>
              <w:top w:w="0" w:type="dxa"/>
              <w:left w:w="62" w:type="dxa"/>
              <w:bottom w:w="0" w:type="dxa"/>
              <w:right w:w="62" w:type="dxa"/>
            </w:tcMar>
          </w:tcPr>
          <w:p w:rsidR="00000000" w:rsidRPr="00976E96" w:rsidP="00976E96">
            <w:pPr>
              <w:pStyle w:val="ListBullet"/>
            </w:pPr>
            <w:r w:rsidRPr="00976E96">
              <w:t>ballast</w:t>
            </w:r>
          </w:p>
          <w:p w:rsidR="00000000" w:rsidRPr="00976E96" w:rsidP="00976E96">
            <w:pPr>
              <w:pStyle w:val="ListBullet"/>
            </w:pPr>
            <w:r w:rsidRPr="00976E96">
              <w:t>cargo</w:t>
            </w:r>
          </w:p>
          <w:p w:rsidR="00000000" w:rsidRPr="00976E96" w:rsidP="00976E96">
            <w:pPr>
              <w:pStyle w:val="ListBullet"/>
            </w:pPr>
            <w:r w:rsidRPr="00976E96">
              <w:t>crew movement</w:t>
            </w:r>
          </w:p>
          <w:p w:rsidR="00000000" w:rsidRPr="00976E96" w:rsidP="00976E96">
            <w:pPr>
              <w:pStyle w:val="ListBullet"/>
            </w:pPr>
            <w:r w:rsidRPr="00976E96">
              <w:t xml:space="preserve">cross connections </w:t>
            </w:r>
          </w:p>
          <w:p w:rsidR="00000000" w:rsidRPr="00976E96" w:rsidP="00976E96">
            <w:pPr>
              <w:pStyle w:val="ListBullet"/>
            </w:pPr>
            <w:r w:rsidRPr="00976E96">
              <w:t>lifting gear (including cranes on deck)</w:t>
            </w:r>
          </w:p>
          <w:p w:rsidR="00000000" w:rsidRPr="00976E96" w:rsidP="00976E96">
            <w:pPr>
              <w:pStyle w:val="ListBullet"/>
            </w:pPr>
            <w:r w:rsidRPr="00976E96">
              <w:t>passengers and passenger movements</w:t>
            </w:r>
          </w:p>
          <w:p w:rsidR="00000000" w:rsidRPr="00976E96" w:rsidP="00976E96">
            <w:pPr>
              <w:pStyle w:val="ListBullet"/>
            </w:pPr>
            <w:r w:rsidRPr="00976E96">
              <w:t>towing</w:t>
            </w:r>
          </w:p>
          <w:p w:rsidR="00000000" w:rsidRPr="00976E96" w:rsidP="00976E96">
            <w:pPr>
              <w:pStyle w:val="ListBullet"/>
            </w:pPr>
            <w:r w:rsidRPr="00976E96">
              <w:t>vessel mooring arrangements</w:t>
            </w:r>
          </w:p>
          <w:p w:rsidR="00000000" w:rsidRPr="00976E96" w:rsidP="00976E96">
            <w:pPr>
              <w:pStyle w:val="ListBullet"/>
            </w:pPr>
            <w:r w:rsidRPr="00976E96">
              <w:t>wind/ice and other weather constraints</w:t>
            </w:r>
          </w:p>
        </w:tc>
      </w:tr>
    </w:tbl>
    <w:p w:rsidR="00000000" w:rsidRPr="00976E96" w:rsidP="00976E96">
      <w:pPr>
        <w:pStyle w:val="BodyText"/>
      </w:pPr>
    </w:p>
    <w:p w:rsidR="00000000" w:rsidRPr="00976E96" w:rsidP="00976E96">
      <w:pPr>
        <w:pStyle w:val="AllowPageBreak"/>
      </w:pPr>
    </w:p>
    <w:p w:rsidR="00000000" w:rsidRPr="00976E96" w:rsidP="00976E96">
      <w:pPr>
        <w:pStyle w:val="Heading1"/>
      </w:pPr>
      <w:bookmarkStart w:id="9" w:name="O_662122"/>
      <w:bookmarkEnd w:id="9"/>
      <w:r w:rsidRPr="00976E96">
        <w:t>Unit Mapping Information</w:t>
      </w:r>
    </w:p>
    <w:p w:rsidR="00000000" w:rsidRPr="00976E96" w:rsidP="002E4ACC">
      <w:pPr>
        <w:pStyle w:val="BodyText"/>
      </w:pPr>
      <w:r w:rsidRPr="00976E96">
        <w:t>This unit replaces and is equivalent to MARM5001A Calculate, assess and report on vessel trim and stability.</w:t>
      </w:r>
    </w:p>
    <w:p w:rsidR="00000000" w:rsidRPr="00976E96" w:rsidP="00976E96">
      <w:pPr>
        <w:pStyle w:val="Heading1"/>
      </w:pPr>
      <w:bookmarkStart w:id="10" w:name="O_662129"/>
      <w:bookmarkEnd w:id="10"/>
      <w:r w:rsidRPr="00976E96">
        <w:t>Links</w:t>
      </w:r>
    </w:p>
    <w:p w:rsidR="00000000" w:rsidRPr="00976E96" w:rsidP="002E4ACC">
      <w:pPr>
        <w:pStyle w:val="BodyText"/>
      </w:pPr>
      <w:r w:rsidRPr="00976E9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00733">
        <w:rPr>
          <w:rStyle w:val="Hyperlink"/>
        </w:rPr>
        <w:t>https://vetnet.gov.au/Pages/TrainingDocs.aspx?q=772efb7b-4cce-47fe-9bbd-ee3b1d1eb4c2</w:t>
      </w:r>
      <w:r>
        <w:fldChar w:fldCharType="end"/>
      </w:r>
    </w:p>
    <w:p w:rsidR="00000000" w:rsidRPr="00976E96" w:rsidP="00976E96"/>
    <w:sectPr w:rsidSect="00976E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A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AC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A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ACC" w:rsidP="00976E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E4ACC" w:rsidP="00976E9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E4ACC" w:rsidP="00976E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A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A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6E96" w:rsidRPr="002E4ACC" w:rsidP="002E4A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A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ACC" w:rsidRPr="002D2AF8" w:rsidP="00976E96">
    <w:pPr>
      <w:pStyle w:val="Header"/>
      <w:framePr w:wrap="around"/>
    </w:pPr>
    <w:r>
      <w:fldChar w:fldCharType="begin"/>
    </w:r>
    <w:r>
      <w:instrText xml:space="preserve"> TITLE   \* MERGEFORMAT </w:instrText>
    </w:r>
    <w:r>
      <w:fldChar w:fldCharType="separate"/>
    </w:r>
    <w:r>
      <w:t>MARM011 Calculate, assess and report on vessel trim and stability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2E4ACC" w:rsidP="00976E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D279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0044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E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E96"/>
    <w:pPr>
      <w:spacing w:before="360" w:after="60"/>
      <w:outlineLvl w:val="0"/>
    </w:pPr>
    <w:rPr>
      <w:sz w:val="32"/>
    </w:rPr>
  </w:style>
  <w:style w:type="paragraph" w:styleId="Heading2">
    <w:name w:val="heading 2"/>
    <w:basedOn w:val="HeadingBase"/>
    <w:next w:val="BodyText"/>
    <w:link w:val="Heading2Char"/>
    <w:qFormat/>
    <w:rsid w:val="00976E96"/>
    <w:pPr>
      <w:keepLines/>
      <w:spacing w:before="240" w:after="120"/>
      <w:outlineLvl w:val="1"/>
    </w:pPr>
    <w:rPr>
      <w:sz w:val="28"/>
      <w:szCs w:val="40"/>
    </w:rPr>
  </w:style>
  <w:style w:type="paragraph" w:styleId="Heading3">
    <w:name w:val="heading 3"/>
    <w:basedOn w:val="HeadingBase"/>
    <w:next w:val="BodyText"/>
    <w:link w:val="Heading3Char"/>
    <w:qFormat/>
    <w:rsid w:val="00976E96"/>
    <w:pPr>
      <w:spacing w:before="180" w:after="120"/>
      <w:outlineLvl w:val="2"/>
    </w:pPr>
    <w:rPr>
      <w:spacing w:val="-10"/>
      <w:kern w:val="32"/>
    </w:rPr>
  </w:style>
  <w:style w:type="paragraph" w:styleId="Heading4">
    <w:name w:val="heading 4"/>
    <w:basedOn w:val="HeadingBase"/>
    <w:next w:val="BodyText"/>
    <w:link w:val="Heading4Char"/>
    <w:qFormat/>
    <w:rsid w:val="00976E96"/>
    <w:pPr>
      <w:spacing w:before="160" w:after="120"/>
      <w:outlineLvl w:val="3"/>
    </w:pPr>
    <w:rPr>
      <w:sz w:val="22"/>
    </w:rPr>
  </w:style>
  <w:style w:type="paragraph" w:styleId="Heading5">
    <w:name w:val="heading 5"/>
    <w:basedOn w:val="HeadingBase"/>
    <w:next w:val="Normal"/>
    <w:link w:val="Heading5Char"/>
    <w:qFormat/>
    <w:rsid w:val="00976E96"/>
    <w:pPr>
      <w:spacing w:before="80"/>
      <w:outlineLvl w:val="4"/>
    </w:pPr>
    <w:rPr>
      <w:color w:val="918585"/>
      <w:sz w:val="20"/>
    </w:rPr>
  </w:style>
  <w:style w:type="paragraph" w:styleId="Heading6">
    <w:name w:val="heading 6"/>
    <w:basedOn w:val="HeadingBase"/>
    <w:next w:val="Normal"/>
    <w:link w:val="Heading6Char"/>
    <w:qFormat/>
    <w:rsid w:val="00976E96"/>
    <w:pPr>
      <w:spacing w:before="60"/>
      <w:outlineLvl w:val="5"/>
    </w:pPr>
    <w:rPr>
      <w:color w:val="918585"/>
      <w:sz w:val="20"/>
    </w:rPr>
  </w:style>
  <w:style w:type="paragraph" w:styleId="Heading7">
    <w:name w:val="heading 7"/>
    <w:basedOn w:val="Normal"/>
    <w:next w:val="Normal"/>
    <w:link w:val="Heading7Char"/>
    <w:qFormat/>
    <w:rsid w:val="00976E96"/>
    <w:pPr>
      <w:ind w:left="720"/>
      <w:outlineLvl w:val="6"/>
    </w:pPr>
    <w:rPr>
      <w:i/>
    </w:rPr>
  </w:style>
  <w:style w:type="paragraph" w:styleId="Heading8">
    <w:name w:val="heading 8"/>
    <w:basedOn w:val="Normal"/>
    <w:next w:val="Normal"/>
    <w:link w:val="Heading8Char"/>
    <w:qFormat/>
    <w:rsid w:val="00976E96"/>
    <w:pPr>
      <w:ind w:left="720"/>
      <w:outlineLvl w:val="7"/>
    </w:pPr>
    <w:rPr>
      <w:i/>
    </w:rPr>
  </w:style>
  <w:style w:type="paragraph" w:styleId="Heading9">
    <w:name w:val="heading 9"/>
    <w:basedOn w:val="Normal"/>
    <w:next w:val="Normal"/>
    <w:link w:val="Heading9Char"/>
    <w:qFormat/>
    <w:rsid w:val="00976E96"/>
    <w:pPr>
      <w:ind w:left="720"/>
      <w:outlineLvl w:val="8"/>
    </w:pPr>
    <w:rPr>
      <w:i/>
    </w:rPr>
  </w:style>
  <w:style w:type="character" w:default="1" w:styleId="DefaultParagraphFont">
    <w:name w:val="Default Paragraph Font"/>
    <w:uiPriority w:val="1"/>
    <w:unhideWhenUsed/>
    <w:rsid w:val="00976E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E96"/>
  </w:style>
  <w:style w:type="character" w:customStyle="1" w:styleId="Heading1Char">
    <w:name w:val="Heading 1 Char"/>
    <w:basedOn w:val="DefaultParagraphFont"/>
    <w:link w:val="Heading1"/>
    <w:rsid w:val="00976E96"/>
    <w:rPr>
      <w:rFonts w:ascii="Times New Roman" w:eastAsia="Times New Roman" w:hAnsi="Times New Roman" w:cs="Times New Roman"/>
      <w:b/>
      <w:sz w:val="32"/>
      <w:szCs w:val="20"/>
      <w:lang w:eastAsia="en-US"/>
    </w:rPr>
  </w:style>
  <w:style w:type="paragraph" w:styleId="BodyText">
    <w:name w:val="Body Text"/>
    <w:basedOn w:val="Normal"/>
    <w:link w:val="BodyTextChar"/>
    <w:rsid w:val="00976E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6E96"/>
    <w:rPr>
      <w:rFonts w:ascii="Times New Roman" w:eastAsia="Times New Roman" w:hAnsi="Times New Roman" w:cs="Times New Roman"/>
      <w:sz w:val="24"/>
      <w:lang w:eastAsia="en-US"/>
    </w:rPr>
  </w:style>
  <w:style w:type="paragraph" w:styleId="ListBullet">
    <w:name w:val="List Bullet"/>
    <w:basedOn w:val="List"/>
    <w:rsid w:val="00976E96"/>
    <w:pPr>
      <w:numPr>
        <w:numId w:val="11"/>
      </w:numPr>
      <w:tabs>
        <w:tab w:val="clear" w:pos="340"/>
      </w:tabs>
      <w:spacing w:before="40" w:after="40"/>
    </w:pPr>
  </w:style>
  <w:style w:type="character" w:customStyle="1" w:styleId="SpecialBold">
    <w:name w:val="Special Bold"/>
    <w:basedOn w:val="DefaultParagraphFont"/>
    <w:rsid w:val="00976E96"/>
    <w:rPr>
      <w:b/>
      <w:spacing w:val="0"/>
    </w:rPr>
  </w:style>
  <w:style w:type="paragraph" w:customStyle="1" w:styleId="SuperHeading">
    <w:name w:val="SuperHeading"/>
    <w:basedOn w:val="Normal"/>
    <w:rsid w:val="00976E96"/>
    <w:pPr>
      <w:spacing w:before="240" w:after="120"/>
      <w:outlineLvl w:val="0"/>
    </w:pPr>
    <w:rPr>
      <w:rFonts w:ascii="Times New Roman" w:hAnsi="Times New Roman"/>
      <w:b/>
      <w:sz w:val="32"/>
    </w:rPr>
  </w:style>
  <w:style w:type="paragraph" w:customStyle="1" w:styleId="AllowPageBreak">
    <w:name w:val="AllowPageBreak"/>
    <w:rsid w:val="00976E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6E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E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E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E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E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E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E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E96"/>
    <w:rPr>
      <w:rFonts w:ascii="Courier New" w:eastAsia="Times New Roman" w:hAnsi="Courier New" w:cs="Times New Roman"/>
      <w:i/>
      <w:szCs w:val="20"/>
      <w:lang w:eastAsia="en-US"/>
    </w:rPr>
  </w:style>
  <w:style w:type="paragraph" w:customStyle="1" w:styleId="HeadingBase">
    <w:name w:val="Heading Base"/>
    <w:rsid w:val="00976E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E96"/>
    <w:pPr>
      <w:tabs>
        <w:tab w:val="right" w:leader="dot" w:pos="9072"/>
      </w:tabs>
      <w:ind w:left="567"/>
    </w:pPr>
    <w:rPr>
      <w:szCs w:val="22"/>
    </w:rPr>
  </w:style>
  <w:style w:type="paragraph" w:customStyle="1" w:styleId="TOCBase">
    <w:name w:val="TOC Base"/>
    <w:rsid w:val="00976E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E96"/>
    <w:pPr>
      <w:tabs>
        <w:tab w:val="right" w:leader="dot" w:pos="9072"/>
      </w:tabs>
      <w:spacing w:before="40" w:after="40"/>
      <w:ind w:left="284"/>
    </w:pPr>
    <w:rPr>
      <w:rFonts w:ascii="Times New Roman" w:hAnsi="Times New Roman"/>
    </w:rPr>
  </w:style>
  <w:style w:type="paragraph" w:styleId="TOC1">
    <w:name w:val="toc 1"/>
    <w:basedOn w:val="TOCBase"/>
    <w:next w:val="Normal"/>
    <w:rsid w:val="00976E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E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E96"/>
    <w:rPr>
      <w:rFonts w:ascii="Times New Roman" w:eastAsia="Times New Roman" w:hAnsi="Times New Roman" w:cs="Times New Roman"/>
      <w:sz w:val="16"/>
      <w:lang w:eastAsia="en-US"/>
    </w:rPr>
  </w:style>
  <w:style w:type="paragraph" w:styleId="Title">
    <w:name w:val="Title"/>
    <w:basedOn w:val="HeadingBase"/>
    <w:link w:val="TitleChar"/>
    <w:qFormat/>
    <w:rsid w:val="00976E96"/>
    <w:pPr>
      <w:spacing w:before="5040"/>
      <w:jc w:val="center"/>
    </w:pPr>
    <w:rPr>
      <w:sz w:val="48"/>
      <w:szCs w:val="72"/>
      <w:lang w:val="en-US"/>
    </w:rPr>
  </w:style>
  <w:style w:type="character" w:customStyle="1" w:styleId="TitleChar">
    <w:name w:val="Title Char"/>
    <w:basedOn w:val="DefaultParagraphFont"/>
    <w:link w:val="Title"/>
    <w:rsid w:val="00976E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E96"/>
    <w:pPr>
      <w:tabs>
        <w:tab w:val="left" w:pos="3600"/>
        <w:tab w:val="left" w:pos="3958"/>
      </w:tabs>
    </w:pPr>
  </w:style>
  <w:style w:type="paragraph" w:styleId="List">
    <w:name w:val="List"/>
    <w:basedOn w:val="BodyText"/>
    <w:next w:val="BodyText"/>
    <w:rsid w:val="00976E96"/>
    <w:pPr>
      <w:tabs>
        <w:tab w:val="left" w:pos="340"/>
      </w:tabs>
      <w:spacing w:before="60" w:after="60"/>
      <w:ind w:left="340" w:hanging="340"/>
    </w:pPr>
  </w:style>
  <w:style w:type="paragraph" w:customStyle="1" w:styleId="Note">
    <w:name w:val="Note"/>
    <w:basedOn w:val="BodyText"/>
    <w:rsid w:val="00976E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E96"/>
    <w:pPr>
      <w:framePr w:wrap="auto" w:hAnchor="text" w:y="6049"/>
    </w:pPr>
    <w:rPr>
      <w:color w:val="000000"/>
      <w:sz w:val="40"/>
    </w:rPr>
  </w:style>
  <w:style w:type="paragraph" w:customStyle="1" w:styleId="TOCTitle">
    <w:name w:val="TOCTitle"/>
    <w:basedOn w:val="Heading1"/>
    <w:rsid w:val="00976E96"/>
    <w:pPr>
      <w:spacing w:after="240"/>
      <w:jc w:val="center"/>
      <w:outlineLvl w:val="9"/>
    </w:pPr>
    <w:rPr>
      <w:caps/>
    </w:rPr>
  </w:style>
  <w:style w:type="paragraph" w:customStyle="1" w:styleId="Version">
    <w:name w:val="Version"/>
    <w:rsid w:val="00976E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6E96"/>
    <w:pPr>
      <w:numPr>
        <w:numId w:val="12"/>
      </w:numPr>
      <w:tabs>
        <w:tab w:val="clear" w:pos="680"/>
      </w:tabs>
    </w:pPr>
  </w:style>
  <w:style w:type="paragraph" w:styleId="Index1">
    <w:name w:val="index 1"/>
    <w:basedOn w:val="Normal"/>
    <w:next w:val="Normal"/>
    <w:semiHidden/>
    <w:rsid w:val="00976E96"/>
    <w:pPr>
      <w:keepNext w:val="0"/>
      <w:tabs>
        <w:tab w:val="right" w:pos="4176"/>
      </w:tabs>
      <w:ind w:left="198" w:hanging="198"/>
    </w:pPr>
    <w:rPr>
      <w:rFonts w:ascii="Garamond" w:hAnsi="Garamond"/>
    </w:rPr>
  </w:style>
  <w:style w:type="paragraph" w:styleId="IndexHeading">
    <w:name w:val="index heading"/>
    <w:basedOn w:val="Normal"/>
    <w:next w:val="Index1"/>
    <w:semiHidden/>
    <w:rsid w:val="00976E96"/>
    <w:pPr>
      <w:spacing w:before="120" w:after="120"/>
    </w:pPr>
    <w:rPr>
      <w:rFonts w:ascii="Arial" w:hAnsi="Arial"/>
      <w:b/>
      <w:color w:val="918585"/>
      <w:sz w:val="24"/>
    </w:rPr>
  </w:style>
  <w:style w:type="paragraph" w:styleId="Header">
    <w:name w:val="header"/>
    <w:basedOn w:val="Normal"/>
    <w:link w:val="HeaderChar"/>
    <w:rsid w:val="00976E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E96"/>
    <w:rPr>
      <w:rFonts w:ascii="Times New Roman" w:eastAsia="Times New Roman" w:hAnsi="Times New Roman" w:cs="Times New Roman"/>
      <w:sz w:val="16"/>
      <w:szCs w:val="20"/>
      <w:lang w:val="en-GB" w:eastAsia="en-US"/>
    </w:rPr>
  </w:style>
  <w:style w:type="paragraph" w:customStyle="1" w:styleId="Chapter">
    <w:name w:val="Chapter"/>
    <w:basedOn w:val="Normal"/>
    <w:rsid w:val="00976E96"/>
    <w:pPr>
      <w:spacing w:before="240"/>
    </w:pPr>
    <w:rPr>
      <w:rFonts w:ascii="Times New Roman" w:hAnsi="Times New Roman"/>
      <w:smallCaps/>
      <w:spacing w:val="80"/>
      <w:sz w:val="28"/>
    </w:rPr>
  </w:style>
  <w:style w:type="paragraph" w:customStyle="1" w:styleId="InChapter">
    <w:name w:val="InChapter"/>
    <w:basedOn w:val="Heading3"/>
    <w:rsid w:val="00976E96"/>
    <w:pPr>
      <w:spacing w:after="240"/>
      <w:outlineLvl w:val="9"/>
    </w:pPr>
    <w:rPr>
      <w:noProof/>
    </w:rPr>
  </w:style>
  <w:style w:type="paragraph" w:styleId="Index2">
    <w:name w:val="index 2"/>
    <w:basedOn w:val="Normal"/>
    <w:next w:val="Normal"/>
    <w:semiHidden/>
    <w:rsid w:val="00976E96"/>
    <w:pPr>
      <w:tabs>
        <w:tab w:val="right" w:pos="4176"/>
      </w:tabs>
      <w:ind w:left="568" w:hanging="284"/>
    </w:pPr>
    <w:rPr>
      <w:rFonts w:ascii="Garamond" w:hAnsi="Garamond"/>
    </w:rPr>
  </w:style>
  <w:style w:type="paragraph" w:customStyle="1" w:styleId="Byline">
    <w:name w:val="Byline"/>
    <w:rsid w:val="00976E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E96"/>
    <w:pPr>
      <w:tabs>
        <w:tab w:val="clear" w:pos="3600"/>
        <w:tab w:val="clear" w:pos="3958"/>
      </w:tabs>
      <w:jc w:val="right"/>
    </w:pPr>
  </w:style>
  <w:style w:type="character" w:styleId="Emphasis">
    <w:name w:val="Emphasis"/>
    <w:basedOn w:val="DefaultParagraphFont"/>
    <w:qFormat/>
    <w:rsid w:val="00976E96"/>
    <w:rPr>
      <w:i/>
    </w:rPr>
  </w:style>
  <w:style w:type="paragraph" w:styleId="Caption">
    <w:name w:val="caption"/>
    <w:basedOn w:val="BodyText"/>
    <w:next w:val="Normal"/>
    <w:qFormat/>
    <w:rsid w:val="00976E96"/>
    <w:pPr>
      <w:framePr w:w="2268" w:hSpace="181" w:vSpace="181" w:wrap="around" w:vAnchor="text" w:hAnchor="page" w:x="1135" w:y="285" w:anchorLock="1"/>
    </w:pPr>
    <w:rPr>
      <w:i/>
    </w:rPr>
  </w:style>
  <w:style w:type="paragraph" w:customStyle="1" w:styleId="MiniTOCTitle">
    <w:name w:val="MiniTOCTitle"/>
    <w:basedOn w:val="Heading4"/>
    <w:rsid w:val="00976E96"/>
    <w:pPr>
      <w:spacing w:before="240"/>
      <w:outlineLvl w:val="9"/>
    </w:pPr>
    <w:rPr>
      <w:noProof/>
      <w:sz w:val="24"/>
    </w:rPr>
  </w:style>
  <w:style w:type="paragraph" w:customStyle="1" w:styleId="MiniTOCItem">
    <w:name w:val="MiniTOCItem"/>
    <w:basedOn w:val="ListBullet"/>
    <w:rsid w:val="00976E96"/>
    <w:pPr>
      <w:numPr>
        <w:numId w:val="0"/>
      </w:numPr>
      <w:tabs>
        <w:tab w:val="right" w:leader="dot" w:pos="6521"/>
      </w:tabs>
      <w:spacing w:before="0" w:after="0"/>
    </w:pPr>
  </w:style>
  <w:style w:type="paragraph" w:customStyle="1" w:styleId="TOFTitle">
    <w:name w:val="TOFTitle"/>
    <w:basedOn w:val="TOCTitle"/>
    <w:rsid w:val="00976E96"/>
  </w:style>
  <w:style w:type="paragraph" w:styleId="TableofFigures">
    <w:name w:val="table of figures"/>
    <w:basedOn w:val="Normal"/>
    <w:next w:val="Normal"/>
    <w:semiHidden/>
    <w:rsid w:val="00976E96"/>
    <w:pPr>
      <w:tabs>
        <w:tab w:val="right" w:leader="dot" w:pos="9072"/>
      </w:tabs>
      <w:ind w:left="970" w:hanging="403"/>
    </w:pPr>
    <w:rPr>
      <w:rFonts w:ascii="Times New Roman" w:hAnsi="Times New Roman"/>
      <w:b/>
    </w:rPr>
  </w:style>
  <w:style w:type="paragraph" w:styleId="ListNumber">
    <w:name w:val="List Number"/>
    <w:basedOn w:val="List"/>
    <w:rsid w:val="00976E96"/>
    <w:pPr>
      <w:numPr>
        <w:numId w:val="14"/>
      </w:numPr>
      <w:tabs>
        <w:tab w:val="clear" w:pos="340"/>
      </w:tabs>
    </w:pPr>
  </w:style>
  <w:style w:type="character" w:customStyle="1" w:styleId="WingdingSymbols">
    <w:name w:val="Wingding Symbols"/>
    <w:rsid w:val="00976E96"/>
    <w:rPr>
      <w:rFonts w:ascii="Wingdings" w:hAnsi="Wingdings"/>
    </w:rPr>
  </w:style>
  <w:style w:type="paragraph" w:customStyle="1" w:styleId="TableHeading">
    <w:name w:val="Table Heading"/>
    <w:basedOn w:val="HeadingBase"/>
    <w:rsid w:val="00976E96"/>
    <w:pPr>
      <w:keepLines/>
      <w:pBdr>
        <w:bottom w:val="single" w:sz="6" w:space="1" w:color="918585"/>
      </w:pBdr>
      <w:spacing w:before="240"/>
    </w:pPr>
  </w:style>
  <w:style w:type="character" w:customStyle="1" w:styleId="HotSpot">
    <w:name w:val="HotSpot"/>
    <w:rsid w:val="00976E96"/>
    <w:rPr>
      <w:color w:val="0033CC"/>
      <w:u w:val="none"/>
    </w:rPr>
  </w:style>
  <w:style w:type="paragraph" w:customStyle="1" w:styleId="BodyTextRight">
    <w:name w:val="Body Text Right"/>
    <w:basedOn w:val="BodyText"/>
    <w:rsid w:val="00976E96"/>
    <w:pPr>
      <w:spacing w:before="0" w:after="0"/>
      <w:jc w:val="right"/>
    </w:pPr>
  </w:style>
  <w:style w:type="paragraph" w:styleId="Index3">
    <w:name w:val="index 3"/>
    <w:basedOn w:val="ListNumber2"/>
    <w:next w:val="Normal"/>
    <w:semiHidden/>
    <w:rsid w:val="00976E96"/>
    <w:pPr>
      <w:numPr>
        <w:numId w:val="0"/>
      </w:numPr>
      <w:tabs>
        <w:tab w:val="right" w:leader="dot" w:pos="4176"/>
      </w:tabs>
    </w:pPr>
  </w:style>
  <w:style w:type="paragraph" w:styleId="ListNumber2">
    <w:name w:val="List Number 2"/>
    <w:basedOn w:val="List2"/>
    <w:rsid w:val="00976E96"/>
    <w:pPr>
      <w:numPr>
        <w:numId w:val="9"/>
      </w:numPr>
      <w:tabs>
        <w:tab w:val="clear" w:pos="1060"/>
      </w:tabs>
    </w:pPr>
  </w:style>
  <w:style w:type="paragraph" w:customStyle="1" w:styleId="MarginNote">
    <w:name w:val="Margin Note"/>
    <w:basedOn w:val="BodyText"/>
    <w:rsid w:val="00976E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E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E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E96"/>
    <w:rPr>
      <w:sz w:val="32"/>
    </w:rPr>
  </w:style>
  <w:style w:type="paragraph" w:customStyle="1" w:styleId="HeadingProcedure">
    <w:name w:val="Heading Procedure"/>
    <w:basedOn w:val="HeadingBase"/>
    <w:next w:val="Normal"/>
    <w:rsid w:val="00976E96"/>
    <w:pPr>
      <w:tabs>
        <w:tab w:val="left" w:pos="0"/>
      </w:tabs>
      <w:spacing w:before="120" w:after="60"/>
    </w:pPr>
    <w:rPr>
      <w:i/>
      <w:color w:val="918585"/>
      <w:sz w:val="22"/>
    </w:rPr>
  </w:style>
  <w:style w:type="paragraph" w:customStyle="1" w:styleId="TableBodyText">
    <w:name w:val="Table Body Text"/>
    <w:basedOn w:val="BodyText"/>
    <w:rsid w:val="00976E96"/>
    <w:pPr>
      <w:spacing w:before="60" w:after="60"/>
    </w:pPr>
  </w:style>
  <w:style w:type="paragraph" w:styleId="ListContinue">
    <w:name w:val="List Continue"/>
    <w:basedOn w:val="List"/>
    <w:rsid w:val="00976E96"/>
    <w:pPr>
      <w:ind w:firstLine="0"/>
    </w:pPr>
  </w:style>
  <w:style w:type="paragraph" w:customStyle="1" w:styleId="ListNote">
    <w:name w:val="List Note"/>
    <w:basedOn w:val="List"/>
    <w:rsid w:val="00976E96"/>
    <w:pPr>
      <w:pBdr>
        <w:top w:val="single" w:sz="6" w:space="2" w:color="918585"/>
        <w:bottom w:val="single" w:sz="6" w:space="2" w:color="918585"/>
      </w:pBdr>
      <w:tabs>
        <w:tab w:val="left" w:pos="1021"/>
      </w:tabs>
      <w:ind w:firstLine="0"/>
    </w:pPr>
  </w:style>
  <w:style w:type="paragraph" w:customStyle="1" w:styleId="Warning">
    <w:name w:val="Warning"/>
    <w:basedOn w:val="BodyText"/>
    <w:rsid w:val="00976E96"/>
    <w:pPr>
      <w:shd w:val="clear" w:color="auto" w:fill="D9D9D9"/>
      <w:tabs>
        <w:tab w:val="left" w:pos="992"/>
      </w:tabs>
      <w:ind w:left="119" w:right="119"/>
    </w:pPr>
    <w:rPr>
      <w:sz w:val="20"/>
    </w:rPr>
  </w:style>
  <w:style w:type="paragraph" w:customStyle="1" w:styleId="MarginIcons">
    <w:name w:val="Margin Icons"/>
    <w:basedOn w:val="BodyText"/>
    <w:rsid w:val="00976E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E96"/>
    <w:rPr>
      <w:rFonts w:ascii="Courier New" w:hAnsi="Courier New"/>
    </w:rPr>
  </w:style>
  <w:style w:type="paragraph" w:customStyle="1" w:styleId="NoteBullet">
    <w:name w:val="Note Bullet"/>
    <w:basedOn w:val="Note"/>
    <w:rsid w:val="00976E96"/>
    <w:pPr>
      <w:tabs>
        <w:tab w:val="clear" w:pos="680"/>
      </w:tabs>
      <w:spacing w:before="60" w:after="60"/>
    </w:pPr>
  </w:style>
  <w:style w:type="paragraph" w:customStyle="1" w:styleId="SubHeading2">
    <w:name w:val="SubHeading2"/>
    <w:basedOn w:val="HeadingBase"/>
    <w:rsid w:val="00976E96"/>
    <w:pPr>
      <w:spacing w:before="240" w:after="60"/>
    </w:pPr>
    <w:rPr>
      <w:sz w:val="20"/>
    </w:rPr>
  </w:style>
  <w:style w:type="paragraph" w:customStyle="1" w:styleId="SubHeading1">
    <w:name w:val="SubHeading1"/>
    <w:basedOn w:val="HeadingBase"/>
    <w:rsid w:val="00976E96"/>
    <w:pPr>
      <w:spacing w:before="240" w:after="60"/>
    </w:pPr>
    <w:rPr>
      <w:color w:val="918585"/>
      <w:sz w:val="22"/>
    </w:rPr>
  </w:style>
  <w:style w:type="paragraph" w:customStyle="1" w:styleId="SideHeading">
    <w:name w:val="Side Heading"/>
    <w:basedOn w:val="HeadingBase"/>
    <w:rsid w:val="00976E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E96"/>
    <w:pPr>
      <w:numPr>
        <w:numId w:val="10"/>
      </w:numPr>
    </w:pPr>
  </w:style>
  <w:style w:type="paragraph" w:styleId="PlainText">
    <w:name w:val="Plain Text"/>
    <w:basedOn w:val="Normal"/>
    <w:link w:val="PlainTextChar"/>
    <w:rsid w:val="00976E96"/>
    <w:rPr>
      <w:sz w:val="20"/>
    </w:rPr>
  </w:style>
  <w:style w:type="character" w:customStyle="1" w:styleId="PlainTextChar">
    <w:name w:val="Plain Text Char"/>
    <w:basedOn w:val="DefaultParagraphFont"/>
    <w:link w:val="PlainText"/>
    <w:rsid w:val="00976E96"/>
    <w:rPr>
      <w:rFonts w:ascii="Courier New" w:eastAsia="Times New Roman" w:hAnsi="Courier New" w:cs="Times New Roman"/>
      <w:sz w:val="20"/>
      <w:szCs w:val="20"/>
      <w:lang w:eastAsia="en-US"/>
    </w:rPr>
  </w:style>
  <w:style w:type="character" w:customStyle="1" w:styleId="MenuOption">
    <w:name w:val="Menu Option"/>
    <w:basedOn w:val="DefaultParagraphFont"/>
    <w:rsid w:val="00976E96"/>
    <w:rPr>
      <w:b/>
      <w:smallCaps/>
    </w:rPr>
  </w:style>
  <w:style w:type="paragraph" w:customStyle="1" w:styleId="TableListNumber">
    <w:name w:val="Table List Number"/>
    <w:basedOn w:val="ListNumber"/>
    <w:rsid w:val="00976E96"/>
    <w:pPr>
      <w:numPr>
        <w:numId w:val="0"/>
      </w:numPr>
    </w:pPr>
  </w:style>
  <w:style w:type="paragraph" w:styleId="TOC4">
    <w:name w:val="toc 4"/>
    <w:basedOn w:val="TOCBase"/>
    <w:next w:val="Normal"/>
    <w:semiHidden/>
    <w:rsid w:val="00976E96"/>
    <w:pPr>
      <w:tabs>
        <w:tab w:val="right" w:leader="dot" w:pos="9071"/>
      </w:tabs>
      <w:ind w:left="1701"/>
    </w:pPr>
  </w:style>
  <w:style w:type="paragraph" w:customStyle="1" w:styleId="ListAlpha">
    <w:name w:val="List Alpha"/>
    <w:basedOn w:val="List"/>
    <w:rsid w:val="00976E96"/>
    <w:pPr>
      <w:numPr>
        <w:numId w:val="8"/>
      </w:numPr>
    </w:pPr>
  </w:style>
  <w:style w:type="paragraph" w:customStyle="1" w:styleId="ListAlpha2">
    <w:name w:val="List Alpha 2"/>
    <w:basedOn w:val="List2"/>
    <w:rsid w:val="00976E96"/>
    <w:pPr>
      <w:numPr>
        <w:numId w:val="7"/>
      </w:numPr>
    </w:pPr>
  </w:style>
  <w:style w:type="paragraph" w:styleId="List2">
    <w:name w:val="List 2"/>
    <w:basedOn w:val="BodyText"/>
    <w:rsid w:val="00976E96"/>
    <w:pPr>
      <w:tabs>
        <w:tab w:val="left" w:pos="680"/>
      </w:tabs>
      <w:spacing w:before="60" w:after="60"/>
      <w:ind w:left="680" w:hanging="340"/>
    </w:pPr>
  </w:style>
  <w:style w:type="paragraph" w:styleId="List3">
    <w:name w:val="List 3"/>
    <w:basedOn w:val="BodyText"/>
    <w:rsid w:val="00976E96"/>
    <w:pPr>
      <w:tabs>
        <w:tab w:val="left" w:pos="1021"/>
      </w:tabs>
      <w:spacing w:before="60" w:after="60"/>
      <w:ind w:left="1020" w:hanging="340"/>
    </w:pPr>
  </w:style>
  <w:style w:type="paragraph" w:styleId="List4">
    <w:name w:val="List 4"/>
    <w:basedOn w:val="BodyText"/>
    <w:rsid w:val="00976E96"/>
    <w:pPr>
      <w:tabs>
        <w:tab w:val="left" w:pos="1361"/>
      </w:tabs>
      <w:spacing w:before="60" w:after="60"/>
      <w:ind w:left="1361" w:hanging="340"/>
    </w:pPr>
  </w:style>
  <w:style w:type="paragraph" w:styleId="List5">
    <w:name w:val="List 5"/>
    <w:basedOn w:val="BodyText"/>
    <w:rsid w:val="00976E96"/>
    <w:pPr>
      <w:tabs>
        <w:tab w:val="left" w:pos="1701"/>
      </w:tabs>
      <w:spacing w:before="60" w:after="60"/>
      <w:ind w:left="1701" w:hanging="340"/>
    </w:pPr>
  </w:style>
  <w:style w:type="paragraph" w:styleId="ListBullet3">
    <w:name w:val="List Bullet 3"/>
    <w:basedOn w:val="List3"/>
    <w:rsid w:val="00976E96"/>
    <w:pPr>
      <w:numPr>
        <w:numId w:val="13"/>
      </w:numPr>
      <w:tabs>
        <w:tab w:val="clear" w:pos="1021"/>
      </w:tabs>
      <w:ind w:left="1037" w:hanging="357"/>
    </w:pPr>
  </w:style>
  <w:style w:type="paragraph" w:styleId="ListBullet4">
    <w:name w:val="List Bullet 4"/>
    <w:basedOn w:val="List4"/>
    <w:rsid w:val="00976E96"/>
    <w:pPr>
      <w:numPr>
        <w:numId w:val="2"/>
      </w:numPr>
      <w:tabs>
        <w:tab w:val="clear" w:pos="1361"/>
      </w:tabs>
    </w:pPr>
  </w:style>
  <w:style w:type="paragraph" w:styleId="ListBullet5">
    <w:name w:val="List Bullet 5"/>
    <w:basedOn w:val="List5"/>
    <w:rsid w:val="00976E96"/>
    <w:pPr>
      <w:numPr>
        <w:numId w:val="3"/>
      </w:numPr>
    </w:pPr>
  </w:style>
  <w:style w:type="paragraph" w:styleId="ListContinue2">
    <w:name w:val="List Continue 2"/>
    <w:basedOn w:val="List2"/>
    <w:rsid w:val="00976E96"/>
    <w:pPr>
      <w:ind w:firstLine="0"/>
    </w:pPr>
  </w:style>
  <w:style w:type="paragraph" w:styleId="ListContinue3">
    <w:name w:val="List Continue 3"/>
    <w:basedOn w:val="List3"/>
    <w:rsid w:val="00976E96"/>
    <w:pPr>
      <w:ind w:left="1021" w:firstLine="0"/>
    </w:pPr>
  </w:style>
  <w:style w:type="paragraph" w:styleId="ListContinue4">
    <w:name w:val="List Continue 4"/>
    <w:basedOn w:val="List4"/>
    <w:rsid w:val="00976E96"/>
    <w:pPr>
      <w:ind w:firstLine="0"/>
    </w:pPr>
  </w:style>
  <w:style w:type="paragraph" w:styleId="ListContinue5">
    <w:name w:val="List Continue 5"/>
    <w:basedOn w:val="List5"/>
    <w:rsid w:val="00976E96"/>
    <w:pPr>
      <w:ind w:firstLine="0"/>
    </w:pPr>
  </w:style>
  <w:style w:type="paragraph" w:styleId="ListNumber3">
    <w:name w:val="List Number 3"/>
    <w:basedOn w:val="List3"/>
    <w:rsid w:val="00976E96"/>
    <w:pPr>
      <w:numPr>
        <w:numId w:val="4"/>
      </w:numPr>
    </w:pPr>
  </w:style>
  <w:style w:type="paragraph" w:styleId="ListNumber4">
    <w:name w:val="List Number 4"/>
    <w:basedOn w:val="List4"/>
    <w:rsid w:val="00976E96"/>
    <w:pPr>
      <w:numPr>
        <w:numId w:val="5"/>
      </w:numPr>
    </w:pPr>
  </w:style>
  <w:style w:type="paragraph" w:styleId="ListNumber5">
    <w:name w:val="List Number 5"/>
    <w:basedOn w:val="List5"/>
    <w:rsid w:val="00976E96"/>
    <w:pPr>
      <w:numPr>
        <w:numId w:val="6"/>
      </w:numPr>
    </w:pPr>
  </w:style>
  <w:style w:type="paragraph" w:styleId="BlockText">
    <w:name w:val="Block Text"/>
    <w:basedOn w:val="Normal"/>
    <w:rsid w:val="00976E96"/>
    <w:pPr>
      <w:spacing w:after="120"/>
      <w:ind w:left="1440" w:right="1440"/>
    </w:pPr>
  </w:style>
  <w:style w:type="character" w:customStyle="1" w:styleId="Subscript">
    <w:name w:val="Subscript"/>
    <w:basedOn w:val="DefaultParagraphFont"/>
    <w:rsid w:val="00976E96"/>
    <w:rPr>
      <w:sz w:val="16"/>
      <w:vertAlign w:val="subscript"/>
    </w:rPr>
  </w:style>
  <w:style w:type="character" w:customStyle="1" w:styleId="Superscript">
    <w:name w:val="Superscript"/>
    <w:basedOn w:val="DefaultParagraphFont"/>
    <w:rsid w:val="00976E96"/>
    <w:rPr>
      <w:sz w:val="16"/>
      <w:vertAlign w:val="superscript"/>
    </w:rPr>
  </w:style>
  <w:style w:type="character" w:customStyle="1" w:styleId="Symbols">
    <w:name w:val="Symbols"/>
    <w:basedOn w:val="DefaultParagraphFont"/>
    <w:rsid w:val="00976E96"/>
    <w:rPr>
      <w:rFonts w:ascii="Symbol" w:hAnsi="Symbol"/>
    </w:rPr>
  </w:style>
  <w:style w:type="character" w:customStyle="1" w:styleId="MenuOptions">
    <w:name w:val="Menu Options"/>
    <w:basedOn w:val="DefaultParagraphFont"/>
    <w:rsid w:val="00976E96"/>
    <w:rPr>
      <w:rFonts w:ascii="Arial Narrow" w:hAnsi="Arial Narrow"/>
      <w:smallCaps/>
    </w:rPr>
  </w:style>
  <w:style w:type="character" w:customStyle="1" w:styleId="Buttons">
    <w:name w:val="Buttons"/>
    <w:basedOn w:val="DefaultParagraphFont"/>
    <w:rsid w:val="00976E96"/>
    <w:rPr>
      <w:b/>
    </w:rPr>
  </w:style>
  <w:style w:type="character" w:customStyle="1" w:styleId="Underlined">
    <w:name w:val="Underlined"/>
    <w:basedOn w:val="DefaultParagraphFont"/>
    <w:rsid w:val="00976E96"/>
    <w:rPr>
      <w:u w:val="single"/>
    </w:rPr>
  </w:style>
  <w:style w:type="paragraph" w:customStyle="1" w:styleId="TableBodyTextRight">
    <w:name w:val="Table Body Text Right"/>
    <w:basedOn w:val="TableBodyText"/>
    <w:rsid w:val="00976E96"/>
    <w:pPr>
      <w:widowControl w:val="0"/>
      <w:autoSpaceDE w:val="0"/>
      <w:autoSpaceDN w:val="0"/>
      <w:adjustRightInd w:val="0"/>
      <w:jc w:val="right"/>
    </w:pPr>
    <w:rPr>
      <w:rFonts w:cs="Arial"/>
      <w:szCs w:val="18"/>
    </w:rPr>
  </w:style>
  <w:style w:type="paragraph" w:customStyle="1" w:styleId="CopyrightText">
    <w:name w:val="Copyright Text"/>
    <w:basedOn w:val="BodyText"/>
    <w:rsid w:val="00976E96"/>
    <w:rPr>
      <w:sz w:val="18"/>
    </w:rPr>
  </w:style>
  <w:style w:type="paragraph" w:customStyle="1" w:styleId="BodySmallRight">
    <w:name w:val="Body Small Right"/>
    <w:basedOn w:val="BodyTextRight"/>
    <w:rsid w:val="00976E96"/>
    <w:rPr>
      <w:sz w:val="18"/>
      <w:szCs w:val="18"/>
    </w:rPr>
  </w:style>
  <w:style w:type="paragraph" w:customStyle="1" w:styleId="MarginEdition">
    <w:name w:val="Margin Edition"/>
    <w:basedOn w:val="MarginNote"/>
    <w:rsid w:val="00976E96"/>
    <w:pPr>
      <w:spacing w:before="0" w:after="0"/>
    </w:pPr>
    <w:rPr>
      <w:rFonts w:ascii="Times New Roman" w:hAnsi="Times New Roman"/>
      <w:color w:val="999999"/>
    </w:rPr>
  </w:style>
  <w:style w:type="paragraph" w:customStyle="1" w:styleId="Spacer">
    <w:name w:val="Spacer"/>
    <w:basedOn w:val="Normal"/>
    <w:rsid w:val="00976E96"/>
    <w:rPr>
      <w:sz w:val="2"/>
      <w:szCs w:val="2"/>
    </w:rPr>
  </w:style>
  <w:style w:type="character" w:customStyle="1" w:styleId="Small">
    <w:name w:val="Small"/>
    <w:basedOn w:val="DefaultParagraphFont"/>
    <w:rsid w:val="00976E96"/>
    <w:rPr>
      <w:sz w:val="16"/>
    </w:rPr>
  </w:style>
  <w:style w:type="paragraph" w:customStyle="1" w:styleId="WideTable">
    <w:name w:val="Wide Table"/>
    <w:basedOn w:val="Normal"/>
    <w:rsid w:val="00976E96"/>
    <w:pPr>
      <w:ind w:left="-1418"/>
    </w:pPr>
    <w:rPr>
      <w:sz w:val="2"/>
      <w:szCs w:val="2"/>
    </w:rPr>
  </w:style>
  <w:style w:type="character" w:styleId="PageNumber">
    <w:name w:val="page number"/>
    <w:basedOn w:val="DefaultParagraphFont"/>
    <w:rsid w:val="00976E96"/>
  </w:style>
  <w:style w:type="paragraph" w:styleId="Quote">
    <w:name w:val="Quote"/>
    <w:basedOn w:val="Heading1"/>
    <w:link w:val="QuoteChar"/>
    <w:qFormat/>
    <w:rsid w:val="00976E96"/>
    <w:rPr>
      <w:b w:val="0"/>
      <w:sz w:val="72"/>
      <w:szCs w:val="72"/>
      <w:lang w:val="en-NZ"/>
    </w:rPr>
  </w:style>
  <w:style w:type="character" w:customStyle="1" w:styleId="QuoteChar">
    <w:name w:val="Quote Char"/>
    <w:basedOn w:val="DefaultParagraphFont"/>
    <w:link w:val="Quote"/>
    <w:rsid w:val="00976E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E96"/>
    <w:pPr>
      <w:pageBreakBefore/>
    </w:pPr>
  </w:style>
  <w:style w:type="paragraph" w:customStyle="1" w:styleId="Border">
    <w:name w:val="Border"/>
    <w:basedOn w:val="Normal"/>
    <w:qFormat/>
    <w:rsid w:val="00976E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E96"/>
    <w:rPr>
      <w:b/>
      <w:bCs/>
      <w:i/>
      <w:iCs/>
      <w:color w:val="auto"/>
    </w:rPr>
  </w:style>
  <w:style w:type="paragraph" w:styleId="IntenseQuote">
    <w:name w:val="Intense Quote"/>
    <w:basedOn w:val="Normal"/>
    <w:next w:val="Normal"/>
    <w:link w:val="IntenseQuoteChar"/>
    <w:uiPriority w:val="30"/>
    <w:qFormat/>
    <w:rsid w:val="00976E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E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E96"/>
    <w:rPr>
      <w:smallCaps/>
      <w:color w:val="auto"/>
      <w:u w:val="single"/>
    </w:rPr>
  </w:style>
  <w:style w:type="character" w:styleId="IntenseReference">
    <w:name w:val="Intense Reference"/>
    <w:basedOn w:val="DefaultParagraphFont"/>
    <w:uiPriority w:val="32"/>
    <w:qFormat/>
    <w:rsid w:val="00976E96"/>
    <w:rPr>
      <w:b/>
      <w:bCs/>
      <w:smallCaps/>
      <w:color w:val="auto"/>
      <w:spacing w:val="5"/>
      <w:u w:val="single"/>
    </w:rPr>
  </w:style>
  <w:style w:type="paragraph" w:customStyle="1" w:styleId="2ColumnHeading">
    <w:name w:val="2Column Heading"/>
    <w:basedOn w:val="BodyText"/>
    <w:qFormat/>
    <w:rsid w:val="00976E96"/>
    <w:pPr>
      <w:spacing w:after="60"/>
      <w:ind w:left="-2268"/>
    </w:pPr>
    <w:rPr>
      <w:b/>
    </w:rPr>
  </w:style>
  <w:style w:type="paragraph" w:customStyle="1" w:styleId="Heading1TOC">
    <w:name w:val="Heading1 TOC"/>
    <w:basedOn w:val="Normal"/>
    <w:qFormat/>
    <w:rsid w:val="00976E96"/>
    <w:pPr>
      <w:spacing w:before="240" w:after="120"/>
    </w:pPr>
    <w:rPr>
      <w:rFonts w:ascii="Times New Roman" w:hAnsi="Times New Roman"/>
      <w:b/>
      <w:sz w:val="32"/>
    </w:rPr>
  </w:style>
  <w:style w:type="paragraph" w:customStyle="1" w:styleId="Heading2TOC">
    <w:name w:val="Heading2 TOC"/>
    <w:basedOn w:val="Normal"/>
    <w:qFormat/>
    <w:rsid w:val="00976E96"/>
    <w:pPr>
      <w:spacing w:before="240" w:after="60"/>
    </w:pPr>
    <w:rPr>
      <w:rFonts w:ascii="Times New Roman" w:hAnsi="Times New Roman"/>
      <w:b/>
      <w:sz w:val="28"/>
    </w:rPr>
  </w:style>
  <w:style w:type="character" w:customStyle="1" w:styleId="Underline">
    <w:name w:val="Underline"/>
    <w:basedOn w:val="DefaultParagraphFont"/>
    <w:qFormat/>
    <w:rsid w:val="00976E96"/>
    <w:rPr>
      <w:u w:val="single"/>
    </w:rPr>
  </w:style>
  <w:style w:type="character" w:customStyle="1" w:styleId="BoldandItalics">
    <w:name w:val="Bold and Italics"/>
    <w:qFormat/>
    <w:rsid w:val="00976E96"/>
    <w:rPr>
      <w:b/>
      <w:i/>
      <w:u w:val="none"/>
    </w:rPr>
  </w:style>
  <w:style w:type="paragraph" w:styleId="BalloonText">
    <w:name w:val="Balloon Text"/>
    <w:basedOn w:val="Normal"/>
    <w:link w:val="BalloonTextChar"/>
    <w:rsid w:val="00976E96"/>
    <w:rPr>
      <w:rFonts w:ascii="Tahoma" w:hAnsi="Tahoma" w:cs="Tahoma"/>
      <w:sz w:val="16"/>
      <w:szCs w:val="16"/>
    </w:rPr>
  </w:style>
  <w:style w:type="character" w:customStyle="1" w:styleId="BalloonTextChar">
    <w:name w:val="Balloon Text Char"/>
    <w:basedOn w:val="DefaultParagraphFont"/>
    <w:link w:val="BalloonText"/>
    <w:rsid w:val="00976E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E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6E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E96"/>
    <w:rPr>
      <w:b/>
      <w:color w:val="660033"/>
      <w:spacing w:val="0"/>
    </w:rPr>
  </w:style>
  <w:style w:type="paragraph" w:customStyle="1" w:styleId="Nameditemlist">
    <w:name w:val="Named item list"/>
    <w:basedOn w:val="BodyText"/>
    <w:qFormat/>
    <w:rsid w:val="00976E96"/>
    <w:pPr>
      <w:tabs>
        <w:tab w:val="left" w:pos="2835"/>
      </w:tabs>
      <w:ind w:left="2835" w:hanging="2835"/>
    </w:pPr>
  </w:style>
  <w:style w:type="paragraph" w:customStyle="1" w:styleId="BodyTextnopadding">
    <w:name w:val="Body Text no padding"/>
    <w:basedOn w:val="BodyText"/>
    <w:qFormat/>
    <w:rsid w:val="00976E96"/>
    <w:pPr>
      <w:spacing w:before="0" w:after="0"/>
    </w:pPr>
  </w:style>
  <w:style w:type="paragraph" w:customStyle="1" w:styleId="BodyTextBold">
    <w:name w:val="Body Text Bold"/>
    <w:basedOn w:val="BodyText"/>
    <w:qFormat/>
    <w:rsid w:val="00976E96"/>
    <w:rPr>
      <w:b/>
    </w:rPr>
  </w:style>
  <w:style w:type="character" w:styleId="Hyperlink">
    <w:name w:val="Hyperlink"/>
    <w:basedOn w:val="DefaultParagraphFont"/>
    <w:uiPriority w:val="99"/>
    <w:unhideWhenUsed/>
    <w:rsid w:val="002E4A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788</Words>
  <Characters>5102</Characters>
  <Application>Microsoft Office Word</Application>
  <DocSecurity>0</DocSecurity>
  <Lines>255</Lines>
  <Paragraphs>143</Paragraphs>
  <ScaleCrop>false</ScaleCrop>
  <Company>Author-it Software Corporation Ltd.</Company>
  <LinksUpToDate>false</LinksUpToDate>
  <CharactersWithSpaces>5747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MARM011 Calculate, assess and report on vessel trim and stability</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2020-10-27T00:49:00Z</dcterms:created>
  <dcterms:modified xsi:type="dcterms:W3CDTF">2020-10-27T00:49:00Z</dcterms:modified>
</cp:coreProperties>
</file>