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0662" w:rsidP="00B20662">
      <w:pPr>
        <w:pStyle w:val="Title"/>
      </w:pPr>
      <w:r>
        <w:fldChar w:fldCharType="begin"/>
      </w:r>
      <w:r>
        <w:instrText xml:space="preserve"> TITLE   \* MERGEFORMAT </w:instrText>
      </w:r>
      <w:r>
        <w:fldChar w:fldCharType="separate"/>
      </w:r>
      <w:r>
        <w:t>MARM008 Evaluate vessel stability</w:t>
      </w:r>
      <w:r>
        <w:fldChar w:fldCharType="end"/>
      </w:r>
    </w:p>
    <w:p w:rsidR="00B20662" w:rsidP="00B20662">
      <w:pPr>
        <w:pStyle w:val="Version"/>
        <w:sectPr w:rsidSect="00DE0B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0B78" w:rsidP="00DE0B78">
      <w:pPr>
        <w:pStyle w:val="SuperHeading"/>
      </w:pPr>
      <w:r w:rsidRPr="00DE0B78">
        <w:t>MARM008 Evaluate vessel stability</w:t>
      </w:r>
    </w:p>
    <w:p w:rsidR="00000000" w:rsidRPr="00DE0B78" w:rsidP="00DE0B78">
      <w:pPr>
        <w:pStyle w:val="Heading1"/>
      </w:pPr>
      <w:bookmarkStart w:id="1" w:name="O_662057"/>
      <w:bookmarkEnd w:id="1"/>
      <w:r w:rsidRPr="00DE0B78">
        <w:t>Modification History</w:t>
      </w:r>
    </w:p>
    <w:p w:rsidR="00000000" w:rsidRPr="00DE0B78" w:rsidP="00B20662">
      <w:pPr>
        <w:pStyle w:val="BodyText"/>
      </w:pPr>
      <w:r w:rsidRPr="00DE0B78">
        <w:t>Release 1. New unit of competency.</w:t>
      </w:r>
    </w:p>
    <w:p w:rsidR="00000000" w:rsidRPr="00DE0B78" w:rsidP="00DE0B78">
      <w:pPr>
        <w:pStyle w:val="Heading1"/>
      </w:pPr>
      <w:bookmarkStart w:id="2" w:name="O_662058"/>
      <w:bookmarkEnd w:id="2"/>
      <w:r w:rsidRPr="00DE0B78">
        <w:t>Application</w:t>
      </w:r>
    </w:p>
    <w:p w:rsidR="00000000" w:rsidRPr="00DE0B78" w:rsidP="00B20662">
      <w:pPr>
        <w:pStyle w:val="BodyText"/>
      </w:pPr>
      <w:r w:rsidRPr="00DE0B78">
        <w:t>This unit involves the skills and knowledge required to evaluate stability of a commercial vessel for marine survey purposes using available stability information. It cove</w:t>
      </w:r>
      <w:r w:rsidRPr="00DE0B78">
        <w:t>rs principles of stability data and calculations, how to calculate stability and role of surveyor in assessing stability information.</w:t>
      </w:r>
    </w:p>
    <w:p w:rsidR="00000000" w:rsidRPr="00DE0B78" w:rsidP="00B20662">
      <w:pPr>
        <w:pStyle w:val="BodyText"/>
      </w:pPr>
      <w:r w:rsidRPr="00DE0B78">
        <w:t>This unit applies to people working in the maritime industry as a marine surveyor assistant.</w:t>
      </w:r>
    </w:p>
    <w:p w:rsidR="00000000" w:rsidRPr="00DE0B78" w:rsidP="00B20662">
      <w:pPr>
        <w:pStyle w:val="BodyText"/>
      </w:pPr>
      <w:r w:rsidRPr="00DE0B78">
        <w:t>No licensing, legislative o</w:t>
      </w:r>
      <w:r w:rsidRPr="00DE0B78">
        <w:t>r certification requirements apply to this unit at the time of publication.</w:t>
      </w:r>
    </w:p>
    <w:p w:rsidR="00000000" w:rsidRPr="00DE0B78" w:rsidP="00DE0B78">
      <w:pPr>
        <w:pStyle w:val="Heading1"/>
      </w:pPr>
      <w:bookmarkStart w:id="3" w:name="O_662059"/>
      <w:bookmarkEnd w:id="3"/>
      <w:r w:rsidRPr="00DE0B78">
        <w:t>Pre-requisite Unit</w:t>
      </w:r>
    </w:p>
    <w:p w:rsidR="00000000" w:rsidRPr="00DE0B78" w:rsidP="00B20662">
      <w:pPr>
        <w:pStyle w:val="BodyText"/>
      </w:pPr>
      <w:r w:rsidRPr="00DE0B78">
        <w:t>Not applicable.</w:t>
      </w:r>
    </w:p>
    <w:p w:rsidR="00000000" w:rsidRPr="00DE0B78" w:rsidP="00DE0B78">
      <w:pPr>
        <w:pStyle w:val="Heading1"/>
      </w:pPr>
      <w:bookmarkStart w:id="4" w:name="O_662060"/>
      <w:bookmarkEnd w:id="4"/>
      <w:r w:rsidRPr="00DE0B78">
        <w:t>Competency Field</w:t>
      </w:r>
    </w:p>
    <w:p w:rsidR="00000000" w:rsidRPr="00DE0B78" w:rsidP="00B20662">
      <w:pPr>
        <w:pStyle w:val="BodyText"/>
      </w:pPr>
      <w:r w:rsidRPr="00DE0B78">
        <w:t>M – Marine Surveying</w:t>
      </w:r>
    </w:p>
    <w:p w:rsidR="00000000" w:rsidRPr="00DE0B78" w:rsidP="00DE0B78">
      <w:pPr>
        <w:pStyle w:val="Heading1"/>
      </w:pPr>
      <w:bookmarkStart w:id="5" w:name="O_662061"/>
      <w:bookmarkEnd w:id="5"/>
      <w:r w:rsidRPr="00DE0B78">
        <w:t>Unit Sector</w:t>
      </w:r>
    </w:p>
    <w:p w:rsidR="00000000" w:rsidRPr="00DE0B78" w:rsidP="00B20662">
      <w:pPr>
        <w:pStyle w:val="BodyText"/>
      </w:pPr>
      <w:r w:rsidRPr="00DE0B78">
        <w:t>Not applicable.</w:t>
      </w:r>
    </w:p>
    <w:p w:rsidR="00000000" w:rsidRPr="00DE0B78" w:rsidP="00DE0B78">
      <w:pPr>
        <w:pStyle w:val="Heading1"/>
      </w:pPr>
      <w:bookmarkStart w:id="6" w:name="O_662062"/>
      <w:bookmarkEnd w:id="6"/>
      <w:r w:rsidRPr="00DE0B78">
        <w:t>Elements an</w:t>
      </w:r>
      <w:r w:rsidRPr="00DE0B78">
        <w:t>d Performance Criteria</w:t>
      </w:r>
    </w:p>
    <w:tbl>
      <w:tblPr>
        <w:tblW w:w="9499" w:type="dxa"/>
        <w:tblLayout w:type="fixed"/>
        <w:tblCellMar>
          <w:left w:w="62" w:type="dxa"/>
          <w:right w:w="62" w:type="dxa"/>
        </w:tblCellMar>
        <w:tblLook w:val="0000"/>
      </w:tblPr>
      <w:tblGrid>
        <w:gridCol w:w="432"/>
        <w:gridCol w:w="2303"/>
        <w:gridCol w:w="719"/>
        <w:gridCol w:w="6045"/>
      </w:tblGrid>
      <w:tr w:rsidTr="00B2066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DE0B78">
            <w:pPr>
              <w:pStyle w:val="BodyText"/>
              <w:rPr>
                <w:lang w:val="en-NZ"/>
              </w:rPr>
            </w:pPr>
            <w:r w:rsidRPr="00DE0B78">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DE0B78">
            <w:pPr>
              <w:pStyle w:val="BodyText"/>
              <w:rPr>
                <w:lang w:val="en-NZ"/>
              </w:rPr>
            </w:pPr>
            <w:r w:rsidRPr="00DE0B78">
              <w:t>Performance criteria describe the performance needed to demonstrate achievement of the element.</w:t>
            </w:r>
          </w:p>
        </w:tc>
      </w:tr>
      <w:tr w:rsidTr="00B2066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E0B78" w:rsidP="00DE0B78">
            <w:pPr>
              <w:pStyle w:val="BodyText"/>
            </w:pPr>
            <w:r w:rsidRPr="00DE0B78">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DE0B78">
            <w:pPr>
              <w:pStyle w:val="BodyText"/>
              <w:rPr>
                <w:lang w:val="en-NZ"/>
              </w:rPr>
            </w:pPr>
            <w:r w:rsidRPr="00DE0B78">
              <w:rPr>
                <w:rStyle w:val="SpecialBold"/>
              </w:rPr>
              <w:t>Determine data requirements</w:t>
            </w:r>
          </w:p>
        </w:tc>
        <w:tc>
          <w:tcPr>
            <w:tcW w:w="719" w:type="dxa"/>
            <w:tcBorders>
              <w:top w:val="nil"/>
              <w:left w:val="nil"/>
              <w:bottom w:val="nil"/>
              <w:right w:val="nil"/>
            </w:tcBorders>
            <w:tcMar>
              <w:top w:w="0" w:type="dxa"/>
              <w:left w:w="62" w:type="dxa"/>
              <w:bottom w:w="0" w:type="dxa"/>
              <w:right w:w="62" w:type="dxa"/>
            </w:tcMar>
          </w:tcPr>
          <w:p w:rsidR="00000000" w:rsidP="00DE0B78">
            <w:pPr>
              <w:pStyle w:val="BodyText"/>
              <w:rPr>
                <w:lang w:val="en-NZ"/>
              </w:rPr>
            </w:pPr>
            <w:r w:rsidRPr="00DE0B78">
              <w:t>1.1</w:t>
            </w:r>
          </w:p>
        </w:tc>
        <w:tc>
          <w:tcPr>
            <w:tcW w:w="6045" w:type="dxa"/>
            <w:tcBorders>
              <w:top w:val="nil"/>
              <w:left w:val="nil"/>
              <w:bottom w:val="nil"/>
              <w:right w:val="nil"/>
            </w:tcBorders>
            <w:tcMar>
              <w:top w:w="0" w:type="dxa"/>
              <w:left w:w="62" w:type="dxa"/>
              <w:bottom w:w="0" w:type="dxa"/>
              <w:right w:w="62" w:type="dxa"/>
            </w:tcMar>
          </w:tcPr>
          <w:p w:rsidR="00000000" w:rsidP="00DE0B78">
            <w:pPr>
              <w:pStyle w:val="BodyText"/>
              <w:rPr>
                <w:lang w:val="en-NZ"/>
              </w:rPr>
            </w:pPr>
            <w:r w:rsidRPr="00DE0B78">
              <w:t>Effect of basic data, information and vessel stability calculations is identified, reviewed and applied to assessment of stability</w:t>
            </w:r>
          </w:p>
        </w:tc>
      </w:tr>
      <w:tr w:rsidTr="00B2066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E0B78">
            <w:pPr>
              <w:pStyle w:val="BodyText"/>
              <w:rPr>
                <w:lang w:val="en-NZ"/>
              </w:rPr>
            </w:pPr>
            <w:r w:rsidRPr="00DE0B78">
              <w:t>1.2</w:t>
            </w:r>
          </w:p>
        </w:tc>
        <w:tc>
          <w:tcPr>
            <w:tcW w:w="6045" w:type="dxa"/>
            <w:tcBorders>
              <w:top w:val="nil"/>
              <w:left w:val="nil"/>
              <w:bottom w:val="nil"/>
              <w:right w:val="nil"/>
            </w:tcBorders>
            <w:tcMar>
              <w:top w:w="0" w:type="dxa"/>
              <w:left w:w="62" w:type="dxa"/>
              <w:bottom w:w="0" w:type="dxa"/>
              <w:right w:w="62" w:type="dxa"/>
            </w:tcMar>
          </w:tcPr>
          <w:p w:rsidR="00000000" w:rsidP="00DE0B78">
            <w:pPr>
              <w:pStyle w:val="BodyText"/>
              <w:rPr>
                <w:lang w:val="en-NZ"/>
              </w:rPr>
            </w:pPr>
            <w:r w:rsidRPr="00DE0B78">
              <w:t>Basic data requirements for commercial vessels are correctly identified</w:t>
            </w:r>
          </w:p>
        </w:tc>
      </w:tr>
      <w:tr w:rsidTr="00B2066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E0B78">
            <w:pPr>
              <w:pStyle w:val="BodyText"/>
              <w:rPr>
                <w:lang w:val="en-NZ"/>
              </w:rPr>
            </w:pPr>
            <w:r w:rsidRPr="00DE0B78">
              <w:t>1.3</w:t>
            </w:r>
          </w:p>
        </w:tc>
        <w:tc>
          <w:tcPr>
            <w:tcW w:w="6045" w:type="dxa"/>
            <w:tcBorders>
              <w:top w:val="nil"/>
              <w:left w:val="nil"/>
              <w:bottom w:val="nil"/>
              <w:right w:val="nil"/>
            </w:tcBorders>
            <w:tcMar>
              <w:top w:w="0" w:type="dxa"/>
              <w:left w:w="62" w:type="dxa"/>
              <w:bottom w:w="0" w:type="dxa"/>
              <w:right w:w="62" w:type="dxa"/>
            </w:tcMar>
          </w:tcPr>
          <w:p w:rsidR="00000000" w:rsidP="00DE0B78">
            <w:pPr>
              <w:pStyle w:val="BodyText"/>
              <w:rPr>
                <w:lang w:val="en-NZ"/>
              </w:rPr>
            </w:pPr>
            <w:r w:rsidRPr="00DE0B78">
              <w:t>Importance and function of vessel stability book on survey task is accurately explained</w:t>
            </w:r>
          </w:p>
        </w:tc>
      </w:tr>
      <w:tr w:rsidTr="00B2066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E0B78" w:rsidP="00DE0B78">
            <w:pPr>
              <w:pStyle w:val="BodyText"/>
            </w:pPr>
            <w:r w:rsidRPr="00DE0B78">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DE0B78">
            <w:pPr>
              <w:pStyle w:val="BodyText"/>
              <w:rPr>
                <w:lang w:val="en-NZ"/>
              </w:rPr>
            </w:pPr>
            <w:r w:rsidRPr="00DE0B78">
              <w:rPr>
                <w:rStyle w:val="SpecialBold"/>
              </w:rPr>
              <w:t>Evaluate simplified stability data</w:t>
            </w:r>
          </w:p>
        </w:tc>
        <w:tc>
          <w:tcPr>
            <w:tcW w:w="719" w:type="dxa"/>
            <w:tcBorders>
              <w:top w:val="nil"/>
              <w:left w:val="nil"/>
              <w:bottom w:val="nil"/>
              <w:right w:val="nil"/>
            </w:tcBorders>
            <w:tcMar>
              <w:top w:w="0" w:type="dxa"/>
              <w:left w:w="62" w:type="dxa"/>
              <w:bottom w:w="0" w:type="dxa"/>
              <w:right w:w="62" w:type="dxa"/>
            </w:tcMar>
          </w:tcPr>
          <w:p w:rsidR="00000000" w:rsidP="00DE0B78">
            <w:pPr>
              <w:pStyle w:val="BodyText"/>
              <w:rPr>
                <w:lang w:val="en-NZ"/>
              </w:rPr>
            </w:pPr>
            <w:r w:rsidRPr="00DE0B78">
              <w:t>2.1</w:t>
            </w:r>
          </w:p>
        </w:tc>
        <w:tc>
          <w:tcPr>
            <w:tcW w:w="6045" w:type="dxa"/>
            <w:tcBorders>
              <w:top w:val="nil"/>
              <w:left w:val="nil"/>
              <w:bottom w:val="nil"/>
              <w:right w:val="nil"/>
            </w:tcBorders>
            <w:tcMar>
              <w:top w:w="0" w:type="dxa"/>
              <w:left w:w="62" w:type="dxa"/>
              <w:bottom w:w="0" w:type="dxa"/>
              <w:right w:w="62" w:type="dxa"/>
            </w:tcMar>
          </w:tcPr>
          <w:p w:rsidR="00000000" w:rsidP="00DE0B78">
            <w:pPr>
              <w:pStyle w:val="BodyText"/>
              <w:rPr>
                <w:lang w:val="en-NZ"/>
              </w:rPr>
            </w:pPr>
            <w:r w:rsidRPr="00DE0B78">
              <w:t>Appropriate stability data and information required for size and type of vessel is identified and assessed for compliance agai</w:t>
            </w:r>
            <w:r w:rsidRPr="00DE0B78">
              <w:t>nst regulatory requirements</w:t>
            </w:r>
          </w:p>
        </w:tc>
      </w:tr>
      <w:tr w:rsidTr="00B2066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E0B78">
            <w:pPr>
              <w:pStyle w:val="BodyText"/>
              <w:rPr>
                <w:lang w:val="en-NZ"/>
              </w:rPr>
            </w:pPr>
            <w:r w:rsidRPr="00DE0B78">
              <w:t>2.2</w:t>
            </w:r>
          </w:p>
        </w:tc>
        <w:tc>
          <w:tcPr>
            <w:tcW w:w="6045" w:type="dxa"/>
            <w:tcBorders>
              <w:top w:val="nil"/>
              <w:left w:val="nil"/>
              <w:bottom w:val="nil"/>
              <w:right w:val="nil"/>
            </w:tcBorders>
            <w:tcMar>
              <w:top w:w="0" w:type="dxa"/>
              <w:left w:w="62" w:type="dxa"/>
              <w:bottom w:w="0" w:type="dxa"/>
              <w:right w:w="62" w:type="dxa"/>
            </w:tcMar>
          </w:tcPr>
          <w:p w:rsidR="00000000" w:rsidP="00DE0B78">
            <w:pPr>
              <w:pStyle w:val="BodyText"/>
              <w:rPr>
                <w:lang w:val="en-NZ"/>
              </w:rPr>
            </w:pPr>
            <w:r w:rsidRPr="00DE0B78">
              <w:t>Calculated stability data is correlated with the stability criteria set out in stability book and is confirmed as an accurate evaluation of vessel stability condition by surveyor</w:t>
            </w:r>
          </w:p>
        </w:tc>
      </w:tr>
      <w:tr w:rsidTr="00B2066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E0B78">
            <w:pPr>
              <w:pStyle w:val="BodyText"/>
              <w:rPr>
                <w:lang w:val="en-NZ"/>
              </w:rPr>
            </w:pPr>
            <w:r w:rsidRPr="00DE0B78">
              <w:t>2.3</w:t>
            </w:r>
          </w:p>
        </w:tc>
        <w:tc>
          <w:tcPr>
            <w:tcW w:w="6045" w:type="dxa"/>
            <w:tcBorders>
              <w:top w:val="nil"/>
              <w:left w:val="nil"/>
              <w:bottom w:val="nil"/>
              <w:right w:val="nil"/>
            </w:tcBorders>
            <w:tcMar>
              <w:top w:w="0" w:type="dxa"/>
              <w:left w:w="62" w:type="dxa"/>
              <w:bottom w:w="0" w:type="dxa"/>
              <w:right w:w="62" w:type="dxa"/>
            </w:tcMar>
          </w:tcPr>
          <w:p w:rsidR="00000000" w:rsidP="00DE0B78">
            <w:pPr>
              <w:pStyle w:val="BodyText"/>
              <w:rPr>
                <w:lang w:val="en-NZ"/>
              </w:rPr>
            </w:pPr>
            <w:r w:rsidRPr="00DE0B78">
              <w:t>Precautions to rectify operations that may affect stability and watertight integrity of vessel are identified and confirmed with surveyor</w:t>
            </w:r>
          </w:p>
        </w:tc>
      </w:tr>
      <w:tr w:rsidTr="00B2066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E0B78">
            <w:pPr>
              <w:pStyle w:val="BodyText"/>
              <w:rPr>
                <w:lang w:val="en-NZ"/>
              </w:rPr>
            </w:pPr>
            <w:r w:rsidRPr="00DE0B78">
              <w:t>2.4</w:t>
            </w:r>
          </w:p>
        </w:tc>
        <w:tc>
          <w:tcPr>
            <w:tcW w:w="6045" w:type="dxa"/>
            <w:tcBorders>
              <w:top w:val="nil"/>
              <w:left w:val="nil"/>
              <w:bottom w:val="nil"/>
              <w:right w:val="nil"/>
            </w:tcBorders>
            <w:tcMar>
              <w:top w:w="0" w:type="dxa"/>
              <w:left w:w="62" w:type="dxa"/>
              <w:bottom w:w="0" w:type="dxa"/>
              <w:right w:w="62" w:type="dxa"/>
            </w:tcMar>
          </w:tcPr>
          <w:p w:rsidR="00000000" w:rsidP="00DE0B78">
            <w:pPr>
              <w:pStyle w:val="BodyText"/>
              <w:rPr>
                <w:lang w:val="en-NZ"/>
              </w:rPr>
            </w:pPr>
            <w:r w:rsidRPr="00DE0B78">
              <w:t>Actions to ensure weight distribution does not compromise vessel safety are identified, confirmed with surveyor</w:t>
            </w:r>
            <w:r w:rsidRPr="00DE0B78">
              <w:t xml:space="preserve"> and incorporated into survey task as required</w:t>
            </w:r>
          </w:p>
        </w:tc>
      </w:tr>
      <w:tr w:rsidTr="00B2066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E0B78">
            <w:pPr>
              <w:pStyle w:val="BodyText"/>
              <w:rPr>
                <w:lang w:val="en-NZ"/>
              </w:rPr>
            </w:pPr>
            <w:r w:rsidRPr="00DE0B78">
              <w:t>2.5</w:t>
            </w:r>
          </w:p>
        </w:tc>
        <w:tc>
          <w:tcPr>
            <w:tcW w:w="6045" w:type="dxa"/>
            <w:tcBorders>
              <w:top w:val="nil"/>
              <w:left w:val="nil"/>
              <w:bottom w:val="nil"/>
              <w:right w:val="nil"/>
            </w:tcBorders>
            <w:tcMar>
              <w:top w:w="0" w:type="dxa"/>
              <w:left w:w="62" w:type="dxa"/>
              <w:bottom w:w="0" w:type="dxa"/>
              <w:right w:w="62" w:type="dxa"/>
            </w:tcMar>
          </w:tcPr>
          <w:p w:rsidR="00000000" w:rsidP="00DE0B78">
            <w:pPr>
              <w:pStyle w:val="BodyText"/>
              <w:rPr>
                <w:lang w:val="en-NZ"/>
              </w:rPr>
            </w:pPr>
            <w:r w:rsidRPr="00DE0B78">
              <w:t>Actions to be taken in anticipation of environmental changes that may affect vessel stability are identified, confirmed with surveyor and incorporated into survey task as required</w:t>
            </w:r>
          </w:p>
        </w:tc>
      </w:tr>
      <w:tr w:rsidTr="00B2066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E0B78">
            <w:pPr>
              <w:pStyle w:val="BodyText"/>
              <w:rPr>
                <w:lang w:val="en-NZ"/>
              </w:rPr>
            </w:pPr>
            <w:r w:rsidRPr="00DE0B78">
              <w:t>2.6</w:t>
            </w:r>
          </w:p>
        </w:tc>
        <w:tc>
          <w:tcPr>
            <w:tcW w:w="6045" w:type="dxa"/>
            <w:tcBorders>
              <w:top w:val="nil"/>
              <w:left w:val="nil"/>
              <w:bottom w:val="nil"/>
              <w:right w:val="nil"/>
            </w:tcBorders>
            <w:tcMar>
              <w:top w:w="0" w:type="dxa"/>
              <w:left w:w="62" w:type="dxa"/>
              <w:bottom w:w="0" w:type="dxa"/>
              <w:right w:w="62" w:type="dxa"/>
            </w:tcMar>
          </w:tcPr>
          <w:p w:rsidR="00000000" w:rsidP="00DE0B78">
            <w:pPr>
              <w:pStyle w:val="BodyText"/>
              <w:rPr>
                <w:lang w:val="en-NZ"/>
              </w:rPr>
            </w:pPr>
            <w:r w:rsidRPr="00DE0B78">
              <w:t>Actions to be t</w:t>
            </w:r>
            <w:r w:rsidRPr="00DE0B78">
              <w:t>aken in emergency situations to maintain vessel stability within safe limits are identified, confirmed with and implemented promptly and effectively</w:t>
            </w:r>
          </w:p>
        </w:tc>
      </w:tr>
      <w:tr w:rsidTr="00B2066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E0B78" w:rsidP="00DE0B78">
            <w:pPr>
              <w:pStyle w:val="BodyText"/>
            </w:pPr>
            <w:r w:rsidRPr="00DE0B78">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DE0B78">
            <w:pPr>
              <w:pStyle w:val="BodyText"/>
              <w:rPr>
                <w:lang w:val="en-NZ"/>
              </w:rPr>
            </w:pPr>
            <w:r w:rsidRPr="00DE0B78">
              <w:rPr>
                <w:rStyle w:val="SpecialBold"/>
              </w:rPr>
              <w:t>Carry out reporting requirements</w:t>
            </w:r>
          </w:p>
        </w:tc>
        <w:tc>
          <w:tcPr>
            <w:tcW w:w="719" w:type="dxa"/>
            <w:tcBorders>
              <w:top w:val="nil"/>
              <w:left w:val="nil"/>
              <w:bottom w:val="nil"/>
              <w:right w:val="nil"/>
            </w:tcBorders>
            <w:tcMar>
              <w:top w:w="0" w:type="dxa"/>
              <w:left w:w="62" w:type="dxa"/>
              <w:bottom w:w="0" w:type="dxa"/>
              <w:right w:w="62" w:type="dxa"/>
            </w:tcMar>
          </w:tcPr>
          <w:p w:rsidR="00000000" w:rsidP="00DE0B78">
            <w:pPr>
              <w:pStyle w:val="BodyText"/>
              <w:rPr>
                <w:lang w:val="en-NZ"/>
              </w:rPr>
            </w:pPr>
            <w:r w:rsidRPr="00DE0B78">
              <w:t>3.1</w:t>
            </w:r>
          </w:p>
        </w:tc>
        <w:tc>
          <w:tcPr>
            <w:tcW w:w="6045" w:type="dxa"/>
            <w:tcBorders>
              <w:top w:val="nil"/>
              <w:left w:val="nil"/>
              <w:bottom w:val="nil"/>
              <w:right w:val="nil"/>
            </w:tcBorders>
            <w:tcMar>
              <w:top w:w="0" w:type="dxa"/>
              <w:left w:w="62" w:type="dxa"/>
              <w:bottom w:w="0" w:type="dxa"/>
              <w:right w:w="62" w:type="dxa"/>
            </w:tcMar>
          </w:tcPr>
          <w:p w:rsidR="00000000" w:rsidP="00DE0B78">
            <w:pPr>
              <w:pStyle w:val="BodyText"/>
              <w:rPr>
                <w:lang w:val="en-NZ"/>
              </w:rPr>
            </w:pPr>
            <w:r w:rsidRPr="00DE0B78">
              <w:t>Recorded calculations are reviewed by surveyor for accuracy and relevance</w:t>
            </w:r>
          </w:p>
        </w:tc>
      </w:tr>
      <w:tr w:rsidTr="00B2066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E0B78">
            <w:pPr>
              <w:pStyle w:val="BodyText"/>
              <w:rPr>
                <w:lang w:val="en-NZ"/>
              </w:rPr>
            </w:pPr>
            <w:r w:rsidRPr="00DE0B78">
              <w:t>3.2</w:t>
            </w:r>
          </w:p>
        </w:tc>
        <w:tc>
          <w:tcPr>
            <w:tcW w:w="6045" w:type="dxa"/>
            <w:tcBorders>
              <w:top w:val="nil"/>
              <w:left w:val="nil"/>
              <w:bottom w:val="nil"/>
              <w:right w:val="nil"/>
            </w:tcBorders>
            <w:tcMar>
              <w:top w:w="0" w:type="dxa"/>
              <w:left w:w="62" w:type="dxa"/>
              <w:bottom w:w="0" w:type="dxa"/>
              <w:right w:w="62" w:type="dxa"/>
            </w:tcMar>
          </w:tcPr>
          <w:p w:rsidR="00000000" w:rsidP="00DE0B78">
            <w:pPr>
              <w:pStyle w:val="BodyText"/>
              <w:rPr>
                <w:lang w:val="en-NZ"/>
              </w:rPr>
            </w:pPr>
            <w:r w:rsidRPr="00DE0B78">
              <w:t>Draft survey report is developed and reviewed with surveyor for accuracy and compliance</w:t>
            </w:r>
          </w:p>
        </w:tc>
      </w:tr>
      <w:tr w:rsidTr="00B2066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E0B78">
            <w:pPr>
              <w:pStyle w:val="BodyText"/>
              <w:rPr>
                <w:lang w:val="en-NZ"/>
              </w:rPr>
            </w:pPr>
            <w:r w:rsidRPr="00DE0B78">
              <w:t>3.3</w:t>
            </w:r>
          </w:p>
        </w:tc>
        <w:tc>
          <w:tcPr>
            <w:tcW w:w="6045" w:type="dxa"/>
            <w:tcBorders>
              <w:top w:val="nil"/>
              <w:left w:val="nil"/>
              <w:bottom w:val="nil"/>
              <w:right w:val="nil"/>
            </w:tcBorders>
            <w:tcMar>
              <w:top w:w="0" w:type="dxa"/>
              <w:left w:w="62" w:type="dxa"/>
              <w:bottom w:w="0" w:type="dxa"/>
              <w:right w:w="62" w:type="dxa"/>
            </w:tcMar>
          </w:tcPr>
          <w:p w:rsidR="00000000" w:rsidP="00DE0B78">
            <w:pPr>
              <w:pStyle w:val="BodyText"/>
              <w:rPr>
                <w:lang w:val="en-NZ"/>
              </w:rPr>
            </w:pPr>
            <w:r w:rsidRPr="00DE0B78">
              <w:t>Feedback provided on draft survey report is acknowledged and draft report is ame</w:t>
            </w:r>
            <w:r w:rsidRPr="00DE0B78">
              <w:t>nded as required</w:t>
            </w:r>
          </w:p>
        </w:tc>
      </w:tr>
      <w:tr w:rsidTr="00B2066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E0B78">
            <w:pPr>
              <w:pStyle w:val="BodyText"/>
              <w:rPr>
                <w:lang w:val="en-NZ"/>
              </w:rPr>
            </w:pPr>
            <w:r w:rsidRPr="00DE0B78">
              <w:t>3.4</w:t>
            </w:r>
          </w:p>
        </w:tc>
        <w:tc>
          <w:tcPr>
            <w:tcW w:w="6045" w:type="dxa"/>
            <w:tcBorders>
              <w:top w:val="nil"/>
              <w:left w:val="nil"/>
              <w:bottom w:val="nil"/>
              <w:right w:val="nil"/>
            </w:tcBorders>
            <w:tcMar>
              <w:top w:w="0" w:type="dxa"/>
              <w:left w:w="62" w:type="dxa"/>
              <w:bottom w:w="0" w:type="dxa"/>
              <w:right w:w="62" w:type="dxa"/>
            </w:tcMar>
          </w:tcPr>
          <w:p w:rsidR="00000000" w:rsidRPr="00DE0B78" w:rsidP="00DE0B78">
            <w:pPr>
              <w:pStyle w:val="BodyText"/>
            </w:pPr>
            <w:r w:rsidRPr="00DE0B78">
              <w:t>Storage and security of information is identified, and records are stored and filed according to organisational and regulatory requirements</w:t>
            </w:r>
          </w:p>
        </w:tc>
      </w:tr>
    </w:tbl>
    <w:p w:rsidR="00000000" w:rsidRPr="00DE0B78" w:rsidP="00DE0B78">
      <w:pPr>
        <w:pStyle w:val="BodyText"/>
      </w:pPr>
    </w:p>
    <w:p w:rsidR="00000000" w:rsidRPr="00DE0B78" w:rsidP="00DE0B78">
      <w:pPr>
        <w:pStyle w:val="AllowPageBreak"/>
      </w:pPr>
    </w:p>
    <w:p w:rsidR="00000000" w:rsidRPr="00DE0B78" w:rsidP="00DE0B78">
      <w:pPr>
        <w:pStyle w:val="Heading1"/>
      </w:pPr>
      <w:bookmarkStart w:id="7" w:name="O_662063"/>
      <w:bookmarkEnd w:id="7"/>
      <w:r w:rsidRPr="00DE0B78">
        <w:t>Foundation Skills</w:t>
      </w:r>
    </w:p>
    <w:tbl>
      <w:tblPr>
        <w:tblW w:w="9498" w:type="dxa"/>
        <w:tblLayout w:type="fixed"/>
        <w:tblCellMar>
          <w:left w:w="62" w:type="dxa"/>
          <w:right w:w="62" w:type="dxa"/>
        </w:tblCellMar>
        <w:tblLook w:val="0000"/>
      </w:tblPr>
      <w:tblGrid>
        <w:gridCol w:w="9498"/>
      </w:tblGrid>
      <w:tr w:rsidTr="00DE0B7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E0B78" w:rsidP="00DE0B78">
            <w:pPr>
              <w:pStyle w:val="BodyText"/>
            </w:pPr>
            <w:r w:rsidRPr="00DE0B78">
              <w:t>Foundation skills ess</w:t>
            </w:r>
            <w:r w:rsidRPr="00DE0B78">
              <w:t>ential to performance are explicit in the performance criteria of this unit of competency.</w:t>
            </w:r>
          </w:p>
        </w:tc>
      </w:tr>
    </w:tbl>
    <w:p w:rsidR="00000000" w:rsidRPr="00DE0B78" w:rsidP="00DE0B78">
      <w:pPr>
        <w:pStyle w:val="BodyText"/>
      </w:pPr>
    </w:p>
    <w:p w:rsidR="00000000" w:rsidRPr="00DE0B78" w:rsidP="00DE0B78">
      <w:pPr>
        <w:pStyle w:val="AllowPageBreak"/>
      </w:pPr>
    </w:p>
    <w:p w:rsidR="00000000" w:rsidRPr="00DE0B78" w:rsidP="00DE0B78">
      <w:pPr>
        <w:pStyle w:val="Heading1"/>
      </w:pPr>
      <w:bookmarkStart w:id="8" w:name="O_662064"/>
      <w:bookmarkEnd w:id="8"/>
      <w:r w:rsidRPr="00DE0B78">
        <w:t>Range of Conditions</w:t>
      </w:r>
    </w:p>
    <w:tbl>
      <w:tblPr>
        <w:tblW w:w="9498" w:type="dxa"/>
        <w:tblLayout w:type="fixed"/>
        <w:tblCellMar>
          <w:left w:w="62" w:type="dxa"/>
          <w:right w:w="62" w:type="dxa"/>
        </w:tblCellMar>
        <w:tblLook w:val="0000"/>
      </w:tblPr>
      <w:tblGrid>
        <w:gridCol w:w="2735"/>
        <w:gridCol w:w="6763"/>
      </w:tblGrid>
      <w:tr w:rsidTr="00DE0B78">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DE0B78">
            <w:pPr>
              <w:pStyle w:val="BodyText"/>
              <w:rPr>
                <w:lang w:val="en-NZ"/>
              </w:rPr>
            </w:pPr>
            <w:r w:rsidRPr="00DE0B78">
              <w:t>Range is restricted to essential operating conditions and any other variables essential to the work environment.</w:t>
            </w:r>
          </w:p>
        </w:tc>
      </w:tr>
      <w:tr w:rsidTr="00DE0B7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DE0B78" w:rsidP="00DE0B78">
            <w:pPr>
              <w:pStyle w:val="BodyText"/>
            </w:pPr>
            <w:r w:rsidRPr="00DE0B78">
              <w:t>Basic data includes one or more of the following:</w:t>
            </w:r>
          </w:p>
          <w:p w:rsidR="00000000" w:rsidRPr="00DE0B78" w:rsidP="00DE0B78">
            <w:pPr>
              <w:pStyle w:val="BodyText"/>
            </w:pPr>
          </w:p>
          <w:p w:rsidR="00000000" w:rsidP="00DE0B78">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DE0B78" w:rsidP="00DE0B78">
            <w:pPr>
              <w:pStyle w:val="ListBullet"/>
            </w:pPr>
            <w:r w:rsidRPr="00DE0B78">
              <w:t xml:space="preserve">certificate of survey </w:t>
            </w:r>
          </w:p>
          <w:p w:rsidR="00000000" w:rsidRPr="00DE0B78" w:rsidP="00DE0B78">
            <w:pPr>
              <w:pStyle w:val="ListBullet"/>
            </w:pPr>
            <w:r w:rsidRPr="00DE0B78">
              <w:t>vessel log</w:t>
            </w:r>
          </w:p>
          <w:p w:rsidR="00000000" w:rsidRPr="00DE0B78" w:rsidP="00DE0B78">
            <w:pPr>
              <w:pStyle w:val="ListBullet"/>
            </w:pPr>
            <w:r w:rsidRPr="00DE0B78">
              <w:t>vessel plans and drawings</w:t>
            </w:r>
          </w:p>
          <w:p w:rsidR="00000000" w:rsidP="00DE0B78">
            <w:pPr>
              <w:pStyle w:val="ListBullet"/>
              <w:rPr>
                <w:lang w:val="en-NZ"/>
              </w:rPr>
            </w:pPr>
            <w:r w:rsidRPr="00DE0B78">
              <w:t>vessel stability data book</w:t>
            </w:r>
          </w:p>
        </w:tc>
      </w:tr>
      <w:tr w:rsidTr="00DE0B7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DE0B78" w:rsidP="00DE0B78">
            <w:pPr>
              <w:pStyle w:val="BodyText"/>
            </w:pPr>
            <w:r w:rsidRPr="00DE0B78">
              <w:t>Commercial vessels must include:</w:t>
            </w:r>
          </w:p>
          <w:p w:rsidR="00000000" w:rsidP="00DE0B78">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P="00DE0B78">
            <w:pPr>
              <w:pStyle w:val="ListBullet"/>
              <w:rPr>
                <w:lang w:val="en-NZ"/>
              </w:rPr>
            </w:pPr>
            <w:r w:rsidRPr="00DE0B78">
              <w:t>vessels defined as commercial vessels</w:t>
            </w:r>
            <w:r w:rsidRPr="00DE0B78">
              <w:t xml:space="preserve"> in Marine Safety (Domestic Commercial Vessel) National Law</w:t>
            </w:r>
          </w:p>
        </w:tc>
      </w:tr>
      <w:tr w:rsidTr="00DE0B7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B20662" w:rsidP="00DE0B78">
            <w:pPr>
              <w:pStyle w:val="BodyText"/>
            </w:pPr>
            <w:r w:rsidRPr="00DE0B78">
              <w:t>Precautions include one or more of the following:</w:t>
            </w:r>
          </w:p>
          <w:p w:rsidR="00B20662" w:rsidP="00DE0B78">
            <w:pPr>
              <w:pStyle w:val="BodyText"/>
            </w:pPr>
          </w:p>
          <w:p w:rsidR="00000000" w:rsidP="00DE0B78">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DE0B78" w:rsidP="00DE0B78">
            <w:pPr>
              <w:pStyle w:val="ListBullet"/>
            </w:pPr>
            <w:r w:rsidRPr="00DE0B78">
              <w:t>ballast management</w:t>
            </w:r>
          </w:p>
          <w:p w:rsidR="00000000" w:rsidRPr="00DE0B78" w:rsidP="00DE0B78">
            <w:pPr>
              <w:pStyle w:val="ListBullet"/>
            </w:pPr>
            <w:r w:rsidRPr="00DE0B78">
              <w:t>closing openings exposed to weather</w:t>
            </w:r>
          </w:p>
          <w:p w:rsidR="00000000" w:rsidRPr="00DE0B78" w:rsidP="00DE0B78">
            <w:pPr>
              <w:pStyle w:val="ListBullet"/>
            </w:pPr>
            <w:r w:rsidRPr="00DE0B78">
              <w:t>damage control measures to maintain, stabilise or restore watertight integrity of hul</w:t>
            </w:r>
            <w:r w:rsidRPr="00DE0B78">
              <w:t>l during an emergency</w:t>
            </w:r>
          </w:p>
          <w:p w:rsidR="00000000" w:rsidRPr="00DE0B78" w:rsidP="00DE0B78">
            <w:pPr>
              <w:pStyle w:val="ListBullet"/>
            </w:pPr>
            <w:r w:rsidRPr="00DE0B78">
              <w:t>managing distribution of load on vessel</w:t>
            </w:r>
          </w:p>
          <w:p w:rsidR="00000000" w:rsidRPr="00DE0B78" w:rsidP="00DE0B78">
            <w:pPr>
              <w:pStyle w:val="ListBullet"/>
            </w:pPr>
            <w:r w:rsidRPr="00DE0B78">
              <w:t xml:space="preserve">managing position, stowage and lashing of cargo, stores and equipment, and location of passengers </w:t>
            </w:r>
          </w:p>
          <w:p w:rsidR="00000000" w:rsidP="00DE0B78">
            <w:pPr>
              <w:pStyle w:val="ListBullet"/>
              <w:rPr>
                <w:lang w:val="en-NZ"/>
              </w:rPr>
            </w:pPr>
            <w:r w:rsidRPr="00DE0B78">
              <w:t>taking precautions when using lifting equipment and associated gear</w:t>
            </w:r>
          </w:p>
        </w:tc>
      </w:tr>
      <w:tr w:rsidTr="00DE0B7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E0B78">
            <w:pPr>
              <w:pStyle w:val="BodyText"/>
              <w:rPr>
                <w:lang w:val="en-NZ"/>
              </w:rPr>
            </w:pPr>
            <w:r w:rsidRPr="00DE0B78">
              <w:t>Emergency situations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E0B78" w:rsidP="00DE0B78">
            <w:pPr>
              <w:pStyle w:val="ListBullet"/>
            </w:pPr>
            <w:r w:rsidRPr="00DE0B78">
              <w:t>flooding when there is damage to hull</w:t>
            </w:r>
          </w:p>
          <w:p w:rsidR="00000000" w:rsidRPr="00DE0B78" w:rsidP="00DE0B78">
            <w:pPr>
              <w:pStyle w:val="ListBullet"/>
            </w:pPr>
            <w:r w:rsidRPr="00DE0B78">
              <w:t xml:space="preserve">inadequate securing of weights on board </w:t>
            </w:r>
          </w:p>
          <w:p w:rsidR="00000000" w:rsidRPr="00DE0B78" w:rsidP="00DE0B78">
            <w:pPr>
              <w:pStyle w:val="ListBullet"/>
            </w:pPr>
            <w:r w:rsidRPr="00DE0B78">
              <w:t>unplanned movement of heavy items or stores and equipment on board vessel</w:t>
            </w:r>
          </w:p>
        </w:tc>
      </w:tr>
    </w:tbl>
    <w:p w:rsidR="00000000" w:rsidRPr="00DE0B78" w:rsidP="00DE0B78">
      <w:pPr>
        <w:pStyle w:val="BodyText"/>
      </w:pPr>
    </w:p>
    <w:p w:rsidR="00000000" w:rsidRPr="00DE0B78" w:rsidP="00DE0B78">
      <w:pPr>
        <w:pStyle w:val="AllowPageBreak"/>
      </w:pPr>
    </w:p>
    <w:p w:rsidR="00000000" w:rsidRPr="00DE0B78" w:rsidP="00DE0B78">
      <w:pPr>
        <w:pStyle w:val="Heading1"/>
      </w:pPr>
      <w:bookmarkStart w:id="9" w:name="O_662065"/>
      <w:bookmarkEnd w:id="9"/>
      <w:r w:rsidRPr="00DE0B78">
        <w:t>Unit Mapping Information</w:t>
      </w:r>
    </w:p>
    <w:p w:rsidR="00000000" w:rsidRPr="00DE0B78" w:rsidP="00B20662">
      <w:pPr>
        <w:pStyle w:val="BodyText"/>
      </w:pPr>
      <w:r w:rsidRPr="00DE0B78">
        <w:t>This unit replaces and is equivalent to MARM4004A Evaluate vessel stability.</w:t>
      </w:r>
    </w:p>
    <w:p w:rsidR="00000000" w:rsidRPr="00DE0B78" w:rsidP="00DE0B78">
      <w:pPr>
        <w:pStyle w:val="Heading1"/>
      </w:pPr>
      <w:bookmarkStart w:id="10" w:name="O_662072"/>
      <w:bookmarkEnd w:id="10"/>
      <w:r w:rsidRPr="00DE0B78">
        <w:t>Links</w:t>
      </w:r>
    </w:p>
    <w:p w:rsidR="00000000" w:rsidRPr="00DE0B78" w:rsidP="00B20662">
      <w:pPr>
        <w:pStyle w:val="BodyText"/>
      </w:pPr>
      <w:r w:rsidRPr="00DE0B7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1553A">
        <w:rPr>
          <w:rStyle w:val="Hyperlink"/>
        </w:rPr>
        <w:t>https://vetnet.gov.au/Pages/TrainingDocs.aspx?q=772efb7b-4cce-47fe-9bbd-ee3b1d1eb4c2</w:t>
      </w:r>
      <w:r>
        <w:fldChar w:fldCharType="end"/>
      </w:r>
    </w:p>
    <w:p w:rsidR="00000000" w:rsidRPr="00DE0B78" w:rsidP="00B20662">
      <w:pPr>
        <w:pStyle w:val="BodyText"/>
        <w:sectPr w:rsidSect="00DE0B78">
          <w:headerReference w:type="default" r:id="rId10"/>
          <w:footerReference w:type="default" r:id="rId11"/>
          <w:pgSz w:w="11908" w:h="16833"/>
          <w:pgMar w:top="1702" w:right="1418" w:bottom="1702" w:left="1418" w:header="992" w:footer="992" w:gutter="0"/>
          <w:cols w:space="720"/>
          <w:noEndnote/>
          <w:docGrid w:linePitch="299"/>
        </w:sectPr>
      </w:pPr>
    </w:p>
    <w:p w:rsidR="00000000" w:rsidRPr="00DE0B78" w:rsidP="00DE0B78">
      <w:pPr>
        <w:pStyle w:val="SuperHeading"/>
      </w:pPr>
      <w:r w:rsidRPr="00DE0B78">
        <w:t>Assessment Requirements for MARM008 Evaluate vessel stability</w:t>
      </w:r>
    </w:p>
    <w:p w:rsidR="00000000" w:rsidRPr="00DE0B78" w:rsidP="00DE0B78">
      <w:pPr>
        <w:pStyle w:val="Heading1"/>
      </w:pPr>
      <w:bookmarkStart w:id="11" w:name="O_662067"/>
      <w:bookmarkEnd w:id="11"/>
      <w:r w:rsidRPr="00DE0B78">
        <w:t>Modification History</w:t>
      </w:r>
    </w:p>
    <w:p w:rsidR="00000000" w:rsidRPr="00DE0B78" w:rsidP="00B20662">
      <w:pPr>
        <w:pStyle w:val="BodyText"/>
      </w:pPr>
      <w:r w:rsidRPr="00DE0B78">
        <w:t>Release 1. New unit of competency.</w:t>
      </w:r>
    </w:p>
    <w:p w:rsidR="00000000" w:rsidRPr="00DE0B78" w:rsidP="00DE0B78">
      <w:pPr>
        <w:pStyle w:val="Heading1"/>
      </w:pPr>
      <w:bookmarkStart w:id="12" w:name="O_662068"/>
      <w:bookmarkEnd w:id="12"/>
      <w:r w:rsidRPr="00DE0B78">
        <w:t>Performance Evidence</w:t>
      </w:r>
    </w:p>
    <w:tbl>
      <w:tblPr>
        <w:tblW w:w="9498" w:type="dxa"/>
        <w:tblLayout w:type="fixed"/>
        <w:tblCellMar>
          <w:left w:w="62" w:type="dxa"/>
          <w:right w:w="62" w:type="dxa"/>
        </w:tblCellMar>
        <w:tblLook w:val="0000"/>
      </w:tblPr>
      <w:tblGrid>
        <w:gridCol w:w="9498"/>
      </w:tblGrid>
      <w:tr w:rsidTr="00DE0B78">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DE0B78">
            <w:pPr>
              <w:pStyle w:val="BodyText"/>
              <w:rPr>
                <w:lang w:val="en-NZ"/>
              </w:rPr>
            </w:pPr>
            <w:r w:rsidRPr="00DE0B78">
              <w:t>Evidence required to demonstrate competence in this unit must be relevant to and satisfy all of the requirements of the elements, performance criteria and range of conditions on at least one occasion and include:</w:t>
            </w:r>
          </w:p>
        </w:tc>
      </w:tr>
      <w:tr w:rsidTr="00DE0B78">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DE0B78" w:rsidP="00DE0B78">
            <w:pPr>
              <w:pStyle w:val="ListBullet"/>
            </w:pPr>
            <w:r w:rsidRPr="00DE0B78">
              <w:t>Analysing, planning and carrying out vess</w:t>
            </w:r>
            <w:r w:rsidRPr="00DE0B78">
              <w:t xml:space="preserve">el stability calculation should be undertaken for at least five different types and size of vessels and include: </w:t>
            </w:r>
          </w:p>
          <w:p w:rsidR="00000000" w:rsidRPr="00DE0B78" w:rsidP="00DE0B78">
            <w:pPr>
              <w:pStyle w:val="ListBullet"/>
            </w:pPr>
            <w:r w:rsidRPr="00DE0B78">
              <w:t>applying relevant work health and safety/occupational health and safety (WHS/OHS) requirements and work practices</w:t>
            </w:r>
          </w:p>
          <w:p w:rsidR="00000000" w:rsidRPr="00DE0B78" w:rsidP="00DE0B78">
            <w:pPr>
              <w:pStyle w:val="ListBullet"/>
            </w:pPr>
            <w:r w:rsidRPr="00DE0B78">
              <w:t>carrying out accurate and reliable calculations associated with vessel stability using basic stability criteria calculations, including interpreting and correlating resultant data</w:t>
            </w:r>
          </w:p>
          <w:p w:rsidR="00000000" w:rsidRPr="00DE0B78" w:rsidP="00DE0B78">
            <w:pPr>
              <w:pStyle w:val="ListBullet"/>
            </w:pPr>
            <w:r w:rsidRPr="00DE0B78">
              <w:t xml:space="preserve">interpreting measurements and observations required when maintaining vessel </w:t>
            </w:r>
            <w:r w:rsidRPr="00DE0B78">
              <w:t>stability</w:t>
            </w:r>
          </w:p>
          <w:p w:rsidR="00000000" w:rsidRPr="00DE0B78" w:rsidP="00DE0B78">
            <w:pPr>
              <w:pStyle w:val="ListBullet"/>
            </w:pPr>
            <w:r w:rsidRPr="00DE0B78">
              <w:t>providing high quality reports</w:t>
            </w:r>
          </w:p>
          <w:p w:rsidR="00000000" w:rsidRPr="00DE0B78" w:rsidP="00DE0B78">
            <w:pPr>
              <w:pStyle w:val="ListBullet"/>
            </w:pPr>
            <w:r w:rsidRPr="00DE0B78">
              <w:t xml:space="preserve">reading and interpreting vessel specifications and drawings </w:t>
            </w:r>
          </w:p>
          <w:p w:rsidR="00000000" w:rsidRPr="00DE0B78" w:rsidP="00DE0B78">
            <w:pPr>
              <w:pStyle w:val="ListBullet"/>
            </w:pPr>
            <w:r w:rsidRPr="00DE0B78">
              <w:t>reading, interpreting and applying simple instructions for maintaining vessel stability</w:t>
            </w:r>
          </w:p>
          <w:p w:rsidR="00000000" w:rsidRPr="00DE0B78" w:rsidP="00DE0B78">
            <w:pPr>
              <w:pStyle w:val="ListBullet"/>
            </w:pPr>
            <w:r w:rsidRPr="00DE0B78">
              <w:t>selecting and using relevant equipment according to instructions.</w:t>
            </w:r>
          </w:p>
        </w:tc>
      </w:tr>
    </w:tbl>
    <w:p w:rsidR="00000000" w:rsidRPr="00DE0B78" w:rsidP="00DE0B78">
      <w:pPr>
        <w:pStyle w:val="BodyText"/>
      </w:pPr>
    </w:p>
    <w:p w:rsidR="00000000" w:rsidRPr="00DE0B78" w:rsidP="00DE0B78">
      <w:pPr>
        <w:pStyle w:val="AllowPageBreak"/>
      </w:pPr>
    </w:p>
    <w:p w:rsidR="00000000" w:rsidRPr="00DE0B78" w:rsidP="00DE0B78">
      <w:pPr>
        <w:pStyle w:val="Heading1"/>
      </w:pPr>
      <w:bookmarkStart w:id="13" w:name="O_662069"/>
      <w:bookmarkEnd w:id="13"/>
      <w:r w:rsidRPr="00DE0B78">
        <w:t>Knowledge Evidence</w:t>
      </w:r>
    </w:p>
    <w:tbl>
      <w:tblPr>
        <w:tblW w:w="9498" w:type="dxa"/>
        <w:tblLayout w:type="fixed"/>
        <w:tblCellMar>
          <w:left w:w="62" w:type="dxa"/>
          <w:right w:w="62" w:type="dxa"/>
        </w:tblCellMar>
        <w:tblLook w:val="0000"/>
      </w:tblPr>
      <w:tblGrid>
        <w:gridCol w:w="9498"/>
      </w:tblGrid>
      <w:tr w:rsidTr="00DE0B78">
        <w:tblPrEx>
          <w:tblW w:w="9498" w:type="dxa"/>
          <w:tblLayout w:type="fixed"/>
          <w:tblCellMar>
            <w:left w:w="62" w:type="dxa"/>
            <w:right w:w="62" w:type="dxa"/>
          </w:tblCellMar>
          <w:tblLook w:val="0000"/>
        </w:tblPrEx>
        <w:trPr>
          <w:trHeight w:val="868"/>
        </w:trPr>
        <w:tc>
          <w:tcPr>
            <w:tcW w:w="9498" w:type="dxa"/>
            <w:tcBorders>
              <w:top w:val="nil"/>
              <w:left w:val="nil"/>
              <w:bottom w:val="nil"/>
              <w:right w:val="nil"/>
            </w:tcBorders>
            <w:tcMar>
              <w:top w:w="0" w:type="dxa"/>
              <w:left w:w="62" w:type="dxa"/>
              <w:bottom w:w="0" w:type="dxa"/>
              <w:right w:w="62" w:type="dxa"/>
            </w:tcMar>
          </w:tcPr>
          <w:p w:rsidR="00000000" w:rsidP="00DE0B78">
            <w:pPr>
              <w:pStyle w:val="BodyText"/>
              <w:rPr>
                <w:lang w:val="en-NZ"/>
              </w:rPr>
            </w:pPr>
            <w:r w:rsidRPr="00DE0B78">
              <w:t>Evidence required to demonstrate competence in this unit must be relevant to and satisfy all of the requirements of the elements, performance criteria and range of conditions and include knowledge of:</w:t>
            </w:r>
          </w:p>
        </w:tc>
      </w:tr>
      <w:tr w:rsidTr="00DE0B78">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DE0B78" w:rsidP="00DE0B78">
            <w:pPr>
              <w:pStyle w:val="ListBullet"/>
            </w:pPr>
            <w:r w:rsidRPr="00DE0B78">
              <w:t>basic stability theory, including:</w:t>
            </w:r>
          </w:p>
          <w:p w:rsidR="00000000" w:rsidRPr="00DE0B78" w:rsidP="00DE0B78">
            <w:pPr>
              <w:pStyle w:val="ListBullet2"/>
            </w:pPr>
            <w:r w:rsidRPr="00DE0B78">
              <w:t>equilibrium</w:t>
            </w:r>
          </w:p>
          <w:p w:rsidR="00000000" w:rsidRPr="00DE0B78" w:rsidP="00DE0B78">
            <w:pPr>
              <w:pStyle w:val="ListBullet2"/>
            </w:pPr>
            <w:r w:rsidRPr="00DE0B78">
              <w:t xml:space="preserve">impact of design and hull shape on stability </w:t>
            </w:r>
          </w:p>
          <w:p w:rsidR="00000000" w:rsidRPr="00DE0B78" w:rsidP="00DE0B78">
            <w:pPr>
              <w:pStyle w:val="ListBullet2"/>
            </w:pPr>
            <w:r w:rsidRPr="00DE0B78">
              <w:t>principles of stability</w:t>
            </w:r>
          </w:p>
          <w:p w:rsidR="00000000" w:rsidRPr="00DE0B78" w:rsidP="00DE0B78">
            <w:pPr>
              <w:pStyle w:val="ListBullet2"/>
            </w:pPr>
            <w:r w:rsidRPr="00DE0B78">
              <w:t>relationship between weight and buoyancy in relation to floating bodies</w:t>
            </w:r>
          </w:p>
          <w:p w:rsidR="00000000" w:rsidRPr="00DE0B78" w:rsidP="00DE0B78">
            <w:pPr>
              <w:pStyle w:val="ListBullet2"/>
            </w:pPr>
            <w:r w:rsidRPr="00DE0B78">
              <w:t>reserve buoyancy</w:t>
            </w:r>
          </w:p>
          <w:p w:rsidR="00000000" w:rsidRPr="00DE0B78" w:rsidP="00DE0B78">
            <w:pPr>
              <w:pStyle w:val="ListBullet2"/>
            </w:pPr>
            <w:r w:rsidRPr="00DE0B78">
              <w:t>terms and definitions</w:t>
            </w:r>
          </w:p>
          <w:p w:rsidR="00000000" w:rsidRPr="00DE0B78" w:rsidP="00DE0B78">
            <w:pPr>
              <w:pStyle w:val="ListBullet"/>
            </w:pPr>
            <w:r w:rsidRPr="00DE0B78">
              <w:t>difference between transverse and longitudinal stability, and causes of list and trim</w:t>
            </w:r>
          </w:p>
          <w:p w:rsidR="00000000" w:rsidRPr="00DE0B78" w:rsidP="00DE0B78">
            <w:pPr>
              <w:pStyle w:val="ListBullet"/>
            </w:pPr>
            <w:r w:rsidRPr="00DE0B78">
              <w:t>effects of density of water on draught and freeboard of vessel</w:t>
            </w:r>
          </w:p>
          <w:p w:rsidR="00000000" w:rsidRPr="00DE0B78" w:rsidP="00DE0B78">
            <w:pPr>
              <w:pStyle w:val="ListBullet"/>
            </w:pPr>
            <w:r w:rsidRPr="00DE0B78">
              <w:t>effects on vessel stability that has been bilged</w:t>
            </w:r>
          </w:p>
          <w:p w:rsidR="00000000" w:rsidRPr="00DE0B78" w:rsidP="00DE0B78">
            <w:pPr>
              <w:pStyle w:val="ListBullet"/>
            </w:pPr>
            <w:r w:rsidRPr="00DE0B78">
              <w:t>information contained in basic stability data book supplie</w:t>
            </w:r>
            <w:r w:rsidRPr="00DE0B78">
              <w:t>d to vessel and how this information is used to maintain vessel in a stable condition during operations</w:t>
            </w:r>
          </w:p>
          <w:p w:rsidR="00000000" w:rsidRPr="00DE0B78" w:rsidP="00DE0B78">
            <w:pPr>
              <w:pStyle w:val="ListBullet"/>
            </w:pPr>
            <w:r w:rsidRPr="00DE0B78">
              <w:t>marine Safety (Domestic Commercial Vessel) National Law</w:t>
            </w:r>
          </w:p>
          <w:p w:rsidR="00000000" w:rsidRPr="00DE0B78" w:rsidP="00DE0B78">
            <w:pPr>
              <w:pStyle w:val="ListBullet"/>
            </w:pPr>
            <w:r w:rsidRPr="00DE0B78">
              <w:t>principal design features of vessels related to stability and watertight integrity, such as:</w:t>
            </w:r>
          </w:p>
          <w:p w:rsidR="00000000" w:rsidRPr="00DE0B78" w:rsidP="00DE0B78">
            <w:pPr>
              <w:pStyle w:val="ListBullet2"/>
            </w:pPr>
            <w:r w:rsidRPr="00DE0B78">
              <w:t>ma</w:t>
            </w:r>
            <w:r w:rsidRPr="00DE0B78">
              <w:t xml:space="preserve">intenance and survey requirements necessary to maintain watertight integrity of vessel </w:t>
            </w:r>
          </w:p>
          <w:p w:rsidR="00000000" w:rsidRPr="00DE0B78" w:rsidP="00DE0B78">
            <w:pPr>
              <w:pStyle w:val="ListBullet2"/>
            </w:pPr>
            <w:r w:rsidRPr="00DE0B78">
              <w:t xml:space="preserve">openings in hull and on main deck of vessel and safe working practices that must be followed to </w:t>
            </w:r>
            <w:r w:rsidRPr="00DE0B78">
              <w:t>maintain watertight integrity</w:t>
            </w:r>
          </w:p>
          <w:p w:rsidR="00000000" w:rsidRPr="00DE0B78" w:rsidP="00DE0B78">
            <w:pPr>
              <w:pStyle w:val="ListBullet"/>
            </w:pPr>
            <w:r w:rsidRPr="00DE0B78">
              <w:t>principal factors that affect operational</w:t>
            </w:r>
            <w:r w:rsidRPr="00DE0B78">
              <w:t xml:space="preserve"> stability of vessel and related measures that can be taken to maintain stability, including:</w:t>
            </w:r>
          </w:p>
          <w:p w:rsidR="00000000" w:rsidRPr="00DE0B78" w:rsidP="00DE0B78">
            <w:pPr>
              <w:pStyle w:val="ListBullet2"/>
            </w:pPr>
            <w:r w:rsidRPr="00DE0B78">
              <w:t>adding and removing weights</w:t>
            </w:r>
          </w:p>
          <w:p w:rsidR="00000000" w:rsidRPr="00DE0B78" w:rsidP="00DE0B78">
            <w:pPr>
              <w:pStyle w:val="ListBullet2"/>
            </w:pPr>
            <w:r w:rsidRPr="00DE0B78">
              <w:t>additions and alterations to vessel structure</w:t>
            </w:r>
          </w:p>
          <w:p w:rsidR="00000000" w:rsidRPr="00DE0B78" w:rsidP="00DE0B78">
            <w:pPr>
              <w:pStyle w:val="ListBullet2"/>
            </w:pPr>
            <w:r w:rsidRPr="00DE0B78">
              <w:t>free surface effect of slack tanks</w:t>
            </w:r>
          </w:p>
          <w:p w:rsidR="00000000" w:rsidRPr="00DE0B78" w:rsidP="00DE0B78">
            <w:pPr>
              <w:pStyle w:val="ListBullet2"/>
            </w:pPr>
            <w:r w:rsidRPr="00DE0B78">
              <w:t xml:space="preserve">operation of lifting equipment </w:t>
            </w:r>
          </w:p>
          <w:p w:rsidR="00000000" w:rsidRPr="00DE0B78" w:rsidP="00DE0B78">
            <w:pPr>
              <w:pStyle w:val="ListBullet2"/>
            </w:pPr>
            <w:r w:rsidRPr="00DE0B78">
              <w:t>roll period</w:t>
            </w:r>
          </w:p>
          <w:p w:rsidR="00000000" w:rsidRPr="00DE0B78" w:rsidP="00DE0B78">
            <w:pPr>
              <w:pStyle w:val="ListBullet2"/>
            </w:pPr>
            <w:r w:rsidRPr="00DE0B78">
              <w:t>stiff and tender condition</w:t>
            </w:r>
          </w:p>
          <w:p w:rsidR="00000000" w:rsidRPr="00DE0B78" w:rsidP="00DE0B78">
            <w:pPr>
              <w:pStyle w:val="ListBullet2"/>
            </w:pPr>
            <w:r w:rsidRPr="00DE0B78">
              <w:t>water on deck</w:t>
            </w:r>
          </w:p>
          <w:p w:rsidR="00000000" w:rsidRPr="00DE0B78" w:rsidP="00DE0B78">
            <w:pPr>
              <w:pStyle w:val="ListBullet"/>
            </w:pPr>
            <w:r w:rsidRPr="00DE0B78">
              <w:t>recording stability calculations in survey report</w:t>
            </w:r>
          </w:p>
          <w:p w:rsidR="00000000" w:rsidRPr="00DE0B78" w:rsidP="00DE0B78">
            <w:pPr>
              <w:pStyle w:val="ListBullet"/>
            </w:pPr>
            <w:r w:rsidRPr="00DE0B78">
              <w:t>relationship between lightship, loaded displacement and deadweight</w:t>
            </w:r>
          </w:p>
          <w:p w:rsidR="00000000" w:rsidRPr="00DE0B78" w:rsidP="00DE0B78">
            <w:pPr>
              <w:pStyle w:val="ListBullet"/>
            </w:pPr>
            <w:r w:rsidRPr="00DE0B78">
              <w:t>relevant WHS/OHS legislation and policies</w:t>
            </w:r>
          </w:p>
          <w:p w:rsidR="00000000" w:rsidRPr="00DE0B78" w:rsidP="00DE0B78">
            <w:pPr>
              <w:pStyle w:val="ListBullet"/>
            </w:pPr>
            <w:r w:rsidRPr="00DE0B78">
              <w:t xml:space="preserve">steps involved in bringing unstable vessel to a stable </w:t>
            </w:r>
            <w:r w:rsidRPr="00DE0B78">
              <w:t>condition.</w:t>
            </w:r>
          </w:p>
        </w:tc>
      </w:tr>
    </w:tbl>
    <w:p w:rsidR="00000000" w:rsidRPr="00DE0B78" w:rsidP="00DE0B78">
      <w:pPr>
        <w:pStyle w:val="BodyText"/>
      </w:pPr>
    </w:p>
    <w:p w:rsidR="00000000" w:rsidRPr="00DE0B78" w:rsidP="00DE0B78">
      <w:pPr>
        <w:pStyle w:val="AllowPageBreak"/>
      </w:pPr>
    </w:p>
    <w:p w:rsidR="00000000" w:rsidRPr="00DE0B78" w:rsidP="00DE0B78">
      <w:pPr>
        <w:pStyle w:val="Heading1"/>
      </w:pPr>
      <w:bookmarkStart w:id="14" w:name="O_662070"/>
      <w:bookmarkEnd w:id="14"/>
      <w:r w:rsidRPr="00DE0B78">
        <w:t>Assessment Conditions</w:t>
      </w:r>
    </w:p>
    <w:p w:rsidR="00000000" w:rsidRPr="00DE0B78" w:rsidP="00B20662">
      <w:pPr>
        <w:pStyle w:val="BodyText"/>
      </w:pPr>
      <w:r w:rsidRPr="00DE0B78">
        <w:t>Assessors must satisfy National Vocational Education and Training Regulator (NVR)/Australian Quality Training Framework (AQTF) assessor requirements.</w:t>
      </w:r>
    </w:p>
    <w:p w:rsidR="00000000" w:rsidRPr="00DE0B78" w:rsidP="00B20662">
      <w:pPr>
        <w:pStyle w:val="BodyText"/>
      </w:pPr>
      <w:r w:rsidRPr="00DE0B78">
        <w:t>Assessment must satisfy the National Vocational Education and Training Regulator (NVR)/Australian Quality Training Framework (AQTF) standards.</w:t>
      </w:r>
    </w:p>
    <w:p w:rsidR="00000000" w:rsidRPr="00DE0B78" w:rsidP="00B20662">
      <w:pPr>
        <w:pStyle w:val="BodyText"/>
      </w:pPr>
      <w:r w:rsidRPr="00DE0B78">
        <w:t>Assessment processes and techniques must be appropriate to the language, literacy and numeracy requirements of t</w:t>
      </w:r>
      <w:r w:rsidRPr="00DE0B78">
        <w:t xml:space="preserve">he work being performed and the needs of the candidate. </w:t>
      </w:r>
    </w:p>
    <w:p w:rsidR="00000000" w:rsidRPr="00DE0B78" w:rsidP="00B20662">
      <w:pPr>
        <w:pStyle w:val="BodyText"/>
      </w:pPr>
      <w:r w:rsidRPr="00DE0B78">
        <w:t>Assessment must occur in workplace operational situations or where these are not available, in simulated workplace operational situations or an industry-approved marine operations site that replicat</w:t>
      </w:r>
      <w:r w:rsidRPr="00DE0B78">
        <w:t>es workplace conditions, where evaluating vessel stability can be conducted.</w:t>
      </w:r>
    </w:p>
    <w:p w:rsidR="00000000" w:rsidRPr="00DE0B78" w:rsidP="00B20662">
      <w:pPr>
        <w:pStyle w:val="BodyText"/>
      </w:pPr>
      <w:r w:rsidRPr="00DE0B78">
        <w:t>Resources for assessment include access to:</w:t>
      </w:r>
    </w:p>
    <w:p w:rsidR="00000000" w:rsidRPr="00DE0B78" w:rsidP="00DE0B78">
      <w:pPr>
        <w:pStyle w:val="ListBullet"/>
      </w:pPr>
      <w:r w:rsidRPr="00DE0B78">
        <w:t>relevant documentation including workplace procedures, regulations, codes of practice and operation manuals</w:t>
      </w:r>
    </w:p>
    <w:p w:rsidR="00000000" w:rsidRPr="00DE0B78" w:rsidP="00DE0B78">
      <w:pPr>
        <w:pStyle w:val="ListBullet"/>
      </w:pPr>
      <w:r w:rsidRPr="00DE0B78">
        <w:t>tools, equipment, materia</w:t>
      </w:r>
      <w:r w:rsidRPr="00DE0B78">
        <w:t>ls and personal protective equipment currently used in industry required to evaluate vessel stability.</w:t>
      </w:r>
    </w:p>
    <w:p w:rsidR="00000000" w:rsidRPr="00DE0B78" w:rsidP="00DE0B78">
      <w:pPr>
        <w:pStyle w:val="BodyText"/>
      </w:pPr>
    </w:p>
    <w:p w:rsidR="00000000" w:rsidRPr="00DE0B78" w:rsidP="00B20662">
      <w:pPr>
        <w:pStyle w:val="BodyText"/>
      </w:pPr>
      <w:r w:rsidRPr="00DE0B78">
        <w:t>Performance should be demonstrated consistently over time and in a suitable range of contexts.</w:t>
      </w:r>
    </w:p>
    <w:p w:rsidR="00000000" w:rsidRPr="00DE0B78" w:rsidP="00DE0B78">
      <w:pPr>
        <w:pStyle w:val="Heading1"/>
      </w:pPr>
      <w:bookmarkStart w:id="15" w:name="O_662073"/>
      <w:bookmarkEnd w:id="15"/>
      <w:r w:rsidRPr="00DE0B78">
        <w:t>Links</w:t>
      </w:r>
    </w:p>
    <w:p w:rsidR="00000000" w:rsidRPr="00DE0B78" w:rsidP="00B20662">
      <w:pPr>
        <w:pStyle w:val="BodyText"/>
      </w:pPr>
      <w:r w:rsidRPr="00DE0B7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1553A">
        <w:rPr>
          <w:rStyle w:val="Hyperlink"/>
        </w:rPr>
        <w:t>https://vetnet.gov.au/Pages/TrainingDocs.aspx?q=772efb7b-4cce-47fe-9bbd-ee3b1d1eb4c2</w:t>
      </w:r>
      <w:r>
        <w:fldChar w:fldCharType="end"/>
      </w:r>
    </w:p>
    <w:p w:rsidR="00000000" w:rsidRPr="00DE0B78" w:rsidP="00DE0B78"/>
    <w:sectPr w:rsidSect="00DE0B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B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B78" w:rsidRPr="00B20662" w:rsidP="00B206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B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662" w:rsidP="00DE0B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20662" w:rsidP="00DE0B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20662" w:rsidP="00DE0B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B78" w:rsidP="00DE0B78">
    <w:pPr>
      <w:pStyle w:val="Footer"/>
      <w:framePr w:wrap="around"/>
    </w:pPr>
    <w:r>
      <w:fldChar w:fldCharType="begin"/>
    </w:r>
    <w:r>
      <w:instrText xml:space="preserve"> DOCPROPERTY  Subject  \* MERGEFORMAT </w:instrText>
    </w:r>
    <w:r>
      <w:fldChar w:fldCharType="separate"/>
    </w:r>
    <w:r w:rsidR="00B20662">
      <w:t>Approved</w:t>
    </w:r>
    <w:r w:rsidR="00B20662">
      <w:fldChar w:fldCharType="end"/>
    </w:r>
    <w:r>
      <w:tab/>
      <w:t xml:space="preserve">Page </w:t>
    </w:r>
    <w:r>
      <w:fldChar w:fldCharType="begin"/>
    </w:r>
    <w:r>
      <w:instrText xml:space="preserve"> PAGE  \* Arabic  \* MERGEFORMAT </w:instrText>
    </w:r>
    <w:r>
      <w:fldChar w:fldCharType="separate"/>
    </w:r>
    <w:r w:rsidR="00B2066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0662">
      <w:rPr>
        <w:noProof/>
      </w:rPr>
      <w:t>5</w:t>
    </w:r>
    <w:r>
      <w:rPr>
        <w:noProof/>
      </w:rPr>
      <w:fldChar w:fldCharType="end"/>
    </w:r>
  </w:p>
  <w:p w:rsidR="00DE0B78" w:rsidP="00DE0B78">
    <w:pPr>
      <w:pStyle w:val="Footer"/>
      <w:framePr w:wrap="around"/>
    </w:pPr>
    <w:r>
      <w:t xml:space="preserve">© Commonwealth of Australia, </w:t>
    </w:r>
    <w:r>
      <w:fldChar w:fldCharType="begin"/>
    </w:r>
    <w:r>
      <w:instrText xml:space="preserve"> DATE  \@ "yyyy"  \* MERGEFORMAT </w:instrText>
    </w:r>
    <w:r>
      <w:fldChar w:fldCharType="separate"/>
    </w:r>
    <w:r w:rsidR="00B20662">
      <w:rPr>
        <w:noProof/>
      </w:rPr>
      <w:t>2025</w:t>
    </w:r>
    <w:r>
      <w:fldChar w:fldCharType="end"/>
    </w:r>
    <w:r>
      <w:tab/>
    </w:r>
    <w:r>
      <w:fldChar w:fldCharType="begin"/>
    </w:r>
    <w:r>
      <w:instrText xml:space="preserve"> DOCPROPERTY  Author  \* MERGEFORMAT </w:instrText>
    </w:r>
    <w:r>
      <w:fldChar w:fldCharType="separate"/>
    </w:r>
    <w:r w:rsidR="00B20662">
      <w:t>Industry Skills Australia</w:t>
    </w:r>
    <w:r w:rsidR="00B20662">
      <w:fldChar w:fldCharType="end"/>
    </w:r>
  </w:p>
  <w:p w:rsidR="00DE0B78" w:rsidP="00DE0B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B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6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0B78" w:rsidRPr="00B20662" w:rsidP="00B206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B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662" w:rsidRPr="002D2AF8" w:rsidP="00DE0B78">
    <w:pPr>
      <w:pStyle w:val="Header"/>
      <w:framePr w:wrap="around"/>
    </w:pPr>
    <w:r>
      <w:fldChar w:fldCharType="begin"/>
    </w:r>
    <w:r>
      <w:instrText xml:space="preserve"> TITLE   \* MERGEFORMAT </w:instrText>
    </w:r>
    <w:r>
      <w:fldChar w:fldCharType="separate"/>
    </w:r>
    <w:r>
      <w:t>MARM008 Evaluate vessel stability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20662" w:rsidP="00DE0B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B78" w:rsidRPr="002D2AF8" w:rsidP="00DE0B78">
    <w:pPr>
      <w:pStyle w:val="Header"/>
      <w:framePr w:wrap="around"/>
    </w:pPr>
    <w:r>
      <w:fldChar w:fldCharType="begin"/>
    </w:r>
    <w:r>
      <w:instrText xml:space="preserve"> TITLE   \* MERGEFORMAT </w:instrText>
    </w:r>
    <w:r>
      <w:fldChar w:fldCharType="separate"/>
    </w:r>
    <w:r w:rsidR="00B20662">
      <w:t>MARM008 Evaluate vessel stability</w:t>
    </w:r>
    <w:r w:rsidR="00B20662">
      <w:fldChar w:fldCharType="end"/>
    </w:r>
    <w:r>
      <w:tab/>
      <w:t xml:space="preserve">Date this document was generated: </w:t>
    </w:r>
    <w:r>
      <w:fldChar w:fldCharType="begin"/>
    </w:r>
    <w:r>
      <w:instrText xml:space="preserve"> CREATEDATE  \@ "d MMMM yyyy"  \* MERGEFORMAT </w:instrText>
    </w:r>
    <w:r>
      <w:fldChar w:fldCharType="separate"/>
    </w:r>
    <w:r w:rsidR="00B20662">
      <w:rPr>
        <w:noProof/>
      </w:rPr>
      <w:t>1 March 2025</w:t>
    </w:r>
    <w:r>
      <w:fldChar w:fldCharType="end"/>
    </w:r>
  </w:p>
  <w:p w:rsidR="00DE0B78" w:rsidP="00DE0B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B681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10A5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90DF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B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0B78"/>
    <w:pPr>
      <w:spacing w:before="360" w:after="60"/>
      <w:outlineLvl w:val="0"/>
    </w:pPr>
    <w:rPr>
      <w:sz w:val="32"/>
    </w:rPr>
  </w:style>
  <w:style w:type="paragraph" w:styleId="Heading2">
    <w:name w:val="heading 2"/>
    <w:basedOn w:val="HeadingBase"/>
    <w:next w:val="BodyText"/>
    <w:link w:val="Heading2Char"/>
    <w:qFormat/>
    <w:rsid w:val="00DE0B78"/>
    <w:pPr>
      <w:keepLines/>
      <w:spacing w:before="240" w:after="120"/>
      <w:outlineLvl w:val="1"/>
    </w:pPr>
    <w:rPr>
      <w:sz w:val="28"/>
      <w:szCs w:val="40"/>
    </w:rPr>
  </w:style>
  <w:style w:type="paragraph" w:styleId="Heading3">
    <w:name w:val="heading 3"/>
    <w:basedOn w:val="HeadingBase"/>
    <w:next w:val="BodyText"/>
    <w:link w:val="Heading3Char"/>
    <w:qFormat/>
    <w:rsid w:val="00DE0B78"/>
    <w:pPr>
      <w:spacing w:before="180" w:after="120"/>
      <w:outlineLvl w:val="2"/>
    </w:pPr>
    <w:rPr>
      <w:spacing w:val="-10"/>
      <w:kern w:val="32"/>
    </w:rPr>
  </w:style>
  <w:style w:type="paragraph" w:styleId="Heading4">
    <w:name w:val="heading 4"/>
    <w:basedOn w:val="HeadingBase"/>
    <w:next w:val="BodyText"/>
    <w:link w:val="Heading4Char"/>
    <w:qFormat/>
    <w:rsid w:val="00DE0B78"/>
    <w:pPr>
      <w:spacing w:before="160" w:after="120"/>
      <w:outlineLvl w:val="3"/>
    </w:pPr>
    <w:rPr>
      <w:sz w:val="22"/>
    </w:rPr>
  </w:style>
  <w:style w:type="paragraph" w:styleId="Heading5">
    <w:name w:val="heading 5"/>
    <w:basedOn w:val="HeadingBase"/>
    <w:next w:val="Normal"/>
    <w:link w:val="Heading5Char"/>
    <w:qFormat/>
    <w:rsid w:val="00DE0B78"/>
    <w:pPr>
      <w:spacing w:before="80"/>
      <w:outlineLvl w:val="4"/>
    </w:pPr>
    <w:rPr>
      <w:color w:val="918585"/>
      <w:sz w:val="20"/>
    </w:rPr>
  </w:style>
  <w:style w:type="paragraph" w:styleId="Heading6">
    <w:name w:val="heading 6"/>
    <w:basedOn w:val="HeadingBase"/>
    <w:next w:val="Normal"/>
    <w:link w:val="Heading6Char"/>
    <w:qFormat/>
    <w:rsid w:val="00DE0B78"/>
    <w:pPr>
      <w:spacing w:before="60"/>
      <w:outlineLvl w:val="5"/>
    </w:pPr>
    <w:rPr>
      <w:color w:val="918585"/>
      <w:sz w:val="20"/>
    </w:rPr>
  </w:style>
  <w:style w:type="paragraph" w:styleId="Heading7">
    <w:name w:val="heading 7"/>
    <w:basedOn w:val="Normal"/>
    <w:next w:val="Normal"/>
    <w:link w:val="Heading7Char"/>
    <w:qFormat/>
    <w:rsid w:val="00DE0B78"/>
    <w:pPr>
      <w:ind w:left="720"/>
      <w:outlineLvl w:val="6"/>
    </w:pPr>
    <w:rPr>
      <w:i/>
    </w:rPr>
  </w:style>
  <w:style w:type="paragraph" w:styleId="Heading8">
    <w:name w:val="heading 8"/>
    <w:basedOn w:val="Normal"/>
    <w:next w:val="Normal"/>
    <w:link w:val="Heading8Char"/>
    <w:qFormat/>
    <w:rsid w:val="00DE0B78"/>
    <w:pPr>
      <w:ind w:left="720"/>
      <w:outlineLvl w:val="7"/>
    </w:pPr>
    <w:rPr>
      <w:i/>
    </w:rPr>
  </w:style>
  <w:style w:type="paragraph" w:styleId="Heading9">
    <w:name w:val="heading 9"/>
    <w:basedOn w:val="Normal"/>
    <w:next w:val="Normal"/>
    <w:link w:val="Heading9Char"/>
    <w:qFormat/>
    <w:rsid w:val="00DE0B78"/>
    <w:pPr>
      <w:ind w:left="720"/>
      <w:outlineLvl w:val="8"/>
    </w:pPr>
    <w:rPr>
      <w:i/>
    </w:rPr>
  </w:style>
  <w:style w:type="character" w:default="1" w:styleId="DefaultParagraphFont">
    <w:name w:val="Default Paragraph Font"/>
    <w:uiPriority w:val="1"/>
    <w:unhideWhenUsed/>
    <w:rsid w:val="00DE0B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0B78"/>
  </w:style>
  <w:style w:type="character" w:customStyle="1" w:styleId="Heading1Char">
    <w:name w:val="Heading 1 Char"/>
    <w:basedOn w:val="DefaultParagraphFont"/>
    <w:link w:val="Heading1"/>
    <w:rsid w:val="00DE0B78"/>
    <w:rPr>
      <w:rFonts w:ascii="Times New Roman" w:eastAsia="Times New Roman" w:hAnsi="Times New Roman" w:cs="Times New Roman"/>
      <w:b/>
      <w:sz w:val="32"/>
      <w:szCs w:val="20"/>
      <w:lang w:eastAsia="en-US"/>
    </w:rPr>
  </w:style>
  <w:style w:type="paragraph" w:styleId="BodyText">
    <w:name w:val="Body Text"/>
    <w:basedOn w:val="Normal"/>
    <w:link w:val="BodyTextChar"/>
    <w:rsid w:val="00DE0B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0B78"/>
    <w:rPr>
      <w:rFonts w:ascii="Times New Roman" w:eastAsia="Times New Roman" w:hAnsi="Times New Roman" w:cs="Times New Roman"/>
      <w:sz w:val="24"/>
      <w:lang w:eastAsia="en-US"/>
    </w:rPr>
  </w:style>
  <w:style w:type="paragraph" w:styleId="ListBullet">
    <w:name w:val="List Bullet"/>
    <w:basedOn w:val="List"/>
    <w:rsid w:val="00DE0B78"/>
    <w:pPr>
      <w:numPr>
        <w:numId w:val="12"/>
      </w:numPr>
      <w:tabs>
        <w:tab w:val="clear" w:pos="340"/>
      </w:tabs>
      <w:spacing w:before="40" w:after="40"/>
    </w:pPr>
  </w:style>
  <w:style w:type="character" w:customStyle="1" w:styleId="SpecialBold">
    <w:name w:val="Special Bold"/>
    <w:basedOn w:val="DefaultParagraphFont"/>
    <w:rsid w:val="00DE0B78"/>
    <w:rPr>
      <w:b/>
      <w:spacing w:val="0"/>
    </w:rPr>
  </w:style>
  <w:style w:type="paragraph" w:styleId="ListBullet2">
    <w:name w:val="List Bullet 2"/>
    <w:basedOn w:val="List2"/>
    <w:rsid w:val="00DE0B78"/>
    <w:pPr>
      <w:numPr>
        <w:numId w:val="13"/>
      </w:numPr>
      <w:tabs>
        <w:tab w:val="clear" w:pos="680"/>
      </w:tabs>
    </w:pPr>
  </w:style>
  <w:style w:type="paragraph" w:customStyle="1" w:styleId="SuperHeading">
    <w:name w:val="SuperHeading"/>
    <w:basedOn w:val="Normal"/>
    <w:rsid w:val="00DE0B78"/>
    <w:pPr>
      <w:spacing w:before="240" w:after="120"/>
      <w:outlineLvl w:val="0"/>
    </w:pPr>
    <w:rPr>
      <w:rFonts w:ascii="Times New Roman" w:hAnsi="Times New Roman"/>
      <w:b/>
      <w:sz w:val="32"/>
    </w:rPr>
  </w:style>
  <w:style w:type="paragraph" w:customStyle="1" w:styleId="AllowPageBreak">
    <w:name w:val="AllowPageBreak"/>
    <w:rsid w:val="00DE0B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0B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0B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0B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0B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0B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0B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0B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0B78"/>
    <w:rPr>
      <w:rFonts w:ascii="Courier New" w:eastAsia="Times New Roman" w:hAnsi="Courier New" w:cs="Times New Roman"/>
      <w:i/>
      <w:szCs w:val="20"/>
      <w:lang w:eastAsia="en-US"/>
    </w:rPr>
  </w:style>
  <w:style w:type="paragraph" w:customStyle="1" w:styleId="HeadingBase">
    <w:name w:val="Heading Base"/>
    <w:rsid w:val="00DE0B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0B78"/>
    <w:pPr>
      <w:tabs>
        <w:tab w:val="right" w:leader="dot" w:pos="9072"/>
      </w:tabs>
      <w:ind w:left="567"/>
    </w:pPr>
    <w:rPr>
      <w:szCs w:val="22"/>
    </w:rPr>
  </w:style>
  <w:style w:type="paragraph" w:customStyle="1" w:styleId="TOCBase">
    <w:name w:val="TOC Base"/>
    <w:rsid w:val="00DE0B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0B78"/>
    <w:pPr>
      <w:tabs>
        <w:tab w:val="right" w:leader="dot" w:pos="9072"/>
      </w:tabs>
      <w:spacing w:before="40" w:after="40"/>
      <w:ind w:left="284"/>
    </w:pPr>
    <w:rPr>
      <w:rFonts w:ascii="Times New Roman" w:hAnsi="Times New Roman"/>
    </w:rPr>
  </w:style>
  <w:style w:type="paragraph" w:styleId="TOC1">
    <w:name w:val="toc 1"/>
    <w:basedOn w:val="TOCBase"/>
    <w:next w:val="Normal"/>
    <w:rsid w:val="00DE0B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0B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0B78"/>
    <w:rPr>
      <w:rFonts w:ascii="Times New Roman" w:eastAsia="Times New Roman" w:hAnsi="Times New Roman" w:cs="Times New Roman"/>
      <w:sz w:val="16"/>
      <w:lang w:eastAsia="en-US"/>
    </w:rPr>
  </w:style>
  <w:style w:type="paragraph" w:styleId="Title">
    <w:name w:val="Title"/>
    <w:basedOn w:val="HeadingBase"/>
    <w:link w:val="TitleChar"/>
    <w:qFormat/>
    <w:rsid w:val="00DE0B78"/>
    <w:pPr>
      <w:spacing w:before="5040"/>
      <w:jc w:val="center"/>
    </w:pPr>
    <w:rPr>
      <w:sz w:val="48"/>
      <w:szCs w:val="72"/>
      <w:lang w:val="en-US"/>
    </w:rPr>
  </w:style>
  <w:style w:type="character" w:customStyle="1" w:styleId="TitleChar">
    <w:name w:val="Title Char"/>
    <w:basedOn w:val="DefaultParagraphFont"/>
    <w:link w:val="Title"/>
    <w:rsid w:val="00DE0B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0B78"/>
    <w:pPr>
      <w:tabs>
        <w:tab w:val="left" w:pos="3600"/>
        <w:tab w:val="left" w:pos="3958"/>
      </w:tabs>
    </w:pPr>
  </w:style>
  <w:style w:type="paragraph" w:styleId="List">
    <w:name w:val="List"/>
    <w:basedOn w:val="BodyText"/>
    <w:next w:val="BodyText"/>
    <w:rsid w:val="00DE0B78"/>
    <w:pPr>
      <w:tabs>
        <w:tab w:val="left" w:pos="340"/>
      </w:tabs>
      <w:spacing w:before="60" w:after="60"/>
      <w:ind w:left="340" w:hanging="340"/>
    </w:pPr>
  </w:style>
  <w:style w:type="paragraph" w:customStyle="1" w:styleId="Note">
    <w:name w:val="Note"/>
    <w:basedOn w:val="BodyText"/>
    <w:rsid w:val="00DE0B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0B78"/>
    <w:pPr>
      <w:framePr w:wrap="auto" w:hAnchor="text" w:y="6049"/>
    </w:pPr>
    <w:rPr>
      <w:color w:val="000000"/>
      <w:sz w:val="40"/>
    </w:rPr>
  </w:style>
  <w:style w:type="paragraph" w:customStyle="1" w:styleId="TOCTitle">
    <w:name w:val="TOCTitle"/>
    <w:basedOn w:val="Heading1"/>
    <w:rsid w:val="00DE0B78"/>
    <w:pPr>
      <w:spacing w:after="240"/>
      <w:jc w:val="center"/>
      <w:outlineLvl w:val="9"/>
    </w:pPr>
    <w:rPr>
      <w:caps/>
    </w:rPr>
  </w:style>
  <w:style w:type="paragraph" w:customStyle="1" w:styleId="Version">
    <w:name w:val="Version"/>
    <w:rsid w:val="00DE0B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0B78"/>
    <w:pPr>
      <w:keepNext w:val="0"/>
      <w:tabs>
        <w:tab w:val="right" w:pos="4176"/>
      </w:tabs>
      <w:ind w:left="198" w:hanging="198"/>
    </w:pPr>
    <w:rPr>
      <w:rFonts w:ascii="Garamond" w:hAnsi="Garamond"/>
    </w:rPr>
  </w:style>
  <w:style w:type="paragraph" w:styleId="IndexHeading">
    <w:name w:val="index heading"/>
    <w:basedOn w:val="Normal"/>
    <w:next w:val="Index1"/>
    <w:semiHidden/>
    <w:rsid w:val="00DE0B78"/>
    <w:pPr>
      <w:spacing w:before="120" w:after="120"/>
    </w:pPr>
    <w:rPr>
      <w:rFonts w:ascii="Arial" w:hAnsi="Arial"/>
      <w:b/>
      <w:color w:val="918585"/>
      <w:sz w:val="24"/>
    </w:rPr>
  </w:style>
  <w:style w:type="paragraph" w:styleId="Header">
    <w:name w:val="header"/>
    <w:basedOn w:val="Normal"/>
    <w:link w:val="HeaderChar"/>
    <w:rsid w:val="00DE0B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0B78"/>
    <w:rPr>
      <w:rFonts w:ascii="Times New Roman" w:eastAsia="Times New Roman" w:hAnsi="Times New Roman" w:cs="Times New Roman"/>
      <w:sz w:val="16"/>
      <w:szCs w:val="20"/>
      <w:lang w:val="en-GB" w:eastAsia="en-US"/>
    </w:rPr>
  </w:style>
  <w:style w:type="paragraph" w:customStyle="1" w:styleId="Chapter">
    <w:name w:val="Chapter"/>
    <w:basedOn w:val="Normal"/>
    <w:rsid w:val="00DE0B78"/>
    <w:pPr>
      <w:spacing w:before="240"/>
    </w:pPr>
    <w:rPr>
      <w:rFonts w:ascii="Times New Roman" w:hAnsi="Times New Roman"/>
      <w:smallCaps/>
      <w:spacing w:val="80"/>
      <w:sz w:val="28"/>
    </w:rPr>
  </w:style>
  <w:style w:type="paragraph" w:customStyle="1" w:styleId="InChapter">
    <w:name w:val="InChapter"/>
    <w:basedOn w:val="Heading3"/>
    <w:rsid w:val="00DE0B78"/>
    <w:pPr>
      <w:spacing w:after="240"/>
      <w:outlineLvl w:val="9"/>
    </w:pPr>
    <w:rPr>
      <w:noProof/>
    </w:rPr>
  </w:style>
  <w:style w:type="paragraph" w:styleId="Index2">
    <w:name w:val="index 2"/>
    <w:basedOn w:val="Normal"/>
    <w:next w:val="Normal"/>
    <w:semiHidden/>
    <w:rsid w:val="00DE0B78"/>
    <w:pPr>
      <w:tabs>
        <w:tab w:val="right" w:pos="4176"/>
      </w:tabs>
      <w:ind w:left="568" w:hanging="284"/>
    </w:pPr>
    <w:rPr>
      <w:rFonts w:ascii="Garamond" w:hAnsi="Garamond"/>
    </w:rPr>
  </w:style>
  <w:style w:type="paragraph" w:customStyle="1" w:styleId="Byline">
    <w:name w:val="Byline"/>
    <w:rsid w:val="00DE0B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0B78"/>
    <w:pPr>
      <w:tabs>
        <w:tab w:val="clear" w:pos="3600"/>
        <w:tab w:val="clear" w:pos="3958"/>
      </w:tabs>
      <w:jc w:val="right"/>
    </w:pPr>
  </w:style>
  <w:style w:type="character" w:styleId="Emphasis">
    <w:name w:val="Emphasis"/>
    <w:basedOn w:val="DefaultParagraphFont"/>
    <w:qFormat/>
    <w:rsid w:val="00DE0B78"/>
    <w:rPr>
      <w:i/>
    </w:rPr>
  </w:style>
  <w:style w:type="paragraph" w:styleId="Caption">
    <w:name w:val="caption"/>
    <w:basedOn w:val="BodyText"/>
    <w:next w:val="Normal"/>
    <w:qFormat/>
    <w:rsid w:val="00DE0B78"/>
    <w:pPr>
      <w:framePr w:w="2268" w:hSpace="181" w:vSpace="181" w:wrap="around" w:vAnchor="text" w:hAnchor="page" w:x="1135" w:y="285" w:anchorLock="1"/>
    </w:pPr>
    <w:rPr>
      <w:i/>
    </w:rPr>
  </w:style>
  <w:style w:type="paragraph" w:customStyle="1" w:styleId="MiniTOCTitle">
    <w:name w:val="MiniTOCTitle"/>
    <w:basedOn w:val="Heading4"/>
    <w:rsid w:val="00DE0B78"/>
    <w:pPr>
      <w:spacing w:before="240"/>
      <w:outlineLvl w:val="9"/>
    </w:pPr>
    <w:rPr>
      <w:noProof/>
      <w:sz w:val="24"/>
    </w:rPr>
  </w:style>
  <w:style w:type="paragraph" w:customStyle="1" w:styleId="MiniTOCItem">
    <w:name w:val="MiniTOCItem"/>
    <w:basedOn w:val="ListBullet"/>
    <w:rsid w:val="00DE0B78"/>
    <w:pPr>
      <w:numPr>
        <w:numId w:val="0"/>
      </w:numPr>
      <w:tabs>
        <w:tab w:val="right" w:leader="dot" w:pos="6521"/>
      </w:tabs>
      <w:spacing w:before="0" w:after="0"/>
    </w:pPr>
  </w:style>
  <w:style w:type="paragraph" w:customStyle="1" w:styleId="TOFTitle">
    <w:name w:val="TOFTitle"/>
    <w:basedOn w:val="TOCTitle"/>
    <w:rsid w:val="00DE0B78"/>
  </w:style>
  <w:style w:type="paragraph" w:styleId="TableofFigures">
    <w:name w:val="table of figures"/>
    <w:basedOn w:val="Normal"/>
    <w:next w:val="Normal"/>
    <w:semiHidden/>
    <w:rsid w:val="00DE0B78"/>
    <w:pPr>
      <w:tabs>
        <w:tab w:val="right" w:leader="dot" w:pos="9072"/>
      </w:tabs>
      <w:ind w:left="970" w:hanging="403"/>
    </w:pPr>
    <w:rPr>
      <w:rFonts w:ascii="Times New Roman" w:hAnsi="Times New Roman"/>
      <w:b/>
    </w:rPr>
  </w:style>
  <w:style w:type="paragraph" w:styleId="ListNumber">
    <w:name w:val="List Number"/>
    <w:basedOn w:val="List"/>
    <w:rsid w:val="00DE0B78"/>
    <w:pPr>
      <w:numPr>
        <w:numId w:val="15"/>
      </w:numPr>
      <w:tabs>
        <w:tab w:val="clear" w:pos="340"/>
      </w:tabs>
    </w:pPr>
  </w:style>
  <w:style w:type="character" w:customStyle="1" w:styleId="WingdingSymbols">
    <w:name w:val="Wingding Symbols"/>
    <w:rsid w:val="00DE0B78"/>
    <w:rPr>
      <w:rFonts w:ascii="Wingdings" w:hAnsi="Wingdings"/>
    </w:rPr>
  </w:style>
  <w:style w:type="paragraph" w:customStyle="1" w:styleId="TableHeading">
    <w:name w:val="Table Heading"/>
    <w:basedOn w:val="HeadingBase"/>
    <w:rsid w:val="00DE0B78"/>
    <w:pPr>
      <w:keepLines/>
      <w:pBdr>
        <w:bottom w:val="single" w:sz="6" w:space="1" w:color="918585"/>
      </w:pBdr>
      <w:spacing w:before="240"/>
    </w:pPr>
  </w:style>
  <w:style w:type="character" w:customStyle="1" w:styleId="HotSpot">
    <w:name w:val="HotSpot"/>
    <w:rsid w:val="00DE0B78"/>
    <w:rPr>
      <w:color w:val="0033CC"/>
      <w:u w:val="none"/>
    </w:rPr>
  </w:style>
  <w:style w:type="paragraph" w:customStyle="1" w:styleId="BodyTextRight">
    <w:name w:val="Body Text Right"/>
    <w:basedOn w:val="BodyText"/>
    <w:rsid w:val="00DE0B78"/>
    <w:pPr>
      <w:spacing w:before="0" w:after="0"/>
      <w:jc w:val="right"/>
    </w:pPr>
  </w:style>
  <w:style w:type="paragraph" w:styleId="Index3">
    <w:name w:val="index 3"/>
    <w:basedOn w:val="ListNumber2"/>
    <w:next w:val="Normal"/>
    <w:semiHidden/>
    <w:rsid w:val="00DE0B78"/>
    <w:pPr>
      <w:numPr>
        <w:numId w:val="0"/>
      </w:numPr>
      <w:tabs>
        <w:tab w:val="right" w:leader="dot" w:pos="4176"/>
      </w:tabs>
    </w:pPr>
  </w:style>
  <w:style w:type="paragraph" w:styleId="ListNumber2">
    <w:name w:val="List Number 2"/>
    <w:basedOn w:val="List2"/>
    <w:rsid w:val="00DE0B78"/>
    <w:pPr>
      <w:numPr>
        <w:numId w:val="10"/>
      </w:numPr>
      <w:tabs>
        <w:tab w:val="clear" w:pos="1060"/>
      </w:tabs>
    </w:pPr>
  </w:style>
  <w:style w:type="paragraph" w:customStyle="1" w:styleId="MarginNote">
    <w:name w:val="Margin Note"/>
    <w:basedOn w:val="BodyText"/>
    <w:rsid w:val="00DE0B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0B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0B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0B78"/>
    <w:rPr>
      <w:sz w:val="32"/>
    </w:rPr>
  </w:style>
  <w:style w:type="paragraph" w:customStyle="1" w:styleId="HeadingProcedure">
    <w:name w:val="Heading Procedure"/>
    <w:basedOn w:val="HeadingBase"/>
    <w:next w:val="Normal"/>
    <w:rsid w:val="00DE0B78"/>
    <w:pPr>
      <w:tabs>
        <w:tab w:val="left" w:pos="0"/>
      </w:tabs>
      <w:spacing w:before="120" w:after="60"/>
    </w:pPr>
    <w:rPr>
      <w:i/>
      <w:color w:val="918585"/>
      <w:sz w:val="22"/>
    </w:rPr>
  </w:style>
  <w:style w:type="paragraph" w:customStyle="1" w:styleId="TableBodyText">
    <w:name w:val="Table Body Text"/>
    <w:basedOn w:val="BodyText"/>
    <w:rsid w:val="00DE0B78"/>
    <w:pPr>
      <w:spacing w:before="60" w:after="60"/>
    </w:pPr>
  </w:style>
  <w:style w:type="paragraph" w:styleId="ListContinue">
    <w:name w:val="List Continue"/>
    <w:basedOn w:val="List"/>
    <w:rsid w:val="00DE0B78"/>
    <w:pPr>
      <w:ind w:firstLine="0"/>
    </w:pPr>
  </w:style>
  <w:style w:type="paragraph" w:customStyle="1" w:styleId="ListNote">
    <w:name w:val="List Note"/>
    <w:basedOn w:val="List"/>
    <w:rsid w:val="00DE0B78"/>
    <w:pPr>
      <w:pBdr>
        <w:top w:val="single" w:sz="6" w:space="2" w:color="918585"/>
        <w:bottom w:val="single" w:sz="6" w:space="2" w:color="918585"/>
      </w:pBdr>
      <w:tabs>
        <w:tab w:val="left" w:pos="1021"/>
      </w:tabs>
      <w:ind w:firstLine="0"/>
    </w:pPr>
  </w:style>
  <w:style w:type="paragraph" w:customStyle="1" w:styleId="Warning">
    <w:name w:val="Warning"/>
    <w:basedOn w:val="BodyText"/>
    <w:rsid w:val="00DE0B78"/>
    <w:pPr>
      <w:shd w:val="clear" w:color="auto" w:fill="D9D9D9"/>
      <w:tabs>
        <w:tab w:val="left" w:pos="992"/>
      </w:tabs>
      <w:ind w:left="119" w:right="119"/>
    </w:pPr>
    <w:rPr>
      <w:sz w:val="20"/>
    </w:rPr>
  </w:style>
  <w:style w:type="paragraph" w:customStyle="1" w:styleId="MarginIcons">
    <w:name w:val="Margin Icons"/>
    <w:basedOn w:val="BodyText"/>
    <w:rsid w:val="00DE0B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0B78"/>
    <w:rPr>
      <w:rFonts w:ascii="Courier New" w:hAnsi="Courier New"/>
    </w:rPr>
  </w:style>
  <w:style w:type="paragraph" w:customStyle="1" w:styleId="NoteBullet">
    <w:name w:val="Note Bullet"/>
    <w:basedOn w:val="Note"/>
    <w:rsid w:val="00DE0B78"/>
    <w:pPr>
      <w:tabs>
        <w:tab w:val="clear" w:pos="680"/>
      </w:tabs>
      <w:spacing w:before="60" w:after="60"/>
    </w:pPr>
  </w:style>
  <w:style w:type="paragraph" w:customStyle="1" w:styleId="SubHeading2">
    <w:name w:val="SubHeading2"/>
    <w:basedOn w:val="HeadingBase"/>
    <w:rsid w:val="00DE0B78"/>
    <w:pPr>
      <w:spacing w:before="240" w:after="60"/>
    </w:pPr>
    <w:rPr>
      <w:sz w:val="20"/>
    </w:rPr>
  </w:style>
  <w:style w:type="paragraph" w:customStyle="1" w:styleId="SubHeading1">
    <w:name w:val="SubHeading1"/>
    <w:basedOn w:val="HeadingBase"/>
    <w:rsid w:val="00DE0B78"/>
    <w:pPr>
      <w:spacing w:before="240" w:after="60"/>
    </w:pPr>
    <w:rPr>
      <w:color w:val="918585"/>
      <w:sz w:val="22"/>
    </w:rPr>
  </w:style>
  <w:style w:type="paragraph" w:customStyle="1" w:styleId="SideHeading">
    <w:name w:val="Side Heading"/>
    <w:basedOn w:val="HeadingBase"/>
    <w:rsid w:val="00DE0B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0B78"/>
    <w:pPr>
      <w:tabs>
        <w:tab w:val="num" w:pos="360"/>
      </w:tabs>
    </w:pPr>
  </w:style>
  <w:style w:type="paragraph" w:styleId="PlainText">
    <w:name w:val="Plain Text"/>
    <w:basedOn w:val="Normal"/>
    <w:link w:val="PlainTextChar"/>
    <w:rsid w:val="00DE0B78"/>
    <w:rPr>
      <w:sz w:val="20"/>
    </w:rPr>
  </w:style>
  <w:style w:type="character" w:customStyle="1" w:styleId="PlainTextChar">
    <w:name w:val="Plain Text Char"/>
    <w:basedOn w:val="DefaultParagraphFont"/>
    <w:link w:val="PlainText"/>
    <w:rsid w:val="00DE0B78"/>
    <w:rPr>
      <w:rFonts w:ascii="Courier New" w:eastAsia="Times New Roman" w:hAnsi="Courier New" w:cs="Times New Roman"/>
      <w:sz w:val="20"/>
      <w:szCs w:val="20"/>
      <w:lang w:eastAsia="en-US"/>
    </w:rPr>
  </w:style>
  <w:style w:type="character" w:customStyle="1" w:styleId="MenuOption">
    <w:name w:val="Menu Option"/>
    <w:basedOn w:val="DefaultParagraphFont"/>
    <w:rsid w:val="00DE0B78"/>
    <w:rPr>
      <w:b/>
      <w:smallCaps/>
    </w:rPr>
  </w:style>
  <w:style w:type="paragraph" w:customStyle="1" w:styleId="TableListNumber">
    <w:name w:val="Table List Number"/>
    <w:basedOn w:val="ListNumber"/>
    <w:rsid w:val="00DE0B78"/>
    <w:pPr>
      <w:numPr>
        <w:numId w:val="0"/>
      </w:numPr>
    </w:pPr>
  </w:style>
  <w:style w:type="paragraph" w:styleId="TOC4">
    <w:name w:val="toc 4"/>
    <w:basedOn w:val="TOCBase"/>
    <w:next w:val="Normal"/>
    <w:semiHidden/>
    <w:rsid w:val="00DE0B78"/>
    <w:pPr>
      <w:tabs>
        <w:tab w:val="right" w:leader="dot" w:pos="9071"/>
      </w:tabs>
      <w:ind w:left="1701"/>
    </w:pPr>
  </w:style>
  <w:style w:type="paragraph" w:customStyle="1" w:styleId="ListAlpha">
    <w:name w:val="List Alpha"/>
    <w:basedOn w:val="List"/>
    <w:rsid w:val="00DE0B78"/>
    <w:pPr>
      <w:numPr>
        <w:numId w:val="9"/>
      </w:numPr>
    </w:pPr>
  </w:style>
  <w:style w:type="paragraph" w:customStyle="1" w:styleId="ListAlpha2">
    <w:name w:val="List Alpha 2"/>
    <w:basedOn w:val="List2"/>
    <w:rsid w:val="00DE0B78"/>
    <w:pPr>
      <w:numPr>
        <w:numId w:val="8"/>
      </w:numPr>
    </w:pPr>
  </w:style>
  <w:style w:type="paragraph" w:styleId="List2">
    <w:name w:val="List 2"/>
    <w:basedOn w:val="BodyText"/>
    <w:rsid w:val="00DE0B78"/>
    <w:pPr>
      <w:tabs>
        <w:tab w:val="left" w:pos="680"/>
      </w:tabs>
      <w:spacing w:before="60" w:after="60"/>
      <w:ind w:left="680" w:hanging="340"/>
    </w:pPr>
  </w:style>
  <w:style w:type="paragraph" w:styleId="List3">
    <w:name w:val="List 3"/>
    <w:basedOn w:val="BodyText"/>
    <w:rsid w:val="00DE0B78"/>
    <w:pPr>
      <w:tabs>
        <w:tab w:val="left" w:pos="1021"/>
      </w:tabs>
      <w:spacing w:before="60" w:after="60"/>
      <w:ind w:left="1020" w:hanging="340"/>
    </w:pPr>
  </w:style>
  <w:style w:type="paragraph" w:styleId="List4">
    <w:name w:val="List 4"/>
    <w:basedOn w:val="BodyText"/>
    <w:rsid w:val="00DE0B78"/>
    <w:pPr>
      <w:tabs>
        <w:tab w:val="left" w:pos="1361"/>
      </w:tabs>
      <w:spacing w:before="60" w:after="60"/>
      <w:ind w:left="1361" w:hanging="340"/>
    </w:pPr>
  </w:style>
  <w:style w:type="paragraph" w:styleId="List5">
    <w:name w:val="List 5"/>
    <w:basedOn w:val="BodyText"/>
    <w:rsid w:val="00DE0B78"/>
    <w:pPr>
      <w:tabs>
        <w:tab w:val="left" w:pos="1701"/>
      </w:tabs>
      <w:spacing w:before="60" w:after="60"/>
      <w:ind w:left="1701" w:hanging="340"/>
    </w:pPr>
  </w:style>
  <w:style w:type="paragraph" w:styleId="ListBullet3">
    <w:name w:val="List Bullet 3"/>
    <w:basedOn w:val="List3"/>
    <w:rsid w:val="00DE0B78"/>
    <w:pPr>
      <w:numPr>
        <w:numId w:val="14"/>
      </w:numPr>
      <w:tabs>
        <w:tab w:val="clear" w:pos="1021"/>
      </w:tabs>
      <w:ind w:left="1037" w:hanging="357"/>
    </w:pPr>
  </w:style>
  <w:style w:type="paragraph" w:styleId="ListBullet4">
    <w:name w:val="List Bullet 4"/>
    <w:basedOn w:val="List4"/>
    <w:rsid w:val="00DE0B78"/>
    <w:pPr>
      <w:numPr>
        <w:numId w:val="3"/>
      </w:numPr>
      <w:tabs>
        <w:tab w:val="clear" w:pos="1361"/>
      </w:tabs>
    </w:pPr>
  </w:style>
  <w:style w:type="paragraph" w:styleId="ListBullet5">
    <w:name w:val="List Bullet 5"/>
    <w:basedOn w:val="List5"/>
    <w:rsid w:val="00DE0B78"/>
    <w:pPr>
      <w:numPr>
        <w:numId w:val="4"/>
      </w:numPr>
    </w:pPr>
  </w:style>
  <w:style w:type="paragraph" w:styleId="ListContinue2">
    <w:name w:val="List Continue 2"/>
    <w:basedOn w:val="List2"/>
    <w:rsid w:val="00DE0B78"/>
    <w:pPr>
      <w:ind w:firstLine="0"/>
    </w:pPr>
  </w:style>
  <w:style w:type="paragraph" w:styleId="ListContinue3">
    <w:name w:val="List Continue 3"/>
    <w:basedOn w:val="List3"/>
    <w:rsid w:val="00DE0B78"/>
    <w:pPr>
      <w:ind w:left="1021" w:firstLine="0"/>
    </w:pPr>
  </w:style>
  <w:style w:type="paragraph" w:styleId="ListContinue4">
    <w:name w:val="List Continue 4"/>
    <w:basedOn w:val="List4"/>
    <w:rsid w:val="00DE0B78"/>
    <w:pPr>
      <w:ind w:firstLine="0"/>
    </w:pPr>
  </w:style>
  <w:style w:type="paragraph" w:styleId="ListContinue5">
    <w:name w:val="List Continue 5"/>
    <w:basedOn w:val="List5"/>
    <w:rsid w:val="00DE0B78"/>
    <w:pPr>
      <w:ind w:firstLine="0"/>
    </w:pPr>
  </w:style>
  <w:style w:type="paragraph" w:styleId="ListNumber3">
    <w:name w:val="List Number 3"/>
    <w:basedOn w:val="List3"/>
    <w:rsid w:val="00DE0B78"/>
    <w:pPr>
      <w:numPr>
        <w:numId w:val="5"/>
      </w:numPr>
    </w:pPr>
  </w:style>
  <w:style w:type="paragraph" w:styleId="ListNumber4">
    <w:name w:val="List Number 4"/>
    <w:basedOn w:val="List4"/>
    <w:rsid w:val="00DE0B78"/>
    <w:pPr>
      <w:numPr>
        <w:numId w:val="6"/>
      </w:numPr>
    </w:pPr>
  </w:style>
  <w:style w:type="paragraph" w:styleId="ListNumber5">
    <w:name w:val="List Number 5"/>
    <w:basedOn w:val="List5"/>
    <w:rsid w:val="00DE0B78"/>
    <w:pPr>
      <w:numPr>
        <w:numId w:val="7"/>
      </w:numPr>
    </w:pPr>
  </w:style>
  <w:style w:type="paragraph" w:styleId="BlockText">
    <w:name w:val="Block Text"/>
    <w:basedOn w:val="Normal"/>
    <w:rsid w:val="00DE0B78"/>
    <w:pPr>
      <w:spacing w:after="120"/>
      <w:ind w:left="1440" w:right="1440"/>
    </w:pPr>
  </w:style>
  <w:style w:type="character" w:customStyle="1" w:styleId="Subscript">
    <w:name w:val="Subscript"/>
    <w:basedOn w:val="DefaultParagraphFont"/>
    <w:rsid w:val="00DE0B78"/>
    <w:rPr>
      <w:sz w:val="16"/>
      <w:vertAlign w:val="subscript"/>
    </w:rPr>
  </w:style>
  <w:style w:type="character" w:customStyle="1" w:styleId="Superscript">
    <w:name w:val="Superscript"/>
    <w:basedOn w:val="DefaultParagraphFont"/>
    <w:rsid w:val="00DE0B78"/>
    <w:rPr>
      <w:sz w:val="16"/>
      <w:vertAlign w:val="superscript"/>
    </w:rPr>
  </w:style>
  <w:style w:type="character" w:customStyle="1" w:styleId="Symbols">
    <w:name w:val="Symbols"/>
    <w:basedOn w:val="DefaultParagraphFont"/>
    <w:rsid w:val="00DE0B78"/>
    <w:rPr>
      <w:rFonts w:ascii="Symbol" w:hAnsi="Symbol"/>
    </w:rPr>
  </w:style>
  <w:style w:type="character" w:customStyle="1" w:styleId="MenuOptions">
    <w:name w:val="Menu Options"/>
    <w:basedOn w:val="DefaultParagraphFont"/>
    <w:rsid w:val="00DE0B78"/>
    <w:rPr>
      <w:rFonts w:ascii="Arial Narrow" w:hAnsi="Arial Narrow"/>
      <w:smallCaps/>
    </w:rPr>
  </w:style>
  <w:style w:type="character" w:customStyle="1" w:styleId="Buttons">
    <w:name w:val="Buttons"/>
    <w:basedOn w:val="DefaultParagraphFont"/>
    <w:rsid w:val="00DE0B78"/>
    <w:rPr>
      <w:b/>
    </w:rPr>
  </w:style>
  <w:style w:type="character" w:customStyle="1" w:styleId="Underlined">
    <w:name w:val="Underlined"/>
    <w:basedOn w:val="DefaultParagraphFont"/>
    <w:rsid w:val="00DE0B78"/>
    <w:rPr>
      <w:u w:val="single"/>
    </w:rPr>
  </w:style>
  <w:style w:type="paragraph" w:customStyle="1" w:styleId="TableBodyTextRight">
    <w:name w:val="Table Body Text Right"/>
    <w:basedOn w:val="TableBodyText"/>
    <w:rsid w:val="00DE0B78"/>
    <w:pPr>
      <w:widowControl w:val="0"/>
      <w:autoSpaceDE w:val="0"/>
      <w:autoSpaceDN w:val="0"/>
      <w:adjustRightInd w:val="0"/>
      <w:jc w:val="right"/>
    </w:pPr>
    <w:rPr>
      <w:rFonts w:cs="Arial"/>
      <w:szCs w:val="18"/>
    </w:rPr>
  </w:style>
  <w:style w:type="paragraph" w:customStyle="1" w:styleId="CopyrightText">
    <w:name w:val="Copyright Text"/>
    <w:basedOn w:val="BodyText"/>
    <w:rsid w:val="00DE0B78"/>
    <w:rPr>
      <w:sz w:val="18"/>
    </w:rPr>
  </w:style>
  <w:style w:type="paragraph" w:customStyle="1" w:styleId="BodySmallRight">
    <w:name w:val="Body Small Right"/>
    <w:basedOn w:val="BodyTextRight"/>
    <w:rsid w:val="00DE0B78"/>
    <w:rPr>
      <w:sz w:val="18"/>
      <w:szCs w:val="18"/>
    </w:rPr>
  </w:style>
  <w:style w:type="paragraph" w:customStyle="1" w:styleId="MarginEdition">
    <w:name w:val="Margin Edition"/>
    <w:basedOn w:val="MarginNote"/>
    <w:rsid w:val="00DE0B78"/>
    <w:pPr>
      <w:spacing w:before="0" w:after="0"/>
    </w:pPr>
    <w:rPr>
      <w:rFonts w:ascii="Times New Roman" w:hAnsi="Times New Roman"/>
      <w:color w:val="999999"/>
    </w:rPr>
  </w:style>
  <w:style w:type="paragraph" w:customStyle="1" w:styleId="Spacer">
    <w:name w:val="Spacer"/>
    <w:basedOn w:val="Normal"/>
    <w:rsid w:val="00DE0B78"/>
    <w:rPr>
      <w:sz w:val="2"/>
      <w:szCs w:val="2"/>
    </w:rPr>
  </w:style>
  <w:style w:type="character" w:customStyle="1" w:styleId="Small">
    <w:name w:val="Small"/>
    <w:basedOn w:val="DefaultParagraphFont"/>
    <w:rsid w:val="00DE0B78"/>
    <w:rPr>
      <w:sz w:val="16"/>
    </w:rPr>
  </w:style>
  <w:style w:type="paragraph" w:customStyle="1" w:styleId="WideTable">
    <w:name w:val="Wide Table"/>
    <w:basedOn w:val="Normal"/>
    <w:rsid w:val="00DE0B78"/>
    <w:pPr>
      <w:ind w:left="-1418"/>
    </w:pPr>
    <w:rPr>
      <w:sz w:val="2"/>
      <w:szCs w:val="2"/>
    </w:rPr>
  </w:style>
  <w:style w:type="character" w:styleId="PageNumber">
    <w:name w:val="page number"/>
    <w:basedOn w:val="DefaultParagraphFont"/>
    <w:rsid w:val="00DE0B78"/>
  </w:style>
  <w:style w:type="paragraph" w:styleId="Quote">
    <w:name w:val="Quote"/>
    <w:basedOn w:val="Heading1"/>
    <w:link w:val="QuoteChar"/>
    <w:qFormat/>
    <w:rsid w:val="00DE0B78"/>
    <w:rPr>
      <w:b w:val="0"/>
      <w:sz w:val="72"/>
      <w:szCs w:val="72"/>
      <w:lang w:val="en-NZ"/>
    </w:rPr>
  </w:style>
  <w:style w:type="character" w:customStyle="1" w:styleId="QuoteChar">
    <w:name w:val="Quote Char"/>
    <w:basedOn w:val="DefaultParagraphFont"/>
    <w:link w:val="Quote"/>
    <w:rsid w:val="00DE0B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0B78"/>
    <w:pPr>
      <w:pageBreakBefore/>
    </w:pPr>
  </w:style>
  <w:style w:type="paragraph" w:customStyle="1" w:styleId="Border">
    <w:name w:val="Border"/>
    <w:basedOn w:val="Normal"/>
    <w:qFormat/>
    <w:rsid w:val="00DE0B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0B78"/>
    <w:rPr>
      <w:b/>
      <w:bCs/>
      <w:i/>
      <w:iCs/>
      <w:color w:val="auto"/>
    </w:rPr>
  </w:style>
  <w:style w:type="paragraph" w:styleId="IntenseQuote">
    <w:name w:val="Intense Quote"/>
    <w:basedOn w:val="Normal"/>
    <w:next w:val="Normal"/>
    <w:link w:val="IntenseQuoteChar"/>
    <w:uiPriority w:val="30"/>
    <w:qFormat/>
    <w:rsid w:val="00DE0B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0B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0B78"/>
    <w:rPr>
      <w:smallCaps/>
      <w:color w:val="auto"/>
      <w:u w:val="single"/>
    </w:rPr>
  </w:style>
  <w:style w:type="character" w:styleId="IntenseReference">
    <w:name w:val="Intense Reference"/>
    <w:basedOn w:val="DefaultParagraphFont"/>
    <w:uiPriority w:val="32"/>
    <w:qFormat/>
    <w:rsid w:val="00DE0B78"/>
    <w:rPr>
      <w:b/>
      <w:bCs/>
      <w:smallCaps/>
      <w:color w:val="auto"/>
      <w:spacing w:val="5"/>
      <w:u w:val="single"/>
    </w:rPr>
  </w:style>
  <w:style w:type="paragraph" w:customStyle="1" w:styleId="2ColumnHeading">
    <w:name w:val="2Column Heading"/>
    <w:basedOn w:val="BodyText"/>
    <w:qFormat/>
    <w:rsid w:val="00DE0B78"/>
    <w:pPr>
      <w:spacing w:after="60"/>
      <w:ind w:left="-2268"/>
    </w:pPr>
    <w:rPr>
      <w:b/>
    </w:rPr>
  </w:style>
  <w:style w:type="paragraph" w:customStyle="1" w:styleId="Heading1TOC">
    <w:name w:val="Heading1 TOC"/>
    <w:basedOn w:val="Normal"/>
    <w:qFormat/>
    <w:rsid w:val="00DE0B78"/>
    <w:pPr>
      <w:spacing w:before="240" w:after="120"/>
    </w:pPr>
    <w:rPr>
      <w:rFonts w:ascii="Times New Roman" w:hAnsi="Times New Roman"/>
      <w:b/>
      <w:sz w:val="32"/>
    </w:rPr>
  </w:style>
  <w:style w:type="paragraph" w:customStyle="1" w:styleId="Heading2TOC">
    <w:name w:val="Heading2 TOC"/>
    <w:basedOn w:val="Normal"/>
    <w:qFormat/>
    <w:rsid w:val="00DE0B78"/>
    <w:pPr>
      <w:spacing w:before="240" w:after="60"/>
    </w:pPr>
    <w:rPr>
      <w:rFonts w:ascii="Times New Roman" w:hAnsi="Times New Roman"/>
      <w:b/>
      <w:sz w:val="28"/>
    </w:rPr>
  </w:style>
  <w:style w:type="character" w:customStyle="1" w:styleId="Underline">
    <w:name w:val="Underline"/>
    <w:basedOn w:val="DefaultParagraphFont"/>
    <w:qFormat/>
    <w:rsid w:val="00DE0B78"/>
    <w:rPr>
      <w:u w:val="single"/>
    </w:rPr>
  </w:style>
  <w:style w:type="character" w:customStyle="1" w:styleId="BoldandItalics">
    <w:name w:val="Bold and Italics"/>
    <w:qFormat/>
    <w:rsid w:val="00DE0B78"/>
    <w:rPr>
      <w:b/>
      <w:i/>
      <w:u w:val="none"/>
    </w:rPr>
  </w:style>
  <w:style w:type="paragraph" w:styleId="BalloonText">
    <w:name w:val="Balloon Text"/>
    <w:basedOn w:val="Normal"/>
    <w:link w:val="BalloonTextChar"/>
    <w:rsid w:val="00DE0B78"/>
    <w:rPr>
      <w:rFonts w:ascii="Tahoma" w:hAnsi="Tahoma" w:cs="Tahoma"/>
      <w:sz w:val="16"/>
      <w:szCs w:val="16"/>
    </w:rPr>
  </w:style>
  <w:style w:type="character" w:customStyle="1" w:styleId="BalloonTextChar">
    <w:name w:val="Balloon Text Char"/>
    <w:basedOn w:val="DefaultParagraphFont"/>
    <w:link w:val="BalloonText"/>
    <w:rsid w:val="00DE0B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0B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0B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0B78"/>
    <w:rPr>
      <w:b/>
      <w:color w:val="660033"/>
      <w:spacing w:val="0"/>
    </w:rPr>
  </w:style>
  <w:style w:type="paragraph" w:customStyle="1" w:styleId="Nameditemlist">
    <w:name w:val="Named item list"/>
    <w:basedOn w:val="BodyText"/>
    <w:qFormat/>
    <w:rsid w:val="00DE0B78"/>
    <w:pPr>
      <w:tabs>
        <w:tab w:val="left" w:pos="2835"/>
      </w:tabs>
      <w:ind w:left="2835" w:hanging="2835"/>
    </w:pPr>
  </w:style>
  <w:style w:type="paragraph" w:customStyle="1" w:styleId="BodyTextnopadding">
    <w:name w:val="Body Text no padding"/>
    <w:basedOn w:val="BodyText"/>
    <w:qFormat/>
    <w:rsid w:val="00DE0B78"/>
    <w:pPr>
      <w:spacing w:before="0" w:after="0"/>
    </w:pPr>
  </w:style>
  <w:style w:type="paragraph" w:customStyle="1" w:styleId="BodyTextBold">
    <w:name w:val="Body Text Bold"/>
    <w:basedOn w:val="BodyText"/>
    <w:qFormat/>
    <w:rsid w:val="00DE0B78"/>
    <w:rPr>
      <w:b/>
    </w:rPr>
  </w:style>
  <w:style w:type="character" w:styleId="Hyperlink">
    <w:name w:val="Hyperlink"/>
    <w:basedOn w:val="DefaultParagraphFont"/>
    <w:uiPriority w:val="99"/>
    <w:unhideWhenUsed/>
    <w:rsid w:val="00B206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1169</Words>
  <Characters>7463</Characters>
  <Application>Microsoft Office Word</Application>
  <DocSecurity>0</DocSecurity>
  <Lines>257</Lines>
  <Paragraphs>154</Paragraphs>
  <ScaleCrop>false</ScaleCrop>
  <Company>Author-it Software Corporation Ltd.</Company>
  <LinksUpToDate>false</LinksUpToDate>
  <CharactersWithSpaces>8478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MARM008 Evaluate vessel stability</dc:title>
  <dc:subject>Approved</dc:subject>
  <dc:creator>Industry Skills Australia</dc:creator>
  <cp:keywords>Release: 1</cp:keywords>
  <dc:description>Review Date: 12 April 2008</dc:description>
  <cp:lastModifiedBy>HSD_TPCMSd.prod</cp:lastModifiedBy>
  <cp:revision>3</cp:revision>
  <dcterms:created xsi:type="dcterms:W3CDTF">2025-03-01T12:34:00Z</dcterms:created>
  <dcterms:modified xsi:type="dcterms:W3CDTF">2025-03-01T12:34:00Z</dcterms:modified>
</cp:coreProperties>
</file>