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0A01" w:rsidP="00AA0A01">
      <w:pPr>
        <w:pStyle w:val="Title"/>
      </w:pPr>
      <w:r>
        <w:fldChar w:fldCharType="begin"/>
      </w:r>
      <w:r>
        <w:instrText xml:space="preserve"> TITLE   \* MERGEFORMAT </w:instrText>
      </w:r>
      <w:r>
        <w:fldChar w:fldCharType="separate"/>
      </w:r>
      <w:r>
        <w:t>Assessment Requirements for MARM004 Work in the marine surveying sector</w:t>
      </w:r>
      <w:r>
        <w:fldChar w:fldCharType="end"/>
      </w:r>
    </w:p>
    <w:p w:rsidR="00AA0A01" w:rsidP="00AA0A01">
      <w:pPr>
        <w:pStyle w:val="Version"/>
        <w:sectPr w:rsidSect="00DE2C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2CDE" w:rsidP="00DE2CDE">
      <w:pPr>
        <w:pStyle w:val="SuperHeading"/>
      </w:pPr>
      <w:r w:rsidRPr="00DE2CDE">
        <w:t>Assessment Requirements for MARM004 Work in the marine surveying sector</w:t>
      </w:r>
    </w:p>
    <w:p w:rsidR="00000000" w:rsidRPr="00DE2CDE" w:rsidP="00DE2CDE">
      <w:pPr>
        <w:pStyle w:val="Heading1"/>
      </w:pPr>
      <w:bookmarkStart w:id="1" w:name="O_661991"/>
      <w:bookmarkEnd w:id="1"/>
      <w:r w:rsidRPr="00DE2CDE">
        <w:t>Modification History</w:t>
      </w:r>
    </w:p>
    <w:p w:rsidR="00000000" w:rsidRPr="00DE2CDE" w:rsidP="00AA0A01">
      <w:pPr>
        <w:pStyle w:val="BodyText"/>
      </w:pPr>
      <w:r w:rsidRPr="00DE2CDE">
        <w:t>Release 1. New unit of competency.</w:t>
      </w:r>
    </w:p>
    <w:p w:rsidR="00000000" w:rsidRPr="00DE2CDE" w:rsidP="00DE2CDE">
      <w:pPr>
        <w:pStyle w:val="Heading1"/>
      </w:pPr>
      <w:bookmarkStart w:id="2" w:name="O_661992"/>
      <w:bookmarkEnd w:id="2"/>
      <w:r w:rsidRPr="00DE2CDE">
        <w:t>Performance Evidence</w:t>
      </w:r>
    </w:p>
    <w:tbl>
      <w:tblPr>
        <w:tblW w:w="9498" w:type="dxa"/>
        <w:tblLayout w:type="fixed"/>
        <w:tblCellMar>
          <w:left w:w="62" w:type="dxa"/>
          <w:right w:w="62" w:type="dxa"/>
        </w:tblCellMar>
        <w:tblLook w:val="0000"/>
      </w:tblPr>
      <w:tblGrid>
        <w:gridCol w:w="9498"/>
      </w:tblGrid>
      <w:tr w:rsidTr="00DE2CDE">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DE2CDE">
            <w:pPr>
              <w:pStyle w:val="BodyText"/>
              <w:rPr>
                <w:lang w:val="en-NZ"/>
              </w:rPr>
            </w:pPr>
            <w:r w:rsidRPr="00DE2CDE">
              <w:t>Evidence required to demonstrate competence in this unit must be relevant to and satisfy all of the requirements of the elements, performance criteria and range of conditions on at least one occasion and include:</w:t>
            </w:r>
          </w:p>
        </w:tc>
      </w:tr>
      <w:tr w:rsidTr="00DE2CDE">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DE2CDE" w:rsidP="00DE2CDE">
            <w:pPr>
              <w:pStyle w:val="ListBullet"/>
            </w:pPr>
            <w:r w:rsidRPr="00DE2CDE">
              <w:t>accessing current legislation, marine ord</w:t>
            </w:r>
            <w:r w:rsidRPr="00DE2CDE">
              <w:t>ers, standards and information relevant to marine surveying sector</w:t>
            </w:r>
          </w:p>
          <w:p w:rsidR="00000000" w:rsidRPr="00DE2CDE" w:rsidP="00DE2CDE">
            <w:pPr>
              <w:pStyle w:val="ListBullet"/>
            </w:pPr>
            <w:r w:rsidRPr="00DE2CDE">
              <w:t>accurately completing relevant documentation and reports within own scope of responsibility</w:t>
            </w:r>
          </w:p>
          <w:p w:rsidR="00000000" w:rsidRPr="00DE2CDE" w:rsidP="00DE2CDE">
            <w:pPr>
              <w:pStyle w:val="ListBullet"/>
            </w:pPr>
            <w:r w:rsidRPr="00DE2CDE">
              <w:t>accurately operating technical and electronic equipment</w:t>
            </w:r>
          </w:p>
          <w:p w:rsidR="00000000" w:rsidRPr="00DE2CDE" w:rsidP="00DE2CDE">
            <w:pPr>
              <w:pStyle w:val="ListBullet"/>
            </w:pPr>
            <w:r w:rsidRPr="00DE2CDE">
              <w:t>applying relevant work health and safety/</w:t>
            </w:r>
            <w:r w:rsidRPr="00DE2CDE">
              <w:t>occupational health and safety (WHS/OHS) requirements and work practices</w:t>
            </w:r>
          </w:p>
          <w:p w:rsidR="00000000" w:rsidRPr="00DE2CDE" w:rsidP="00DE2CDE">
            <w:pPr>
              <w:pStyle w:val="ListBullet"/>
            </w:pPr>
            <w:r w:rsidRPr="00DE2CDE">
              <w:t>communicating effectively verbally and in writing</w:t>
            </w:r>
          </w:p>
          <w:p w:rsidR="00000000" w:rsidRPr="00DE2CDE" w:rsidP="00DE2CDE">
            <w:pPr>
              <w:pStyle w:val="ListBullet"/>
            </w:pPr>
            <w:r w:rsidRPr="00DE2CDE">
              <w:t>developing a rapport with colleagues and people external to the organisation</w:t>
            </w:r>
          </w:p>
          <w:p w:rsidR="00000000" w:rsidRPr="00DE2CDE" w:rsidP="00DE2CDE">
            <w:pPr>
              <w:pStyle w:val="ListBullet"/>
            </w:pPr>
            <w:r w:rsidRPr="00DE2CDE">
              <w:t>effectively liaising with internal and external authorit</w:t>
            </w:r>
            <w:r w:rsidRPr="00DE2CDE">
              <w:t>ies and/or agencies</w:t>
            </w:r>
          </w:p>
          <w:p w:rsidR="00000000" w:rsidRPr="00DE2CDE" w:rsidP="00DE2CDE">
            <w:pPr>
              <w:pStyle w:val="ListBullet"/>
            </w:pPr>
            <w:r w:rsidRPr="00DE2CDE">
              <w:t>ensuring currency of relevant legislative and regulatory knowledge</w:t>
            </w:r>
          </w:p>
          <w:p w:rsidR="00000000" w:rsidRPr="00DE2CDE" w:rsidP="00DE2CDE">
            <w:pPr>
              <w:pStyle w:val="ListBullet"/>
            </w:pPr>
            <w:r w:rsidRPr="00DE2CDE">
              <w:t>identifying and applying appropriate conduct and ethical behaviour</w:t>
            </w:r>
          </w:p>
          <w:p w:rsidR="00000000" w:rsidRPr="00DE2CDE" w:rsidP="00DE2CDE">
            <w:pPr>
              <w:pStyle w:val="ListBullet"/>
            </w:pPr>
            <w:r w:rsidRPr="00DE2CDE">
              <w:t>resolving conflict</w:t>
            </w:r>
          </w:p>
          <w:p w:rsidR="00000000" w:rsidRPr="00DE2CDE" w:rsidP="00DE2CDE">
            <w:pPr>
              <w:pStyle w:val="ListBullet"/>
            </w:pPr>
            <w:r w:rsidRPr="00DE2CDE">
              <w:t>using a range of communication techniques su</w:t>
            </w:r>
            <w:r w:rsidRPr="00DE2CDE">
              <w:t>ch as establishing rapport, listening, probing, reflecting, negotiation, conflict resolution.</w:t>
            </w:r>
          </w:p>
        </w:tc>
      </w:tr>
    </w:tbl>
    <w:p w:rsidR="00000000" w:rsidRPr="00DE2CDE" w:rsidP="00DE2CDE">
      <w:pPr>
        <w:pStyle w:val="BodyText"/>
      </w:pPr>
    </w:p>
    <w:p w:rsidR="00000000" w:rsidRPr="00DE2CDE" w:rsidP="00DE2CDE">
      <w:pPr>
        <w:pStyle w:val="AllowPageBreak"/>
      </w:pPr>
    </w:p>
    <w:p w:rsidR="00000000" w:rsidRPr="00DE2CDE" w:rsidP="00DE2CDE">
      <w:pPr>
        <w:pStyle w:val="Heading1"/>
      </w:pPr>
      <w:bookmarkStart w:id="3" w:name="O_661993"/>
      <w:bookmarkEnd w:id="3"/>
      <w:r w:rsidRPr="00DE2CDE">
        <w:t>Knowledge Evidence</w:t>
      </w:r>
    </w:p>
    <w:tbl>
      <w:tblPr>
        <w:tblW w:w="9498" w:type="dxa"/>
        <w:tblLayout w:type="fixed"/>
        <w:tblCellMar>
          <w:left w:w="62" w:type="dxa"/>
          <w:right w:w="62" w:type="dxa"/>
        </w:tblCellMar>
        <w:tblLook w:val="0000"/>
      </w:tblPr>
      <w:tblGrid>
        <w:gridCol w:w="9498"/>
      </w:tblGrid>
      <w:tr w:rsidTr="00DE2CDE">
        <w:tblPrEx>
          <w:tblW w:w="9498" w:type="dxa"/>
          <w:tblLayout w:type="fixed"/>
          <w:tblCellMar>
            <w:left w:w="62" w:type="dxa"/>
            <w:right w:w="62" w:type="dxa"/>
          </w:tblCellMar>
          <w:tblLook w:val="0000"/>
        </w:tblPrEx>
        <w:trPr>
          <w:trHeight w:val="823"/>
        </w:trPr>
        <w:tc>
          <w:tcPr>
            <w:tcW w:w="9498" w:type="dxa"/>
            <w:tcBorders>
              <w:top w:val="nil"/>
              <w:left w:val="nil"/>
              <w:bottom w:val="nil"/>
              <w:right w:val="nil"/>
            </w:tcBorders>
            <w:tcMar>
              <w:top w:w="0" w:type="dxa"/>
              <w:left w:w="62" w:type="dxa"/>
              <w:bottom w:w="0" w:type="dxa"/>
              <w:right w:w="62" w:type="dxa"/>
            </w:tcMar>
          </w:tcPr>
          <w:p w:rsidR="00000000" w:rsidP="00DE2CDE">
            <w:pPr>
              <w:pStyle w:val="BodyText"/>
              <w:rPr>
                <w:lang w:val="en-NZ"/>
              </w:rPr>
            </w:pPr>
            <w:r w:rsidRPr="00DE2CDE">
              <w:t>Evidence required to demonstrate competence in this unit must be relevant to and satisfy all of the requirements of the elem</w:t>
            </w:r>
            <w:r w:rsidRPr="00DE2CDE">
              <w:t>ents, performance criteria and range of conditions and include knowledge of:</w:t>
            </w:r>
          </w:p>
        </w:tc>
      </w:tr>
      <w:tr w:rsidTr="00DE2CDE">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DE2CDE" w:rsidP="00DE2CDE">
            <w:pPr>
              <w:pStyle w:val="ListBullet"/>
            </w:pPr>
            <w:r w:rsidRPr="00DE2CDE">
              <w:t>domestic commercial vessel operations</w:t>
            </w:r>
          </w:p>
          <w:p w:rsidR="00000000" w:rsidRPr="00DE2CDE" w:rsidP="00DE2CDE">
            <w:pPr>
              <w:pStyle w:val="ListBullet"/>
            </w:pPr>
            <w:r w:rsidRPr="00DE2CDE">
              <w:t>effective listening and communication techniques</w:t>
            </w:r>
          </w:p>
          <w:p w:rsidR="00000000" w:rsidRPr="00DE2CDE" w:rsidP="00DE2CDE">
            <w:pPr>
              <w:pStyle w:val="ListBullet"/>
            </w:pPr>
            <w:r w:rsidRPr="00DE2CDE">
              <w:t>equal employment opportunity, equity and diversity principles</w:t>
            </w:r>
          </w:p>
          <w:p w:rsidR="00000000" w:rsidRPr="00DE2CDE" w:rsidP="00DE2CDE">
            <w:pPr>
              <w:pStyle w:val="ListBullet"/>
            </w:pPr>
            <w:r w:rsidRPr="00DE2CDE">
              <w:t>government legislation and regulations relating to:</w:t>
            </w:r>
          </w:p>
          <w:p w:rsidR="00000000" w:rsidRPr="00DE2CDE" w:rsidP="00DE2CDE">
            <w:pPr>
              <w:pStyle w:val="ListBullet2"/>
            </w:pPr>
            <w:r w:rsidRPr="00DE2CDE">
              <w:t>accepted codes of behaviour/codes of practice</w:t>
            </w:r>
          </w:p>
          <w:p w:rsidR="00000000" w:rsidRPr="00DE2CDE" w:rsidP="00DE2CDE">
            <w:pPr>
              <w:pStyle w:val="ListBullet2"/>
            </w:pPr>
            <w:r w:rsidRPr="00DE2CDE">
              <w:t>combined Uniform Shipping Laws (USL) Code and National Standard for Commercial Vessels (NSCV)</w:t>
            </w:r>
          </w:p>
          <w:p w:rsidR="00000000" w:rsidRPr="00DE2CDE" w:rsidP="00DE2CDE">
            <w:pPr>
              <w:pStyle w:val="ListBullet2"/>
            </w:pPr>
            <w:r w:rsidRPr="00DE2CDE">
              <w:t>environmental protection</w:t>
            </w:r>
          </w:p>
          <w:p w:rsidR="00000000" w:rsidRPr="00DE2CDE" w:rsidP="00DE2CDE">
            <w:pPr>
              <w:pStyle w:val="ListBullet2"/>
            </w:pPr>
            <w:r w:rsidRPr="00DE2CDE">
              <w:t xml:space="preserve">load lines </w:t>
            </w:r>
          </w:p>
          <w:p w:rsidR="00000000" w:rsidRPr="00DE2CDE" w:rsidP="00DE2CDE">
            <w:pPr>
              <w:pStyle w:val="ListBullet2"/>
            </w:pPr>
            <w:r w:rsidRPr="00DE2CDE">
              <w:t>Marine Safety (Domestic Co</w:t>
            </w:r>
            <w:r w:rsidRPr="00DE2CDE">
              <w:t>mmercial Vessel) National Law</w:t>
            </w:r>
          </w:p>
          <w:p w:rsidR="00000000" w:rsidRPr="00DE2CDE" w:rsidP="00DE2CDE">
            <w:pPr>
              <w:pStyle w:val="ListBullet2"/>
            </w:pPr>
            <w:r w:rsidRPr="00DE2CDE">
              <w:t>International Convention for the Prevention of Pollution from Ships (MARPOL) and safety of life at sea (SOLAS) and how they apply to survey tasks</w:t>
            </w:r>
          </w:p>
          <w:p w:rsidR="00000000" w:rsidRPr="00DE2CDE" w:rsidP="00DE2CDE">
            <w:pPr>
              <w:pStyle w:val="ListBullet2"/>
            </w:pPr>
            <w:r w:rsidRPr="00DE2CDE">
              <w:t>WHS/OHS</w:t>
            </w:r>
          </w:p>
          <w:p w:rsidR="00000000" w:rsidRPr="00DE2CDE" w:rsidP="00DE2CDE">
            <w:pPr>
              <w:pStyle w:val="ListBullet"/>
            </w:pPr>
            <w:r w:rsidRPr="00DE2CDE">
              <w:t>IMO Conventions and Codes, including Australian Maritime Safety Authori</w:t>
            </w:r>
            <w:r w:rsidRPr="00DE2CDE">
              <w:t>ty (AMSA) Marine Orders and how they apply to survey purpose</w:t>
            </w:r>
          </w:p>
          <w:p w:rsidR="00000000" w:rsidRPr="00DE2CDE" w:rsidP="00DE2CDE">
            <w:pPr>
              <w:pStyle w:val="ListBullet"/>
            </w:pPr>
            <w:r w:rsidRPr="00DE2CDE">
              <w:t>industry specific codes of conduct and ethics</w:t>
            </w:r>
          </w:p>
          <w:p w:rsidR="00000000" w:rsidRPr="00DE2CDE" w:rsidP="00DE2CDE">
            <w:pPr>
              <w:pStyle w:val="ListBullet"/>
            </w:pPr>
            <w:r w:rsidRPr="00DE2CDE">
              <w:t>legal requirements relating to recording, security and privacy of information</w:t>
            </w:r>
          </w:p>
          <w:p w:rsidR="00000000" w:rsidRPr="00DE2CDE" w:rsidP="00DE2CDE">
            <w:pPr>
              <w:pStyle w:val="ListBullet"/>
            </w:pPr>
            <w:r w:rsidRPr="00DE2CDE">
              <w:t>organisational policies and guidelines relating to interviews and infor</w:t>
            </w:r>
            <w:r w:rsidRPr="00DE2CDE">
              <w:t>mation gathering prior to and during the survey</w:t>
            </w:r>
          </w:p>
          <w:p w:rsidR="00000000" w:rsidRPr="00DE2CDE" w:rsidP="00DE2CDE">
            <w:pPr>
              <w:pStyle w:val="ListBullet"/>
            </w:pPr>
            <w:r w:rsidRPr="00DE2CDE">
              <w:t>range of different survey types for commercial vessels</w:t>
            </w:r>
          </w:p>
          <w:p w:rsidR="00000000" w:rsidRPr="00DE2CDE" w:rsidP="00DE2CDE">
            <w:pPr>
              <w:pStyle w:val="ListBullet"/>
            </w:pPr>
            <w:r w:rsidRPr="00DE2CDE">
              <w:t>reporting requirements including appropriate format and content</w:t>
            </w:r>
          </w:p>
          <w:p w:rsidR="00000000" w:rsidRPr="00DE2CDE" w:rsidP="00DE2CDE">
            <w:pPr>
              <w:pStyle w:val="ListBullet"/>
            </w:pPr>
            <w:r w:rsidRPr="00DE2CDE">
              <w:t>risks related to marine surveying tasks</w:t>
            </w:r>
          </w:p>
          <w:p w:rsidR="00000000" w:rsidRPr="00DE2CDE" w:rsidP="00DE2CDE">
            <w:pPr>
              <w:pStyle w:val="ListBullet"/>
            </w:pPr>
            <w:r w:rsidRPr="00DE2CDE">
              <w:t>role of surveyor</w:t>
            </w:r>
          </w:p>
          <w:p w:rsidR="00000000" w:rsidRPr="00DE2CDE" w:rsidP="00DE2CDE">
            <w:pPr>
              <w:pStyle w:val="ListBullet"/>
            </w:pPr>
            <w:r w:rsidRPr="00DE2CDE">
              <w:t>statutory survey schedules</w:t>
            </w:r>
          </w:p>
          <w:p w:rsidR="00000000" w:rsidRPr="00DE2CDE" w:rsidP="00DE2CDE">
            <w:pPr>
              <w:pStyle w:val="ListBullet"/>
            </w:pPr>
            <w:r w:rsidRPr="00DE2CDE">
              <w:t>too</w:t>
            </w:r>
            <w:r w:rsidRPr="00DE2CDE">
              <w:t>ls required for different survey types.</w:t>
            </w:r>
          </w:p>
        </w:tc>
      </w:tr>
    </w:tbl>
    <w:p w:rsidR="00000000" w:rsidRPr="00DE2CDE" w:rsidP="00DE2CDE">
      <w:pPr>
        <w:pStyle w:val="BodyText"/>
      </w:pPr>
    </w:p>
    <w:p w:rsidR="00000000" w:rsidRPr="00DE2CDE" w:rsidP="00DE2CDE">
      <w:pPr>
        <w:pStyle w:val="AllowPageBreak"/>
      </w:pPr>
    </w:p>
    <w:p w:rsidR="00000000" w:rsidRPr="00DE2CDE" w:rsidP="00DE2CDE">
      <w:pPr>
        <w:pStyle w:val="Heading1"/>
      </w:pPr>
      <w:bookmarkStart w:id="4" w:name="O_661994"/>
      <w:bookmarkEnd w:id="4"/>
      <w:r w:rsidRPr="00DE2CDE">
        <w:t>Assessment Conditions</w:t>
      </w:r>
    </w:p>
    <w:p w:rsidR="00000000" w:rsidRPr="00DE2CDE" w:rsidP="00AA0A01">
      <w:pPr>
        <w:pStyle w:val="BodyText"/>
      </w:pPr>
      <w:r w:rsidRPr="00DE2CDE">
        <w:t>Assessors must satisfy National Vocational Education and Training Regulator (NVR)/Australian Quality Training Framework (AQTF) assessor requirements.</w:t>
      </w:r>
    </w:p>
    <w:p w:rsidR="00000000" w:rsidRPr="00DE2CDE" w:rsidP="00AA0A01">
      <w:pPr>
        <w:pStyle w:val="BodyText"/>
      </w:pPr>
      <w:r w:rsidRPr="00DE2CDE">
        <w:t xml:space="preserve">Assessment must satisfy </w:t>
      </w:r>
      <w:r w:rsidRPr="00DE2CDE">
        <w:t>the National Vocational Education and Training Regulator (NVR)/Australian Quality Training Framework (AQTF) standards.</w:t>
      </w:r>
    </w:p>
    <w:p w:rsidR="00000000" w:rsidRPr="00DE2CDE" w:rsidP="00AA0A01">
      <w:pPr>
        <w:pStyle w:val="BodyText"/>
      </w:pPr>
      <w:r w:rsidRPr="00DE2CDE">
        <w:t xml:space="preserve">Assessment processes and techniques must be appropriate to the language, literacy and numeracy requirements of the work being performed </w:t>
      </w:r>
      <w:r w:rsidRPr="00DE2CDE">
        <w:t xml:space="preserve">and the needs of the candidate. </w:t>
      </w:r>
    </w:p>
    <w:p w:rsidR="00000000" w:rsidRPr="00DE2CDE" w:rsidP="00AA0A01">
      <w:pPr>
        <w:pStyle w:val="BodyText"/>
      </w:pPr>
      <w:r w:rsidRPr="00DE2CDE">
        <w:t>Assessment must occur in workplace operational situations or where these are not available, in simulated workplace operational situations or an industry-approved marine operations site that replicates workplace conditions.</w:t>
      </w:r>
    </w:p>
    <w:p w:rsidR="00000000" w:rsidRPr="00DE2CDE" w:rsidP="00AA0A01">
      <w:pPr>
        <w:pStyle w:val="BodyText"/>
      </w:pPr>
      <w:r w:rsidRPr="00DE2CDE">
        <w:t>Resources for assessment include access to:</w:t>
      </w:r>
    </w:p>
    <w:p w:rsidR="00000000" w:rsidRPr="00DE2CDE" w:rsidP="00DE2CDE">
      <w:pPr>
        <w:pStyle w:val="ListBullet"/>
      </w:pPr>
      <w:r w:rsidRPr="00DE2CDE">
        <w:t>relevant documentation including workplace procedures, regulations, codes of practice and operation manuals</w:t>
      </w:r>
    </w:p>
    <w:p w:rsidR="00000000" w:rsidRPr="00DE2CDE" w:rsidP="00DE2CDE">
      <w:pPr>
        <w:pStyle w:val="ListBullet"/>
      </w:pPr>
      <w:r w:rsidRPr="00DE2CDE">
        <w:t>tools, equipment, materials and personal protective equipment currently used in industry when conduct</w:t>
      </w:r>
      <w:r w:rsidRPr="00DE2CDE">
        <w:t>ing commercial vessel survey</w:t>
      </w:r>
    </w:p>
    <w:p w:rsidR="00000000" w:rsidRPr="00DE2CDE" w:rsidP="00DE2CDE">
      <w:pPr>
        <w:pStyle w:val="BodyText"/>
      </w:pPr>
    </w:p>
    <w:p w:rsidR="00000000" w:rsidRPr="00DE2CDE" w:rsidP="00AA0A01">
      <w:pPr>
        <w:pStyle w:val="BodyText"/>
      </w:pPr>
      <w:r w:rsidRPr="00DE2CDE">
        <w:t>Performance should be demonstrated consistently over time and in a suitable range of contexts.</w:t>
      </w:r>
    </w:p>
    <w:p w:rsidR="00000000" w:rsidRPr="00DE2CDE" w:rsidP="00DE2CDE">
      <w:pPr>
        <w:pStyle w:val="Heading1"/>
      </w:pPr>
      <w:bookmarkStart w:id="5" w:name="O_661997"/>
      <w:bookmarkEnd w:id="5"/>
      <w:r w:rsidRPr="00DE2CDE">
        <w:t>Links</w:t>
      </w:r>
    </w:p>
    <w:p w:rsidR="00000000" w:rsidRPr="00DE2CDE" w:rsidP="00AA0A01">
      <w:pPr>
        <w:pStyle w:val="BodyText"/>
      </w:pPr>
      <w:r w:rsidRPr="00DE2CDE">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5E0124">
        <w:rPr>
          <w:rStyle w:val="Hyperlink"/>
        </w:rPr>
        <w:t>https://vetnet.gov.au/Pages/TrainingDocs.aspx?q=772efb7b-4cce-47fe-9bbd-ee3b1d1eb4c2</w:t>
      </w:r>
      <w:r>
        <w:fldChar w:fldCharType="end"/>
      </w:r>
    </w:p>
    <w:p w:rsidR="00000000" w:rsidRPr="00DE2CDE" w:rsidP="00DE2CDE"/>
    <w:sectPr w:rsidSect="00DE2C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C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CDE" w:rsidRPr="00AA0A01" w:rsidP="00AA0A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C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A01" w:rsidP="00DE2C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A0A01" w:rsidP="00DE2CDE">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A0A01" w:rsidP="00DE2C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C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A0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E2CDE" w:rsidRPr="00AA0A01" w:rsidP="00AA0A0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C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A01" w:rsidRPr="002D2AF8" w:rsidP="00DE2CDE">
    <w:pPr>
      <w:pStyle w:val="Header"/>
      <w:framePr w:wrap="around"/>
    </w:pPr>
    <w:r>
      <w:fldChar w:fldCharType="begin"/>
    </w:r>
    <w:r>
      <w:instrText xml:space="preserve"> TITLE   \* MERGEFORMAT </w:instrText>
    </w:r>
    <w:r>
      <w:fldChar w:fldCharType="separate"/>
    </w:r>
    <w:r>
      <w:t>Assessment Requirements for MARM004 Work in the marine surveying sector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AA0A01" w:rsidP="00DE2C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7DC9C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8A2FA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13CF3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2C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2CDE"/>
    <w:pPr>
      <w:spacing w:before="360" w:after="60"/>
      <w:outlineLvl w:val="0"/>
    </w:pPr>
    <w:rPr>
      <w:sz w:val="32"/>
    </w:rPr>
  </w:style>
  <w:style w:type="paragraph" w:styleId="Heading2">
    <w:name w:val="heading 2"/>
    <w:basedOn w:val="HeadingBase"/>
    <w:next w:val="BodyText"/>
    <w:link w:val="Heading2Char"/>
    <w:qFormat/>
    <w:rsid w:val="00DE2CDE"/>
    <w:pPr>
      <w:keepLines/>
      <w:spacing w:before="240" w:after="120"/>
      <w:outlineLvl w:val="1"/>
    </w:pPr>
    <w:rPr>
      <w:sz w:val="28"/>
      <w:szCs w:val="40"/>
    </w:rPr>
  </w:style>
  <w:style w:type="paragraph" w:styleId="Heading3">
    <w:name w:val="heading 3"/>
    <w:basedOn w:val="HeadingBase"/>
    <w:next w:val="BodyText"/>
    <w:link w:val="Heading3Char"/>
    <w:qFormat/>
    <w:rsid w:val="00DE2CDE"/>
    <w:pPr>
      <w:spacing w:before="180" w:after="120"/>
      <w:outlineLvl w:val="2"/>
    </w:pPr>
    <w:rPr>
      <w:spacing w:val="-10"/>
      <w:kern w:val="32"/>
    </w:rPr>
  </w:style>
  <w:style w:type="paragraph" w:styleId="Heading4">
    <w:name w:val="heading 4"/>
    <w:basedOn w:val="HeadingBase"/>
    <w:next w:val="BodyText"/>
    <w:link w:val="Heading4Char"/>
    <w:qFormat/>
    <w:rsid w:val="00DE2CDE"/>
    <w:pPr>
      <w:spacing w:before="160" w:after="120"/>
      <w:outlineLvl w:val="3"/>
    </w:pPr>
    <w:rPr>
      <w:sz w:val="22"/>
    </w:rPr>
  </w:style>
  <w:style w:type="paragraph" w:styleId="Heading5">
    <w:name w:val="heading 5"/>
    <w:basedOn w:val="HeadingBase"/>
    <w:next w:val="Normal"/>
    <w:link w:val="Heading5Char"/>
    <w:qFormat/>
    <w:rsid w:val="00DE2CDE"/>
    <w:pPr>
      <w:spacing w:before="80"/>
      <w:outlineLvl w:val="4"/>
    </w:pPr>
    <w:rPr>
      <w:color w:val="918585"/>
      <w:sz w:val="20"/>
    </w:rPr>
  </w:style>
  <w:style w:type="paragraph" w:styleId="Heading6">
    <w:name w:val="heading 6"/>
    <w:basedOn w:val="HeadingBase"/>
    <w:next w:val="Normal"/>
    <w:link w:val="Heading6Char"/>
    <w:qFormat/>
    <w:rsid w:val="00DE2CDE"/>
    <w:pPr>
      <w:spacing w:before="60"/>
      <w:outlineLvl w:val="5"/>
    </w:pPr>
    <w:rPr>
      <w:color w:val="918585"/>
      <w:sz w:val="20"/>
    </w:rPr>
  </w:style>
  <w:style w:type="paragraph" w:styleId="Heading7">
    <w:name w:val="heading 7"/>
    <w:basedOn w:val="Normal"/>
    <w:next w:val="Normal"/>
    <w:link w:val="Heading7Char"/>
    <w:qFormat/>
    <w:rsid w:val="00DE2CDE"/>
    <w:pPr>
      <w:ind w:left="720"/>
      <w:outlineLvl w:val="6"/>
    </w:pPr>
    <w:rPr>
      <w:i/>
    </w:rPr>
  </w:style>
  <w:style w:type="paragraph" w:styleId="Heading8">
    <w:name w:val="heading 8"/>
    <w:basedOn w:val="Normal"/>
    <w:next w:val="Normal"/>
    <w:link w:val="Heading8Char"/>
    <w:qFormat/>
    <w:rsid w:val="00DE2CDE"/>
    <w:pPr>
      <w:ind w:left="720"/>
      <w:outlineLvl w:val="7"/>
    </w:pPr>
    <w:rPr>
      <w:i/>
    </w:rPr>
  </w:style>
  <w:style w:type="paragraph" w:styleId="Heading9">
    <w:name w:val="heading 9"/>
    <w:basedOn w:val="Normal"/>
    <w:next w:val="Normal"/>
    <w:link w:val="Heading9Char"/>
    <w:qFormat/>
    <w:rsid w:val="00DE2CDE"/>
    <w:pPr>
      <w:ind w:left="720"/>
      <w:outlineLvl w:val="8"/>
    </w:pPr>
    <w:rPr>
      <w:i/>
    </w:rPr>
  </w:style>
  <w:style w:type="character" w:default="1" w:styleId="DefaultParagraphFont">
    <w:name w:val="Default Paragraph Font"/>
    <w:uiPriority w:val="1"/>
    <w:unhideWhenUsed/>
    <w:rsid w:val="00DE2C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2CDE"/>
  </w:style>
  <w:style w:type="character" w:customStyle="1" w:styleId="Heading1Char">
    <w:name w:val="Heading 1 Char"/>
    <w:basedOn w:val="DefaultParagraphFont"/>
    <w:link w:val="Heading1"/>
    <w:rsid w:val="00DE2CDE"/>
    <w:rPr>
      <w:rFonts w:ascii="Times New Roman" w:eastAsia="Times New Roman" w:hAnsi="Times New Roman" w:cs="Times New Roman"/>
      <w:b/>
      <w:sz w:val="32"/>
      <w:szCs w:val="20"/>
      <w:lang w:eastAsia="en-US"/>
    </w:rPr>
  </w:style>
  <w:style w:type="paragraph" w:styleId="BodyText">
    <w:name w:val="Body Text"/>
    <w:basedOn w:val="Normal"/>
    <w:link w:val="BodyTextChar"/>
    <w:rsid w:val="00DE2C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E2CDE"/>
    <w:rPr>
      <w:rFonts w:ascii="Times New Roman" w:eastAsia="Times New Roman" w:hAnsi="Times New Roman" w:cs="Times New Roman"/>
      <w:sz w:val="24"/>
      <w:lang w:eastAsia="en-US"/>
    </w:rPr>
  </w:style>
  <w:style w:type="paragraph" w:styleId="ListBullet">
    <w:name w:val="List Bullet"/>
    <w:basedOn w:val="List"/>
    <w:rsid w:val="00DE2CDE"/>
    <w:pPr>
      <w:numPr>
        <w:numId w:val="12"/>
      </w:numPr>
      <w:tabs>
        <w:tab w:val="clear" w:pos="340"/>
      </w:tabs>
      <w:spacing w:before="40" w:after="40"/>
    </w:pPr>
  </w:style>
  <w:style w:type="paragraph" w:styleId="ListBullet2">
    <w:name w:val="List Bullet 2"/>
    <w:basedOn w:val="List2"/>
    <w:rsid w:val="00DE2CDE"/>
    <w:pPr>
      <w:numPr>
        <w:numId w:val="13"/>
      </w:numPr>
      <w:tabs>
        <w:tab w:val="clear" w:pos="680"/>
      </w:tabs>
    </w:pPr>
  </w:style>
  <w:style w:type="paragraph" w:customStyle="1" w:styleId="SuperHeading">
    <w:name w:val="SuperHeading"/>
    <w:basedOn w:val="Normal"/>
    <w:rsid w:val="00DE2CDE"/>
    <w:pPr>
      <w:spacing w:before="240" w:after="120"/>
      <w:outlineLvl w:val="0"/>
    </w:pPr>
    <w:rPr>
      <w:rFonts w:ascii="Times New Roman" w:hAnsi="Times New Roman"/>
      <w:b/>
      <w:sz w:val="32"/>
    </w:rPr>
  </w:style>
  <w:style w:type="paragraph" w:customStyle="1" w:styleId="AllowPageBreak">
    <w:name w:val="AllowPageBreak"/>
    <w:rsid w:val="00DE2C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E2C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2C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2C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2C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2C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2C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2C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2CDE"/>
    <w:rPr>
      <w:rFonts w:ascii="Courier New" w:eastAsia="Times New Roman" w:hAnsi="Courier New" w:cs="Times New Roman"/>
      <w:i/>
      <w:szCs w:val="20"/>
      <w:lang w:eastAsia="en-US"/>
    </w:rPr>
  </w:style>
  <w:style w:type="paragraph" w:customStyle="1" w:styleId="HeadingBase">
    <w:name w:val="Heading Base"/>
    <w:rsid w:val="00DE2C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2CDE"/>
    <w:pPr>
      <w:tabs>
        <w:tab w:val="right" w:leader="dot" w:pos="9072"/>
      </w:tabs>
      <w:ind w:left="567"/>
    </w:pPr>
    <w:rPr>
      <w:szCs w:val="22"/>
    </w:rPr>
  </w:style>
  <w:style w:type="paragraph" w:customStyle="1" w:styleId="TOCBase">
    <w:name w:val="TOC Base"/>
    <w:rsid w:val="00DE2C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2CDE"/>
    <w:pPr>
      <w:tabs>
        <w:tab w:val="right" w:leader="dot" w:pos="9072"/>
      </w:tabs>
      <w:spacing w:before="40" w:after="40"/>
      <w:ind w:left="284"/>
    </w:pPr>
    <w:rPr>
      <w:rFonts w:ascii="Times New Roman" w:hAnsi="Times New Roman"/>
    </w:rPr>
  </w:style>
  <w:style w:type="paragraph" w:styleId="TOC1">
    <w:name w:val="toc 1"/>
    <w:basedOn w:val="TOCBase"/>
    <w:next w:val="Normal"/>
    <w:rsid w:val="00DE2C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E2C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2CDE"/>
    <w:rPr>
      <w:rFonts w:ascii="Times New Roman" w:eastAsia="Times New Roman" w:hAnsi="Times New Roman" w:cs="Times New Roman"/>
      <w:sz w:val="16"/>
      <w:lang w:eastAsia="en-US"/>
    </w:rPr>
  </w:style>
  <w:style w:type="paragraph" w:styleId="Title">
    <w:name w:val="Title"/>
    <w:basedOn w:val="HeadingBase"/>
    <w:link w:val="TitleChar"/>
    <w:qFormat/>
    <w:rsid w:val="00DE2CDE"/>
    <w:pPr>
      <w:spacing w:before="5040"/>
      <w:jc w:val="center"/>
    </w:pPr>
    <w:rPr>
      <w:sz w:val="48"/>
      <w:szCs w:val="72"/>
      <w:lang w:val="en-US"/>
    </w:rPr>
  </w:style>
  <w:style w:type="character" w:customStyle="1" w:styleId="TitleChar">
    <w:name w:val="Title Char"/>
    <w:basedOn w:val="DefaultParagraphFont"/>
    <w:link w:val="Title"/>
    <w:rsid w:val="00DE2C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2CDE"/>
    <w:pPr>
      <w:tabs>
        <w:tab w:val="left" w:pos="3600"/>
        <w:tab w:val="left" w:pos="3958"/>
      </w:tabs>
    </w:pPr>
  </w:style>
  <w:style w:type="paragraph" w:styleId="List">
    <w:name w:val="List"/>
    <w:basedOn w:val="BodyText"/>
    <w:next w:val="BodyText"/>
    <w:rsid w:val="00DE2CDE"/>
    <w:pPr>
      <w:tabs>
        <w:tab w:val="left" w:pos="340"/>
      </w:tabs>
      <w:spacing w:before="60" w:after="60"/>
      <w:ind w:left="340" w:hanging="340"/>
    </w:pPr>
  </w:style>
  <w:style w:type="paragraph" w:customStyle="1" w:styleId="Note">
    <w:name w:val="Note"/>
    <w:basedOn w:val="BodyText"/>
    <w:rsid w:val="00DE2CD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E2CDE"/>
    <w:rPr>
      <w:b/>
      <w:spacing w:val="0"/>
    </w:rPr>
  </w:style>
  <w:style w:type="paragraph" w:customStyle="1" w:styleId="SuperTitle">
    <w:name w:val="SuperTitle"/>
    <w:basedOn w:val="Title"/>
    <w:rsid w:val="00DE2CDE"/>
    <w:pPr>
      <w:framePr w:wrap="auto" w:hAnchor="text" w:y="6049"/>
    </w:pPr>
    <w:rPr>
      <w:color w:val="000000"/>
      <w:sz w:val="40"/>
    </w:rPr>
  </w:style>
  <w:style w:type="paragraph" w:customStyle="1" w:styleId="TOCTitle">
    <w:name w:val="TOCTitle"/>
    <w:basedOn w:val="Heading1"/>
    <w:rsid w:val="00DE2CDE"/>
    <w:pPr>
      <w:spacing w:after="240"/>
      <w:jc w:val="center"/>
      <w:outlineLvl w:val="9"/>
    </w:pPr>
    <w:rPr>
      <w:caps/>
    </w:rPr>
  </w:style>
  <w:style w:type="paragraph" w:customStyle="1" w:styleId="Version">
    <w:name w:val="Version"/>
    <w:rsid w:val="00DE2C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E2CDE"/>
    <w:pPr>
      <w:keepNext w:val="0"/>
      <w:tabs>
        <w:tab w:val="right" w:pos="4176"/>
      </w:tabs>
      <w:ind w:left="198" w:hanging="198"/>
    </w:pPr>
    <w:rPr>
      <w:rFonts w:ascii="Garamond" w:hAnsi="Garamond"/>
    </w:rPr>
  </w:style>
  <w:style w:type="paragraph" w:styleId="IndexHeading">
    <w:name w:val="index heading"/>
    <w:basedOn w:val="Normal"/>
    <w:next w:val="Index1"/>
    <w:semiHidden/>
    <w:rsid w:val="00DE2CDE"/>
    <w:pPr>
      <w:spacing w:before="120" w:after="120"/>
    </w:pPr>
    <w:rPr>
      <w:rFonts w:ascii="Arial" w:hAnsi="Arial"/>
      <w:b/>
      <w:color w:val="918585"/>
      <w:sz w:val="24"/>
    </w:rPr>
  </w:style>
  <w:style w:type="paragraph" w:styleId="Header">
    <w:name w:val="header"/>
    <w:basedOn w:val="Normal"/>
    <w:link w:val="HeaderChar"/>
    <w:rsid w:val="00DE2C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2CDE"/>
    <w:rPr>
      <w:rFonts w:ascii="Times New Roman" w:eastAsia="Times New Roman" w:hAnsi="Times New Roman" w:cs="Times New Roman"/>
      <w:sz w:val="16"/>
      <w:szCs w:val="20"/>
      <w:lang w:val="en-GB" w:eastAsia="en-US"/>
    </w:rPr>
  </w:style>
  <w:style w:type="paragraph" w:customStyle="1" w:styleId="Chapter">
    <w:name w:val="Chapter"/>
    <w:basedOn w:val="Normal"/>
    <w:rsid w:val="00DE2CDE"/>
    <w:pPr>
      <w:spacing w:before="240"/>
    </w:pPr>
    <w:rPr>
      <w:rFonts w:ascii="Times New Roman" w:hAnsi="Times New Roman"/>
      <w:smallCaps/>
      <w:spacing w:val="80"/>
      <w:sz w:val="28"/>
    </w:rPr>
  </w:style>
  <w:style w:type="paragraph" w:customStyle="1" w:styleId="InChapter">
    <w:name w:val="InChapter"/>
    <w:basedOn w:val="Heading3"/>
    <w:rsid w:val="00DE2CDE"/>
    <w:pPr>
      <w:spacing w:after="240"/>
      <w:outlineLvl w:val="9"/>
    </w:pPr>
    <w:rPr>
      <w:noProof/>
    </w:rPr>
  </w:style>
  <w:style w:type="paragraph" w:styleId="Index2">
    <w:name w:val="index 2"/>
    <w:basedOn w:val="Normal"/>
    <w:next w:val="Normal"/>
    <w:semiHidden/>
    <w:rsid w:val="00DE2CDE"/>
    <w:pPr>
      <w:tabs>
        <w:tab w:val="right" w:pos="4176"/>
      </w:tabs>
      <w:ind w:left="568" w:hanging="284"/>
    </w:pPr>
    <w:rPr>
      <w:rFonts w:ascii="Garamond" w:hAnsi="Garamond"/>
    </w:rPr>
  </w:style>
  <w:style w:type="paragraph" w:customStyle="1" w:styleId="Byline">
    <w:name w:val="Byline"/>
    <w:rsid w:val="00DE2C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2CDE"/>
    <w:pPr>
      <w:tabs>
        <w:tab w:val="clear" w:pos="3600"/>
        <w:tab w:val="clear" w:pos="3958"/>
      </w:tabs>
      <w:jc w:val="right"/>
    </w:pPr>
  </w:style>
  <w:style w:type="character" w:styleId="Emphasis">
    <w:name w:val="Emphasis"/>
    <w:basedOn w:val="DefaultParagraphFont"/>
    <w:qFormat/>
    <w:rsid w:val="00DE2CDE"/>
    <w:rPr>
      <w:i/>
    </w:rPr>
  </w:style>
  <w:style w:type="paragraph" w:styleId="Caption">
    <w:name w:val="caption"/>
    <w:basedOn w:val="BodyText"/>
    <w:next w:val="Normal"/>
    <w:qFormat/>
    <w:rsid w:val="00DE2CDE"/>
    <w:pPr>
      <w:framePr w:w="2268" w:hSpace="181" w:vSpace="181" w:wrap="around" w:vAnchor="text" w:hAnchor="page" w:x="1135" w:y="285" w:anchorLock="1"/>
    </w:pPr>
    <w:rPr>
      <w:i/>
    </w:rPr>
  </w:style>
  <w:style w:type="paragraph" w:customStyle="1" w:styleId="MiniTOCTitle">
    <w:name w:val="MiniTOCTitle"/>
    <w:basedOn w:val="Heading4"/>
    <w:rsid w:val="00DE2CDE"/>
    <w:pPr>
      <w:spacing w:before="240"/>
      <w:outlineLvl w:val="9"/>
    </w:pPr>
    <w:rPr>
      <w:noProof/>
      <w:sz w:val="24"/>
    </w:rPr>
  </w:style>
  <w:style w:type="paragraph" w:customStyle="1" w:styleId="MiniTOCItem">
    <w:name w:val="MiniTOCItem"/>
    <w:basedOn w:val="ListBullet"/>
    <w:rsid w:val="00DE2CDE"/>
    <w:pPr>
      <w:numPr>
        <w:numId w:val="0"/>
      </w:numPr>
      <w:tabs>
        <w:tab w:val="right" w:leader="dot" w:pos="6521"/>
      </w:tabs>
      <w:spacing w:before="0" w:after="0"/>
    </w:pPr>
  </w:style>
  <w:style w:type="paragraph" w:customStyle="1" w:styleId="TOFTitle">
    <w:name w:val="TOFTitle"/>
    <w:basedOn w:val="TOCTitle"/>
    <w:rsid w:val="00DE2CDE"/>
  </w:style>
  <w:style w:type="paragraph" w:styleId="TableofFigures">
    <w:name w:val="table of figures"/>
    <w:basedOn w:val="Normal"/>
    <w:next w:val="Normal"/>
    <w:semiHidden/>
    <w:rsid w:val="00DE2CDE"/>
    <w:pPr>
      <w:tabs>
        <w:tab w:val="right" w:leader="dot" w:pos="9072"/>
      </w:tabs>
      <w:ind w:left="970" w:hanging="403"/>
    </w:pPr>
    <w:rPr>
      <w:rFonts w:ascii="Times New Roman" w:hAnsi="Times New Roman"/>
      <w:b/>
    </w:rPr>
  </w:style>
  <w:style w:type="paragraph" w:styleId="ListNumber">
    <w:name w:val="List Number"/>
    <w:basedOn w:val="List"/>
    <w:rsid w:val="00DE2CDE"/>
    <w:pPr>
      <w:numPr>
        <w:numId w:val="15"/>
      </w:numPr>
      <w:tabs>
        <w:tab w:val="clear" w:pos="340"/>
      </w:tabs>
    </w:pPr>
  </w:style>
  <w:style w:type="character" w:customStyle="1" w:styleId="WingdingSymbols">
    <w:name w:val="Wingding Symbols"/>
    <w:rsid w:val="00DE2CDE"/>
    <w:rPr>
      <w:rFonts w:ascii="Wingdings" w:hAnsi="Wingdings"/>
    </w:rPr>
  </w:style>
  <w:style w:type="paragraph" w:customStyle="1" w:styleId="TableHeading">
    <w:name w:val="Table Heading"/>
    <w:basedOn w:val="HeadingBase"/>
    <w:rsid w:val="00DE2CDE"/>
    <w:pPr>
      <w:keepLines/>
      <w:pBdr>
        <w:bottom w:val="single" w:sz="6" w:space="1" w:color="918585"/>
      </w:pBdr>
      <w:spacing w:before="240"/>
    </w:pPr>
  </w:style>
  <w:style w:type="character" w:customStyle="1" w:styleId="HotSpot">
    <w:name w:val="HotSpot"/>
    <w:rsid w:val="00DE2CDE"/>
    <w:rPr>
      <w:color w:val="0033CC"/>
      <w:u w:val="none"/>
    </w:rPr>
  </w:style>
  <w:style w:type="paragraph" w:customStyle="1" w:styleId="BodyTextRight">
    <w:name w:val="Body Text Right"/>
    <w:basedOn w:val="BodyText"/>
    <w:rsid w:val="00DE2CDE"/>
    <w:pPr>
      <w:spacing w:before="0" w:after="0"/>
      <w:jc w:val="right"/>
    </w:pPr>
  </w:style>
  <w:style w:type="paragraph" w:styleId="Index3">
    <w:name w:val="index 3"/>
    <w:basedOn w:val="ListNumber2"/>
    <w:next w:val="Normal"/>
    <w:semiHidden/>
    <w:rsid w:val="00DE2CDE"/>
    <w:pPr>
      <w:numPr>
        <w:numId w:val="0"/>
      </w:numPr>
      <w:tabs>
        <w:tab w:val="right" w:leader="dot" w:pos="4176"/>
      </w:tabs>
    </w:pPr>
  </w:style>
  <w:style w:type="paragraph" w:styleId="ListNumber2">
    <w:name w:val="List Number 2"/>
    <w:basedOn w:val="List2"/>
    <w:rsid w:val="00DE2CDE"/>
    <w:pPr>
      <w:numPr>
        <w:numId w:val="10"/>
      </w:numPr>
      <w:tabs>
        <w:tab w:val="clear" w:pos="1060"/>
      </w:tabs>
    </w:pPr>
  </w:style>
  <w:style w:type="paragraph" w:customStyle="1" w:styleId="MarginNote">
    <w:name w:val="Margin Note"/>
    <w:basedOn w:val="BodyText"/>
    <w:rsid w:val="00DE2C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2C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2C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2CDE"/>
    <w:rPr>
      <w:sz w:val="32"/>
    </w:rPr>
  </w:style>
  <w:style w:type="paragraph" w:customStyle="1" w:styleId="HeadingProcedure">
    <w:name w:val="Heading Procedure"/>
    <w:basedOn w:val="HeadingBase"/>
    <w:next w:val="Normal"/>
    <w:rsid w:val="00DE2CDE"/>
    <w:pPr>
      <w:tabs>
        <w:tab w:val="left" w:pos="0"/>
      </w:tabs>
      <w:spacing w:before="120" w:after="60"/>
    </w:pPr>
    <w:rPr>
      <w:i/>
      <w:color w:val="918585"/>
      <w:sz w:val="22"/>
    </w:rPr>
  </w:style>
  <w:style w:type="paragraph" w:customStyle="1" w:styleId="TableBodyText">
    <w:name w:val="Table Body Text"/>
    <w:basedOn w:val="BodyText"/>
    <w:rsid w:val="00DE2CDE"/>
    <w:pPr>
      <w:spacing w:before="60" w:after="60"/>
    </w:pPr>
  </w:style>
  <w:style w:type="paragraph" w:styleId="ListContinue">
    <w:name w:val="List Continue"/>
    <w:basedOn w:val="List"/>
    <w:rsid w:val="00DE2CDE"/>
    <w:pPr>
      <w:ind w:firstLine="0"/>
    </w:pPr>
  </w:style>
  <w:style w:type="paragraph" w:customStyle="1" w:styleId="ListNote">
    <w:name w:val="List Note"/>
    <w:basedOn w:val="List"/>
    <w:rsid w:val="00DE2CDE"/>
    <w:pPr>
      <w:pBdr>
        <w:top w:val="single" w:sz="6" w:space="2" w:color="918585"/>
        <w:bottom w:val="single" w:sz="6" w:space="2" w:color="918585"/>
      </w:pBdr>
      <w:tabs>
        <w:tab w:val="left" w:pos="1021"/>
      </w:tabs>
      <w:ind w:firstLine="0"/>
    </w:pPr>
  </w:style>
  <w:style w:type="paragraph" w:customStyle="1" w:styleId="Warning">
    <w:name w:val="Warning"/>
    <w:basedOn w:val="BodyText"/>
    <w:rsid w:val="00DE2CDE"/>
    <w:pPr>
      <w:shd w:val="clear" w:color="auto" w:fill="D9D9D9"/>
      <w:tabs>
        <w:tab w:val="left" w:pos="992"/>
      </w:tabs>
      <w:ind w:left="119" w:right="119"/>
    </w:pPr>
    <w:rPr>
      <w:sz w:val="20"/>
    </w:rPr>
  </w:style>
  <w:style w:type="paragraph" w:customStyle="1" w:styleId="MarginIcons">
    <w:name w:val="Margin Icons"/>
    <w:basedOn w:val="BodyText"/>
    <w:rsid w:val="00DE2C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2CDE"/>
    <w:rPr>
      <w:rFonts w:ascii="Courier New" w:hAnsi="Courier New"/>
    </w:rPr>
  </w:style>
  <w:style w:type="paragraph" w:customStyle="1" w:styleId="NoteBullet">
    <w:name w:val="Note Bullet"/>
    <w:basedOn w:val="Note"/>
    <w:rsid w:val="00DE2CDE"/>
    <w:pPr>
      <w:tabs>
        <w:tab w:val="clear" w:pos="680"/>
      </w:tabs>
      <w:spacing w:before="60" w:after="60"/>
    </w:pPr>
  </w:style>
  <w:style w:type="paragraph" w:customStyle="1" w:styleId="SubHeading2">
    <w:name w:val="SubHeading2"/>
    <w:basedOn w:val="HeadingBase"/>
    <w:rsid w:val="00DE2CDE"/>
    <w:pPr>
      <w:spacing w:before="240" w:after="60"/>
    </w:pPr>
    <w:rPr>
      <w:sz w:val="20"/>
    </w:rPr>
  </w:style>
  <w:style w:type="paragraph" w:customStyle="1" w:styleId="SubHeading1">
    <w:name w:val="SubHeading1"/>
    <w:basedOn w:val="HeadingBase"/>
    <w:rsid w:val="00DE2CDE"/>
    <w:pPr>
      <w:spacing w:before="240" w:after="60"/>
    </w:pPr>
    <w:rPr>
      <w:color w:val="918585"/>
      <w:sz w:val="22"/>
    </w:rPr>
  </w:style>
  <w:style w:type="paragraph" w:customStyle="1" w:styleId="SideHeading">
    <w:name w:val="Side Heading"/>
    <w:basedOn w:val="HeadingBase"/>
    <w:rsid w:val="00DE2C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2CDE"/>
    <w:pPr>
      <w:tabs>
        <w:tab w:val="num" w:pos="360"/>
      </w:tabs>
    </w:pPr>
  </w:style>
  <w:style w:type="paragraph" w:styleId="PlainText">
    <w:name w:val="Plain Text"/>
    <w:basedOn w:val="Normal"/>
    <w:link w:val="PlainTextChar"/>
    <w:rsid w:val="00DE2CDE"/>
    <w:rPr>
      <w:sz w:val="20"/>
    </w:rPr>
  </w:style>
  <w:style w:type="character" w:customStyle="1" w:styleId="PlainTextChar">
    <w:name w:val="Plain Text Char"/>
    <w:basedOn w:val="DefaultParagraphFont"/>
    <w:link w:val="PlainText"/>
    <w:rsid w:val="00DE2CDE"/>
    <w:rPr>
      <w:rFonts w:ascii="Courier New" w:eastAsia="Times New Roman" w:hAnsi="Courier New" w:cs="Times New Roman"/>
      <w:sz w:val="20"/>
      <w:szCs w:val="20"/>
      <w:lang w:eastAsia="en-US"/>
    </w:rPr>
  </w:style>
  <w:style w:type="character" w:customStyle="1" w:styleId="MenuOption">
    <w:name w:val="Menu Option"/>
    <w:basedOn w:val="DefaultParagraphFont"/>
    <w:rsid w:val="00DE2CDE"/>
    <w:rPr>
      <w:b/>
      <w:smallCaps/>
    </w:rPr>
  </w:style>
  <w:style w:type="paragraph" w:customStyle="1" w:styleId="TableListNumber">
    <w:name w:val="Table List Number"/>
    <w:basedOn w:val="ListNumber"/>
    <w:rsid w:val="00DE2CDE"/>
    <w:pPr>
      <w:numPr>
        <w:numId w:val="0"/>
      </w:numPr>
    </w:pPr>
  </w:style>
  <w:style w:type="paragraph" w:styleId="TOC4">
    <w:name w:val="toc 4"/>
    <w:basedOn w:val="TOCBase"/>
    <w:next w:val="Normal"/>
    <w:semiHidden/>
    <w:rsid w:val="00DE2CDE"/>
    <w:pPr>
      <w:tabs>
        <w:tab w:val="right" w:leader="dot" w:pos="9071"/>
      </w:tabs>
      <w:ind w:left="1701"/>
    </w:pPr>
  </w:style>
  <w:style w:type="paragraph" w:customStyle="1" w:styleId="ListAlpha">
    <w:name w:val="List Alpha"/>
    <w:basedOn w:val="List"/>
    <w:rsid w:val="00DE2CDE"/>
    <w:pPr>
      <w:numPr>
        <w:numId w:val="9"/>
      </w:numPr>
    </w:pPr>
  </w:style>
  <w:style w:type="paragraph" w:customStyle="1" w:styleId="ListAlpha2">
    <w:name w:val="List Alpha 2"/>
    <w:basedOn w:val="List2"/>
    <w:rsid w:val="00DE2CDE"/>
    <w:pPr>
      <w:numPr>
        <w:numId w:val="8"/>
      </w:numPr>
    </w:pPr>
  </w:style>
  <w:style w:type="paragraph" w:styleId="List2">
    <w:name w:val="List 2"/>
    <w:basedOn w:val="BodyText"/>
    <w:rsid w:val="00DE2CDE"/>
    <w:pPr>
      <w:tabs>
        <w:tab w:val="left" w:pos="680"/>
      </w:tabs>
      <w:spacing w:before="60" w:after="60"/>
      <w:ind w:left="680" w:hanging="340"/>
    </w:pPr>
  </w:style>
  <w:style w:type="paragraph" w:styleId="List3">
    <w:name w:val="List 3"/>
    <w:basedOn w:val="BodyText"/>
    <w:rsid w:val="00DE2CDE"/>
    <w:pPr>
      <w:tabs>
        <w:tab w:val="left" w:pos="1021"/>
      </w:tabs>
      <w:spacing w:before="60" w:after="60"/>
      <w:ind w:left="1020" w:hanging="340"/>
    </w:pPr>
  </w:style>
  <w:style w:type="paragraph" w:styleId="List4">
    <w:name w:val="List 4"/>
    <w:basedOn w:val="BodyText"/>
    <w:rsid w:val="00DE2CDE"/>
    <w:pPr>
      <w:tabs>
        <w:tab w:val="left" w:pos="1361"/>
      </w:tabs>
      <w:spacing w:before="60" w:after="60"/>
      <w:ind w:left="1361" w:hanging="340"/>
    </w:pPr>
  </w:style>
  <w:style w:type="paragraph" w:styleId="List5">
    <w:name w:val="List 5"/>
    <w:basedOn w:val="BodyText"/>
    <w:rsid w:val="00DE2CDE"/>
    <w:pPr>
      <w:tabs>
        <w:tab w:val="left" w:pos="1701"/>
      </w:tabs>
      <w:spacing w:before="60" w:after="60"/>
      <w:ind w:left="1701" w:hanging="340"/>
    </w:pPr>
  </w:style>
  <w:style w:type="paragraph" w:styleId="ListBullet3">
    <w:name w:val="List Bullet 3"/>
    <w:basedOn w:val="List3"/>
    <w:rsid w:val="00DE2CDE"/>
    <w:pPr>
      <w:numPr>
        <w:numId w:val="14"/>
      </w:numPr>
      <w:tabs>
        <w:tab w:val="clear" w:pos="1021"/>
      </w:tabs>
      <w:ind w:left="1037" w:hanging="357"/>
    </w:pPr>
  </w:style>
  <w:style w:type="paragraph" w:styleId="ListBullet4">
    <w:name w:val="List Bullet 4"/>
    <w:basedOn w:val="List4"/>
    <w:rsid w:val="00DE2CDE"/>
    <w:pPr>
      <w:numPr>
        <w:numId w:val="3"/>
      </w:numPr>
      <w:tabs>
        <w:tab w:val="clear" w:pos="1361"/>
      </w:tabs>
    </w:pPr>
  </w:style>
  <w:style w:type="paragraph" w:styleId="ListBullet5">
    <w:name w:val="List Bullet 5"/>
    <w:basedOn w:val="List5"/>
    <w:rsid w:val="00DE2CDE"/>
    <w:pPr>
      <w:numPr>
        <w:numId w:val="4"/>
      </w:numPr>
    </w:pPr>
  </w:style>
  <w:style w:type="paragraph" w:styleId="ListContinue2">
    <w:name w:val="List Continue 2"/>
    <w:basedOn w:val="List2"/>
    <w:rsid w:val="00DE2CDE"/>
    <w:pPr>
      <w:ind w:firstLine="0"/>
    </w:pPr>
  </w:style>
  <w:style w:type="paragraph" w:styleId="ListContinue3">
    <w:name w:val="List Continue 3"/>
    <w:basedOn w:val="List3"/>
    <w:rsid w:val="00DE2CDE"/>
    <w:pPr>
      <w:ind w:left="1021" w:firstLine="0"/>
    </w:pPr>
  </w:style>
  <w:style w:type="paragraph" w:styleId="ListContinue4">
    <w:name w:val="List Continue 4"/>
    <w:basedOn w:val="List4"/>
    <w:rsid w:val="00DE2CDE"/>
    <w:pPr>
      <w:ind w:firstLine="0"/>
    </w:pPr>
  </w:style>
  <w:style w:type="paragraph" w:styleId="ListContinue5">
    <w:name w:val="List Continue 5"/>
    <w:basedOn w:val="List5"/>
    <w:rsid w:val="00DE2CDE"/>
    <w:pPr>
      <w:ind w:firstLine="0"/>
    </w:pPr>
  </w:style>
  <w:style w:type="paragraph" w:styleId="ListNumber3">
    <w:name w:val="List Number 3"/>
    <w:basedOn w:val="List3"/>
    <w:rsid w:val="00DE2CDE"/>
    <w:pPr>
      <w:numPr>
        <w:numId w:val="5"/>
      </w:numPr>
    </w:pPr>
  </w:style>
  <w:style w:type="paragraph" w:styleId="ListNumber4">
    <w:name w:val="List Number 4"/>
    <w:basedOn w:val="List4"/>
    <w:rsid w:val="00DE2CDE"/>
    <w:pPr>
      <w:numPr>
        <w:numId w:val="6"/>
      </w:numPr>
    </w:pPr>
  </w:style>
  <w:style w:type="paragraph" w:styleId="ListNumber5">
    <w:name w:val="List Number 5"/>
    <w:basedOn w:val="List5"/>
    <w:rsid w:val="00DE2CDE"/>
    <w:pPr>
      <w:numPr>
        <w:numId w:val="7"/>
      </w:numPr>
    </w:pPr>
  </w:style>
  <w:style w:type="paragraph" w:styleId="BlockText">
    <w:name w:val="Block Text"/>
    <w:basedOn w:val="Normal"/>
    <w:rsid w:val="00DE2CDE"/>
    <w:pPr>
      <w:spacing w:after="120"/>
      <w:ind w:left="1440" w:right="1440"/>
    </w:pPr>
  </w:style>
  <w:style w:type="character" w:customStyle="1" w:styleId="Subscript">
    <w:name w:val="Subscript"/>
    <w:basedOn w:val="DefaultParagraphFont"/>
    <w:rsid w:val="00DE2CDE"/>
    <w:rPr>
      <w:sz w:val="16"/>
      <w:vertAlign w:val="subscript"/>
    </w:rPr>
  </w:style>
  <w:style w:type="character" w:customStyle="1" w:styleId="Superscript">
    <w:name w:val="Superscript"/>
    <w:basedOn w:val="DefaultParagraphFont"/>
    <w:rsid w:val="00DE2CDE"/>
    <w:rPr>
      <w:sz w:val="16"/>
      <w:vertAlign w:val="superscript"/>
    </w:rPr>
  </w:style>
  <w:style w:type="character" w:customStyle="1" w:styleId="Symbols">
    <w:name w:val="Symbols"/>
    <w:basedOn w:val="DefaultParagraphFont"/>
    <w:rsid w:val="00DE2CDE"/>
    <w:rPr>
      <w:rFonts w:ascii="Symbol" w:hAnsi="Symbol"/>
    </w:rPr>
  </w:style>
  <w:style w:type="character" w:customStyle="1" w:styleId="MenuOptions">
    <w:name w:val="Menu Options"/>
    <w:basedOn w:val="DefaultParagraphFont"/>
    <w:rsid w:val="00DE2CDE"/>
    <w:rPr>
      <w:rFonts w:ascii="Arial Narrow" w:hAnsi="Arial Narrow"/>
      <w:smallCaps/>
    </w:rPr>
  </w:style>
  <w:style w:type="character" w:customStyle="1" w:styleId="Buttons">
    <w:name w:val="Buttons"/>
    <w:basedOn w:val="DefaultParagraphFont"/>
    <w:rsid w:val="00DE2CDE"/>
    <w:rPr>
      <w:b/>
    </w:rPr>
  </w:style>
  <w:style w:type="character" w:customStyle="1" w:styleId="Underlined">
    <w:name w:val="Underlined"/>
    <w:basedOn w:val="DefaultParagraphFont"/>
    <w:rsid w:val="00DE2CDE"/>
    <w:rPr>
      <w:u w:val="single"/>
    </w:rPr>
  </w:style>
  <w:style w:type="paragraph" w:customStyle="1" w:styleId="TableBodyTextRight">
    <w:name w:val="Table Body Text Right"/>
    <w:basedOn w:val="TableBodyText"/>
    <w:rsid w:val="00DE2CDE"/>
    <w:pPr>
      <w:widowControl w:val="0"/>
      <w:autoSpaceDE w:val="0"/>
      <w:autoSpaceDN w:val="0"/>
      <w:adjustRightInd w:val="0"/>
      <w:jc w:val="right"/>
    </w:pPr>
    <w:rPr>
      <w:rFonts w:cs="Arial"/>
      <w:szCs w:val="18"/>
    </w:rPr>
  </w:style>
  <w:style w:type="paragraph" w:customStyle="1" w:styleId="CopyrightText">
    <w:name w:val="Copyright Text"/>
    <w:basedOn w:val="BodyText"/>
    <w:rsid w:val="00DE2CDE"/>
    <w:rPr>
      <w:sz w:val="18"/>
    </w:rPr>
  </w:style>
  <w:style w:type="paragraph" w:customStyle="1" w:styleId="BodySmallRight">
    <w:name w:val="Body Small Right"/>
    <w:basedOn w:val="BodyTextRight"/>
    <w:rsid w:val="00DE2CDE"/>
    <w:rPr>
      <w:sz w:val="18"/>
      <w:szCs w:val="18"/>
    </w:rPr>
  </w:style>
  <w:style w:type="paragraph" w:customStyle="1" w:styleId="MarginEdition">
    <w:name w:val="Margin Edition"/>
    <w:basedOn w:val="MarginNote"/>
    <w:rsid w:val="00DE2CDE"/>
    <w:pPr>
      <w:spacing w:before="0" w:after="0"/>
    </w:pPr>
    <w:rPr>
      <w:rFonts w:ascii="Times New Roman" w:hAnsi="Times New Roman"/>
      <w:color w:val="999999"/>
    </w:rPr>
  </w:style>
  <w:style w:type="paragraph" w:customStyle="1" w:styleId="Spacer">
    <w:name w:val="Spacer"/>
    <w:basedOn w:val="Normal"/>
    <w:rsid w:val="00DE2CDE"/>
    <w:rPr>
      <w:sz w:val="2"/>
      <w:szCs w:val="2"/>
    </w:rPr>
  </w:style>
  <w:style w:type="character" w:customStyle="1" w:styleId="Small">
    <w:name w:val="Small"/>
    <w:basedOn w:val="DefaultParagraphFont"/>
    <w:rsid w:val="00DE2CDE"/>
    <w:rPr>
      <w:sz w:val="16"/>
    </w:rPr>
  </w:style>
  <w:style w:type="paragraph" w:customStyle="1" w:styleId="WideTable">
    <w:name w:val="Wide Table"/>
    <w:basedOn w:val="Normal"/>
    <w:rsid w:val="00DE2CDE"/>
    <w:pPr>
      <w:ind w:left="-1418"/>
    </w:pPr>
    <w:rPr>
      <w:sz w:val="2"/>
      <w:szCs w:val="2"/>
    </w:rPr>
  </w:style>
  <w:style w:type="character" w:styleId="PageNumber">
    <w:name w:val="page number"/>
    <w:basedOn w:val="DefaultParagraphFont"/>
    <w:rsid w:val="00DE2CDE"/>
  </w:style>
  <w:style w:type="paragraph" w:styleId="Quote">
    <w:name w:val="Quote"/>
    <w:basedOn w:val="Heading1"/>
    <w:link w:val="QuoteChar"/>
    <w:qFormat/>
    <w:rsid w:val="00DE2CDE"/>
    <w:rPr>
      <w:b w:val="0"/>
      <w:sz w:val="72"/>
      <w:szCs w:val="72"/>
      <w:lang w:val="en-NZ"/>
    </w:rPr>
  </w:style>
  <w:style w:type="character" w:customStyle="1" w:styleId="QuoteChar">
    <w:name w:val="Quote Char"/>
    <w:basedOn w:val="DefaultParagraphFont"/>
    <w:link w:val="Quote"/>
    <w:rsid w:val="00DE2C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2CDE"/>
    <w:pPr>
      <w:pageBreakBefore/>
    </w:pPr>
  </w:style>
  <w:style w:type="paragraph" w:customStyle="1" w:styleId="Border">
    <w:name w:val="Border"/>
    <w:basedOn w:val="Normal"/>
    <w:qFormat/>
    <w:rsid w:val="00DE2C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2CDE"/>
    <w:rPr>
      <w:b/>
      <w:bCs/>
      <w:i/>
      <w:iCs/>
      <w:color w:val="auto"/>
    </w:rPr>
  </w:style>
  <w:style w:type="paragraph" w:styleId="IntenseQuote">
    <w:name w:val="Intense Quote"/>
    <w:basedOn w:val="Normal"/>
    <w:next w:val="Normal"/>
    <w:link w:val="IntenseQuoteChar"/>
    <w:uiPriority w:val="30"/>
    <w:qFormat/>
    <w:rsid w:val="00DE2C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2C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2CDE"/>
    <w:rPr>
      <w:smallCaps/>
      <w:color w:val="auto"/>
      <w:u w:val="single"/>
    </w:rPr>
  </w:style>
  <w:style w:type="character" w:styleId="IntenseReference">
    <w:name w:val="Intense Reference"/>
    <w:basedOn w:val="DefaultParagraphFont"/>
    <w:uiPriority w:val="32"/>
    <w:qFormat/>
    <w:rsid w:val="00DE2CDE"/>
    <w:rPr>
      <w:b/>
      <w:bCs/>
      <w:smallCaps/>
      <w:color w:val="auto"/>
      <w:spacing w:val="5"/>
      <w:u w:val="single"/>
    </w:rPr>
  </w:style>
  <w:style w:type="paragraph" w:customStyle="1" w:styleId="2ColumnHeading">
    <w:name w:val="2Column Heading"/>
    <w:basedOn w:val="BodyText"/>
    <w:qFormat/>
    <w:rsid w:val="00DE2CDE"/>
    <w:pPr>
      <w:spacing w:after="60"/>
      <w:ind w:left="-2268"/>
    </w:pPr>
    <w:rPr>
      <w:b/>
    </w:rPr>
  </w:style>
  <w:style w:type="paragraph" w:customStyle="1" w:styleId="Heading1TOC">
    <w:name w:val="Heading1 TOC"/>
    <w:basedOn w:val="Normal"/>
    <w:qFormat/>
    <w:rsid w:val="00DE2CDE"/>
    <w:pPr>
      <w:spacing w:before="240" w:after="120"/>
    </w:pPr>
    <w:rPr>
      <w:rFonts w:ascii="Times New Roman" w:hAnsi="Times New Roman"/>
      <w:b/>
      <w:sz w:val="32"/>
    </w:rPr>
  </w:style>
  <w:style w:type="paragraph" w:customStyle="1" w:styleId="Heading2TOC">
    <w:name w:val="Heading2 TOC"/>
    <w:basedOn w:val="Normal"/>
    <w:qFormat/>
    <w:rsid w:val="00DE2CDE"/>
    <w:pPr>
      <w:spacing w:before="240" w:after="60"/>
    </w:pPr>
    <w:rPr>
      <w:rFonts w:ascii="Times New Roman" w:hAnsi="Times New Roman"/>
      <w:b/>
      <w:sz w:val="28"/>
    </w:rPr>
  </w:style>
  <w:style w:type="character" w:customStyle="1" w:styleId="Underline">
    <w:name w:val="Underline"/>
    <w:basedOn w:val="DefaultParagraphFont"/>
    <w:qFormat/>
    <w:rsid w:val="00DE2CDE"/>
    <w:rPr>
      <w:u w:val="single"/>
    </w:rPr>
  </w:style>
  <w:style w:type="character" w:customStyle="1" w:styleId="BoldandItalics">
    <w:name w:val="Bold and Italics"/>
    <w:qFormat/>
    <w:rsid w:val="00DE2CDE"/>
    <w:rPr>
      <w:b/>
      <w:i/>
      <w:u w:val="none"/>
    </w:rPr>
  </w:style>
  <w:style w:type="paragraph" w:styleId="BalloonText">
    <w:name w:val="Balloon Text"/>
    <w:basedOn w:val="Normal"/>
    <w:link w:val="BalloonTextChar"/>
    <w:rsid w:val="00DE2CDE"/>
    <w:rPr>
      <w:rFonts w:ascii="Tahoma" w:hAnsi="Tahoma" w:cs="Tahoma"/>
      <w:sz w:val="16"/>
      <w:szCs w:val="16"/>
    </w:rPr>
  </w:style>
  <w:style w:type="character" w:customStyle="1" w:styleId="BalloonTextChar">
    <w:name w:val="Balloon Text Char"/>
    <w:basedOn w:val="DefaultParagraphFont"/>
    <w:link w:val="BalloonText"/>
    <w:rsid w:val="00DE2C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2C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E2C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2CDE"/>
    <w:rPr>
      <w:b/>
      <w:color w:val="660033"/>
      <w:spacing w:val="0"/>
    </w:rPr>
  </w:style>
  <w:style w:type="paragraph" w:customStyle="1" w:styleId="Nameditemlist">
    <w:name w:val="Named item list"/>
    <w:basedOn w:val="BodyText"/>
    <w:qFormat/>
    <w:rsid w:val="00DE2CDE"/>
    <w:pPr>
      <w:tabs>
        <w:tab w:val="left" w:pos="2835"/>
      </w:tabs>
      <w:ind w:left="2835" w:hanging="2835"/>
    </w:pPr>
  </w:style>
  <w:style w:type="paragraph" w:customStyle="1" w:styleId="BodyTextnopadding">
    <w:name w:val="Body Text no padding"/>
    <w:basedOn w:val="BodyText"/>
    <w:qFormat/>
    <w:rsid w:val="00DE2CDE"/>
    <w:pPr>
      <w:spacing w:before="0" w:after="0"/>
    </w:pPr>
  </w:style>
  <w:style w:type="paragraph" w:customStyle="1" w:styleId="BodyTextBold">
    <w:name w:val="Body Text Bold"/>
    <w:basedOn w:val="BodyText"/>
    <w:qFormat/>
    <w:rsid w:val="00DE2CDE"/>
    <w:rPr>
      <w:b/>
    </w:rPr>
  </w:style>
  <w:style w:type="character" w:styleId="Hyperlink">
    <w:name w:val="Hyperlink"/>
    <w:basedOn w:val="DefaultParagraphFont"/>
    <w:uiPriority w:val="99"/>
    <w:unhideWhenUsed/>
    <w:rsid w:val="00AA0A0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530</Words>
  <Characters>3624</Characters>
  <Application>Microsoft Office Word</Application>
  <DocSecurity>0</DocSecurity>
  <Lines>90</Lines>
  <Paragraphs>61</Paragraphs>
  <ScaleCrop>false</ScaleCrop>
  <Company>Author-it Software Corporation Ltd.</Company>
  <LinksUpToDate>false</LinksUpToDate>
  <CharactersWithSpaces>4093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MARM004 Work in the marine surveying sector</dc:title>
  <dc:subject>Approved</dc:subject>
  <dc:creator>Australian Industry Standards</dc:creator>
  <cp:keywords>Release: 1</cp:keywords>
  <dc:description>Review Date: 12 April 2008</dc:description>
  <cp:lastModifiedBy>HSD_TPCMSd.prod</cp:lastModifiedBy>
  <cp:revision>3</cp:revision>
  <dcterms:created xsi:type="dcterms:W3CDTF">2020-10-27T00:59:00Z</dcterms:created>
  <dcterms:modified xsi:type="dcterms:W3CDTF">2020-10-27T00:59:00Z</dcterms:modified>
</cp:coreProperties>
</file>