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33A" w:rsidP="005C7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MARM002 Apply vessel construction theory to marine survey tasks</w:t>
      </w:r>
      <w:r>
        <w:fldChar w:fldCharType="end"/>
      </w:r>
    </w:p>
    <w:p w:rsidR="005C733A" w:rsidP="005C733A">
      <w:pPr>
        <w:pStyle w:val="Version"/>
        <w:sectPr w:rsidSect="00030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B26" w:rsidP="00030B26">
      <w:pPr>
        <w:pStyle w:val="SuperHeading"/>
      </w:pPr>
      <w:r w:rsidRPr="00030B26">
        <w:t>MARM002 Apply</w:t>
      </w:r>
      <w:r w:rsidRPr="00030B26">
        <w:t xml:space="preserve"> vessel construction theory to marine survey tasks</w:t>
      </w:r>
    </w:p>
    <w:p w:rsidR="00000000" w:rsidRPr="00030B26" w:rsidP="00030B26">
      <w:pPr>
        <w:pStyle w:val="Heading1"/>
      </w:pPr>
      <w:bookmarkStart w:id="1" w:name="O_661943"/>
      <w:bookmarkEnd w:id="1"/>
      <w:r w:rsidRPr="00030B26">
        <w:t>Modification History</w:t>
      </w:r>
    </w:p>
    <w:p w:rsidR="00000000" w:rsidRPr="00030B26" w:rsidP="005C733A">
      <w:pPr>
        <w:pStyle w:val="BodyText"/>
      </w:pPr>
      <w:r w:rsidRPr="00030B26">
        <w:t>Release 1. New unit of competency.</w:t>
      </w:r>
    </w:p>
    <w:p w:rsidR="00000000" w:rsidRPr="00030B26" w:rsidP="00030B26">
      <w:pPr>
        <w:pStyle w:val="Heading1"/>
      </w:pPr>
      <w:bookmarkStart w:id="2" w:name="O_661944"/>
      <w:bookmarkEnd w:id="2"/>
      <w:r w:rsidRPr="00030B26">
        <w:t>Application</w:t>
      </w:r>
    </w:p>
    <w:p w:rsidR="00000000" w:rsidRPr="00030B26" w:rsidP="005C733A">
      <w:pPr>
        <w:pStyle w:val="BodyText"/>
      </w:pPr>
      <w:r w:rsidRPr="00030B26">
        <w:t>This unit involves the skills and knowledge required to recognise how the construction and structural issues of commercial vessels relate to marine survey tasks.</w:t>
      </w:r>
    </w:p>
    <w:p w:rsidR="00000000" w:rsidRPr="00030B26" w:rsidP="005C733A">
      <w:pPr>
        <w:pStyle w:val="BodyText"/>
      </w:pPr>
      <w:r w:rsidRPr="00030B26">
        <w:t>This unit applies to people who assist marine surveyors or undertake administration duties in</w:t>
      </w:r>
      <w:r w:rsidRPr="00030B26">
        <w:t xml:space="preserve"> the maritime industry and/or marine surveying sector.</w:t>
      </w:r>
    </w:p>
    <w:p w:rsidR="00000000" w:rsidRPr="00030B26" w:rsidP="005C733A">
      <w:pPr>
        <w:pStyle w:val="BodyText"/>
      </w:pPr>
      <w:r w:rsidRPr="00030B26">
        <w:t>No licensing, legislative or certification requirements apply to this unit at the time of publication.</w:t>
      </w:r>
    </w:p>
    <w:p w:rsidR="00000000" w:rsidRPr="00030B26" w:rsidP="00030B26">
      <w:pPr>
        <w:pStyle w:val="Heading1"/>
      </w:pPr>
      <w:bookmarkStart w:id="3" w:name="O_661945"/>
      <w:bookmarkEnd w:id="3"/>
      <w:r w:rsidRPr="00030B26">
        <w:t>Pre-requisite Unit</w:t>
      </w:r>
    </w:p>
    <w:p w:rsidR="00000000" w:rsidRPr="00030B26" w:rsidP="005C733A">
      <w:pPr>
        <w:pStyle w:val="BodyText"/>
      </w:pPr>
      <w:r w:rsidRPr="00030B26">
        <w:t>Not applicable.</w:t>
      </w:r>
    </w:p>
    <w:p w:rsidR="00000000" w:rsidRPr="00030B26" w:rsidP="00030B26">
      <w:pPr>
        <w:pStyle w:val="Heading1"/>
      </w:pPr>
      <w:bookmarkStart w:id="4" w:name="O_661946"/>
      <w:bookmarkEnd w:id="4"/>
      <w:r w:rsidRPr="00030B26">
        <w:t>Competency Field</w:t>
      </w:r>
    </w:p>
    <w:p w:rsidR="00000000" w:rsidRPr="00030B26" w:rsidP="005C733A">
      <w:pPr>
        <w:pStyle w:val="BodyText"/>
      </w:pPr>
      <w:r w:rsidRPr="00030B26">
        <w:t xml:space="preserve">M – Marine </w:t>
      </w:r>
      <w:r w:rsidRPr="00030B26">
        <w:t>Surveying</w:t>
      </w:r>
    </w:p>
    <w:p w:rsidR="00000000" w:rsidRPr="00030B26" w:rsidP="00030B26">
      <w:pPr>
        <w:pStyle w:val="Heading1"/>
      </w:pPr>
      <w:bookmarkStart w:id="5" w:name="O_661947"/>
      <w:bookmarkEnd w:id="5"/>
      <w:r w:rsidRPr="00030B26">
        <w:t>Unit Sector</w:t>
      </w:r>
    </w:p>
    <w:p w:rsidR="00000000" w:rsidRPr="00030B26" w:rsidP="005C733A">
      <w:pPr>
        <w:pStyle w:val="BodyText"/>
      </w:pPr>
      <w:r w:rsidRPr="00030B26">
        <w:t>Not applicable.</w:t>
      </w:r>
    </w:p>
    <w:p w:rsidR="00000000" w:rsidRPr="00030B26" w:rsidP="00030B26">
      <w:pPr>
        <w:pStyle w:val="Heading1"/>
      </w:pPr>
      <w:bookmarkStart w:id="6" w:name="O_661948"/>
      <w:bookmarkEnd w:id="6"/>
      <w:r w:rsidRPr="00030B2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Performance criteria describe the performance needed to demonstrate achievement of the element.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rPr>
                <w:rStyle w:val="SpecialBold"/>
              </w:rPr>
              <w:t>Identify major parts of a hull relevant to commercial vessel inspections and surveys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 xml:space="preserve">Appropriate nomenclature is used to identify major parts of hull to be inspected as part of commercial vessel marine survey 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Structure of vessel hull in plan-vi</w:t>
            </w:r>
            <w:r w:rsidRPr="00030B26">
              <w:t xml:space="preserve">ew, profile, cross-section and perspective are accurately analysed across a range of different plans and drawings of vessels to determine survey </w:t>
            </w:r>
            <w:r w:rsidRPr="00030B26">
              <w:t>requirements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Use of plans and drawi</w:t>
            </w:r>
            <w:r w:rsidRPr="00030B26">
              <w:t xml:space="preserve">ngs in the survey are identified and applied during survey plan development 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rPr>
                <w:rStyle w:val="SpecialBold"/>
              </w:rPr>
              <w:t>Identify commercial vessel types and their structure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Basic factors determining design of commercial vessels are outlined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Features of vessel designed to ensure its wa</w:t>
            </w:r>
            <w:r w:rsidRPr="00030B26">
              <w:t>tertight and weather tight integrity are identified and maintained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Survey or inspection plan relating to vessel design is identified and implemented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 xml:space="preserve">Vessel construction methods and materials are identified and used as the basis to determine inspection and survey tasks 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rPr>
                <w:rStyle w:val="SpecialBold"/>
              </w:rPr>
              <w:t>Interpret basic vessel stability criteria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Basic stability theory as outlined in the National Standard for Commercial Vessels (NS</w:t>
            </w:r>
            <w:r w:rsidRPr="00030B26">
              <w:t>CV) in relation to construction of a commercial vessel is accurately defined and basic stability calculations are performed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Purpose of a vessel stability assessment is correctly explained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Documentation and records required by surveyor to assess stability of vessel are identified and confirmed according to the NSCV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rPr>
                <w:rStyle w:val="SpecialBold"/>
              </w:rPr>
              <w:t>Apply vessel construction theory to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Different types of vessel materials are identified to determine scope of surve</w:t>
            </w:r>
            <w:r w:rsidRPr="00030B26">
              <w:t>y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 xml:space="preserve">Survey plan appropriate to type of vessel is developed according to survey requirements and discussed with surveyor </w:t>
            </w:r>
          </w:p>
        </w:tc>
      </w:tr>
      <w:tr w:rsidTr="005C73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t>Feedback on survey plan is sought from others and possible changes or improvements are clarified where requi</w:t>
            </w:r>
            <w:r w:rsidRPr="00030B26">
              <w:t>red and incorporated</w:t>
            </w:r>
          </w:p>
        </w:tc>
      </w:tr>
    </w:tbl>
    <w:p w:rsidR="00000000" w:rsidRPr="00030B26" w:rsidP="00030B26">
      <w:pPr>
        <w:pStyle w:val="BodyText"/>
      </w:pPr>
    </w:p>
    <w:p w:rsidR="00000000" w:rsidRPr="00030B26" w:rsidP="00030B26">
      <w:pPr>
        <w:pStyle w:val="AllowPageBreak"/>
      </w:pPr>
    </w:p>
    <w:p w:rsidR="00000000" w:rsidRPr="00030B26" w:rsidP="00030B26">
      <w:pPr>
        <w:pStyle w:val="Heading1"/>
      </w:pPr>
      <w:bookmarkStart w:id="7" w:name="O_661949"/>
      <w:bookmarkEnd w:id="7"/>
      <w:r w:rsidRPr="00030B2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t>Foundation skills essential to performance are explicit in the performance criteria of this unit of competency.</w:t>
            </w:r>
          </w:p>
        </w:tc>
      </w:tr>
    </w:tbl>
    <w:p w:rsidR="00000000" w:rsidRPr="00030B26" w:rsidP="00030B26">
      <w:pPr>
        <w:pStyle w:val="BodyText"/>
      </w:pPr>
    </w:p>
    <w:p w:rsidR="00000000" w:rsidRPr="00030B26" w:rsidP="00030B26">
      <w:pPr>
        <w:pStyle w:val="AllowPageBreak"/>
      </w:pPr>
    </w:p>
    <w:p w:rsidR="00000000" w:rsidRPr="00030B26" w:rsidP="00030B26">
      <w:pPr>
        <w:pStyle w:val="Heading1"/>
      </w:pPr>
      <w:bookmarkStart w:id="8" w:name="O_661950"/>
      <w:bookmarkEnd w:id="8"/>
      <w:r w:rsidRPr="00030B2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Range is restricted to essential operating conditions and any other variables essential to the work environment.</w:t>
            </w:r>
          </w:p>
        </w:tc>
      </w:tr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Appropriate nomenclature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ListBullet"/>
              <w:rPr>
                <w:lang w:val="en-NZ"/>
              </w:rPr>
            </w:pPr>
            <w:r w:rsidRPr="00030B26">
              <w:t>all of the terms in the NSCV and referenced standards</w:t>
            </w:r>
          </w:p>
        </w:tc>
      </w:tr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t>Commercial vessels must include:</w:t>
            </w:r>
          </w:p>
          <w:p w:rsidR="00000000" w:rsidP="00030B2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ListBullet"/>
              <w:rPr>
                <w:lang w:val="en-NZ"/>
              </w:rPr>
            </w:pPr>
            <w:r w:rsidRPr="00030B26">
              <w:t>any vessel currently defined as a commercial vessel in Marine Safety (Domestic Commercial Vessel) National Law</w:t>
            </w:r>
          </w:p>
        </w:tc>
      </w:tr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Plans and drawings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ListBullet"/>
            </w:pPr>
            <w:r w:rsidRPr="00030B26">
              <w:t>any plan as referred to in the NSCV</w:t>
            </w:r>
          </w:p>
          <w:p w:rsidR="00000000" w:rsidRPr="00030B26" w:rsidP="00030B26">
            <w:pPr>
              <w:pStyle w:val="ListBullet"/>
            </w:pPr>
            <w:r w:rsidRPr="00030B26">
              <w:t>bilge diagram</w:t>
            </w:r>
          </w:p>
          <w:p w:rsidR="00000000" w:rsidRPr="00030B26" w:rsidP="00030B26">
            <w:pPr>
              <w:pStyle w:val="ListBullet"/>
            </w:pPr>
            <w:r w:rsidRPr="00030B26">
              <w:t>cargo arrangement/tank plan</w:t>
            </w:r>
          </w:p>
          <w:p w:rsidR="00000000" w:rsidRPr="00030B26" w:rsidP="00030B26">
            <w:pPr>
              <w:pStyle w:val="ListBullet"/>
            </w:pPr>
            <w:r w:rsidRPr="00030B26">
              <w:t xml:space="preserve">docking </w:t>
            </w:r>
            <w:r w:rsidRPr="00030B26">
              <w:t>plans</w:t>
            </w:r>
          </w:p>
          <w:p w:rsidR="00000000" w:rsidRPr="00030B26" w:rsidP="00030B26">
            <w:pPr>
              <w:pStyle w:val="ListBullet"/>
            </w:pPr>
            <w:r w:rsidRPr="00030B26">
              <w:t>fire and evacuation</w:t>
            </w:r>
          </w:p>
          <w:p w:rsidR="00000000" w:rsidRPr="00030B26" w:rsidP="00030B26">
            <w:pPr>
              <w:pStyle w:val="ListBullet"/>
            </w:pPr>
            <w:r w:rsidRPr="00030B26">
              <w:t>general arrangement plan</w:t>
            </w:r>
          </w:p>
          <w:p w:rsidR="00000000" w:rsidRPr="00030B26" w:rsidP="00030B26">
            <w:pPr>
              <w:pStyle w:val="ListBullet"/>
            </w:pPr>
            <w:r w:rsidRPr="00030B26">
              <w:t>lines plan</w:t>
            </w:r>
          </w:p>
          <w:p w:rsidR="00000000" w:rsidRPr="00030B26" w:rsidP="00030B26">
            <w:pPr>
              <w:pStyle w:val="ListBullet"/>
            </w:pPr>
            <w:r w:rsidRPr="00030B26">
              <w:t>sections and views</w:t>
            </w:r>
          </w:p>
          <w:p w:rsidR="00000000" w:rsidRPr="00030B26" w:rsidP="00030B26">
            <w:pPr>
              <w:pStyle w:val="ListBullet"/>
            </w:pPr>
            <w:r w:rsidRPr="00030B26">
              <w:t>shell expansion plan</w:t>
            </w:r>
          </w:p>
          <w:p w:rsidR="00000000" w:rsidP="00030B26">
            <w:pPr>
              <w:pStyle w:val="ListBullet"/>
              <w:rPr>
                <w:lang w:val="en-NZ"/>
              </w:rPr>
            </w:pPr>
            <w:r w:rsidRPr="00030B26">
              <w:t>system operating procedures</w:t>
            </w:r>
          </w:p>
        </w:tc>
      </w:tr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t>Basic factors must include:</w:t>
            </w:r>
          </w:p>
          <w:p w:rsidR="00000000" w:rsidRPr="00030B26" w:rsidP="00030B26">
            <w:pPr>
              <w:pStyle w:val="BodyText"/>
            </w:pPr>
          </w:p>
          <w:p w:rsidR="00000000" w:rsidP="00030B2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ListBullet"/>
            </w:pPr>
            <w:r w:rsidRPr="00030B26">
              <w:t xml:space="preserve">Australian and New Zealand Standards </w:t>
            </w:r>
          </w:p>
          <w:p w:rsidR="00000000" w:rsidRPr="00030B26" w:rsidP="00030B26">
            <w:pPr>
              <w:pStyle w:val="ListBullet"/>
            </w:pPr>
            <w:r w:rsidRPr="00030B26">
              <w:t>class rules</w:t>
            </w:r>
          </w:p>
          <w:p w:rsidR="00000000" w:rsidRPr="00030B26" w:rsidP="00030B26">
            <w:pPr>
              <w:pStyle w:val="ListBullet"/>
            </w:pPr>
            <w:r w:rsidRPr="00030B26">
              <w:t>NSCV</w:t>
            </w:r>
          </w:p>
          <w:p w:rsidR="00000000" w:rsidP="00030B26">
            <w:pPr>
              <w:pStyle w:val="ListBullet"/>
              <w:rPr>
                <w:lang w:val="en-NZ"/>
              </w:rPr>
            </w:pPr>
            <w:r w:rsidRPr="00030B26">
              <w:t>Uniform Shipping Laws (USL) Code</w:t>
            </w:r>
          </w:p>
        </w:tc>
      </w:tr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BodyText"/>
            </w:pPr>
            <w:r w:rsidRPr="00030B26">
              <w:t>Basic factors include one or more of the following:</w:t>
            </w:r>
          </w:p>
          <w:p w:rsidR="00000000" w:rsidP="00030B2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ListBullet"/>
            </w:pPr>
            <w:r w:rsidRPr="00030B26">
              <w:t xml:space="preserve">framing requirements </w:t>
            </w:r>
          </w:p>
          <w:p w:rsidR="00000000" w:rsidRPr="00030B26" w:rsidP="00030B26">
            <w:pPr>
              <w:pStyle w:val="ListBullet"/>
            </w:pPr>
            <w:r w:rsidRPr="00030B26">
              <w:t xml:space="preserve">plating </w:t>
            </w:r>
          </w:p>
          <w:p w:rsidR="00000000" w:rsidP="00030B26">
            <w:pPr>
              <w:pStyle w:val="ListBullet"/>
              <w:rPr>
                <w:lang w:val="en-NZ"/>
              </w:rPr>
            </w:pPr>
            <w:r w:rsidRPr="00030B26">
              <w:t>scantlings</w:t>
            </w:r>
          </w:p>
        </w:tc>
      </w:tr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C733A" w:rsidP="00030B26">
            <w:pPr>
              <w:pStyle w:val="BodyText"/>
            </w:pPr>
            <w:r w:rsidRPr="00030B26">
              <w:t>Basic stability theory includes one or more of the following:</w:t>
            </w:r>
          </w:p>
          <w:p w:rsidR="005C733A" w:rsidP="00030B26">
            <w:pPr>
              <w:pStyle w:val="BodyText"/>
            </w:pPr>
          </w:p>
          <w:p w:rsidR="00000000" w:rsidP="00030B2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ListBullet"/>
            </w:pPr>
            <w:r w:rsidRPr="00030B26">
              <w:t xml:space="preserve">differences between transverse and longitudinal stability and causes of list and trim </w:t>
            </w:r>
          </w:p>
          <w:p w:rsidR="00000000" w:rsidRPr="00030B26" w:rsidP="00030B26">
            <w:pPr>
              <w:pStyle w:val="ListBullet"/>
            </w:pPr>
            <w:r w:rsidRPr="00030B26">
              <w:t xml:space="preserve">effects of density of sea water on draught and freeboard of a small vessel </w:t>
            </w:r>
          </w:p>
          <w:p w:rsidR="00000000" w:rsidRPr="00030B26" w:rsidP="00030B26">
            <w:pPr>
              <w:pStyle w:val="ListBullet"/>
            </w:pPr>
            <w:r w:rsidRPr="00030B26">
              <w:t>impact of design and hull shape on stability</w:t>
            </w:r>
          </w:p>
          <w:p w:rsidR="00000000" w:rsidRPr="00030B26" w:rsidP="00030B26">
            <w:pPr>
              <w:pStyle w:val="ListBullet"/>
            </w:pPr>
            <w:r w:rsidRPr="00030B26">
              <w:t>relationship between light displacement, loaded displacement and deadweight tonnage</w:t>
            </w:r>
          </w:p>
          <w:p w:rsidR="00000000" w:rsidRPr="00030B26" w:rsidP="00030B26">
            <w:pPr>
              <w:pStyle w:val="ListBullet"/>
            </w:pPr>
            <w:r w:rsidRPr="00030B26">
              <w:t>relationship between weight and buoyancy in relatio</w:t>
            </w:r>
            <w:r w:rsidRPr="00030B26">
              <w:t>n to floating bodies reserve buoyancy equilibrium</w:t>
            </w:r>
          </w:p>
          <w:p w:rsidR="00000000" w:rsidRPr="00030B26" w:rsidP="00030B26">
            <w:pPr>
              <w:pStyle w:val="ListBullet"/>
            </w:pPr>
            <w:r w:rsidRPr="00030B26">
              <w:t>stability terms and definitions</w:t>
            </w:r>
          </w:p>
          <w:p w:rsidR="00000000" w:rsidP="00030B26">
            <w:pPr>
              <w:pStyle w:val="ListBullet"/>
              <w:rPr>
                <w:lang w:val="en-NZ"/>
              </w:rPr>
            </w:pPr>
            <w:r w:rsidRPr="00030B26">
              <w:t>any other terms referred to in standard works on small ship naval architecture</w:t>
            </w:r>
          </w:p>
        </w:tc>
      </w:tr>
      <w:tr w:rsidTr="00030B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26">
            <w:pPr>
              <w:pStyle w:val="BodyText"/>
              <w:rPr>
                <w:lang w:val="en-NZ"/>
              </w:rPr>
            </w:pPr>
            <w:r w:rsidRPr="00030B26">
              <w:t>Types of vessel materials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26" w:rsidP="00030B26">
            <w:pPr>
              <w:pStyle w:val="ListBullet"/>
            </w:pPr>
            <w:r w:rsidRPr="00030B26">
              <w:t>ferrocement</w:t>
            </w:r>
          </w:p>
          <w:p w:rsidR="00000000" w:rsidRPr="00030B26" w:rsidP="00030B26">
            <w:pPr>
              <w:pStyle w:val="ListBullet"/>
            </w:pPr>
            <w:r w:rsidRPr="00030B26">
              <w:t>laminated materia</w:t>
            </w:r>
            <w:r w:rsidRPr="00030B26">
              <w:t>ls and fabrics</w:t>
            </w:r>
          </w:p>
          <w:p w:rsidR="00000000" w:rsidRPr="00030B26" w:rsidP="00030B26">
            <w:pPr>
              <w:pStyle w:val="ListBullet"/>
            </w:pPr>
            <w:r w:rsidRPr="00030B26">
              <w:t>laminated timber</w:t>
            </w:r>
          </w:p>
          <w:p w:rsidR="00000000" w:rsidRPr="00030B26" w:rsidP="00030B26">
            <w:pPr>
              <w:pStyle w:val="ListBullet"/>
            </w:pPr>
            <w:r w:rsidRPr="00030B26">
              <w:t>moulded fibre composites</w:t>
            </w:r>
          </w:p>
          <w:p w:rsidR="00000000" w:rsidRPr="00030B26" w:rsidP="00030B26">
            <w:pPr>
              <w:pStyle w:val="ListBullet"/>
            </w:pPr>
            <w:r w:rsidRPr="00030B26">
              <w:t xml:space="preserve">riveting </w:t>
            </w:r>
          </w:p>
          <w:p w:rsidR="00000000" w:rsidRPr="00030B26" w:rsidP="00030B26">
            <w:pPr>
              <w:pStyle w:val="ListBullet"/>
            </w:pPr>
            <w:r w:rsidRPr="00030B26">
              <w:t xml:space="preserve">welded and riveted </w:t>
            </w:r>
          </w:p>
          <w:p w:rsidR="00000000" w:rsidRPr="00030B26" w:rsidP="00030B26">
            <w:pPr>
              <w:pStyle w:val="ListBullet"/>
            </w:pPr>
            <w:r w:rsidRPr="00030B26">
              <w:t>welded metal</w:t>
            </w:r>
          </w:p>
          <w:p w:rsidR="00000000" w:rsidRPr="00030B26" w:rsidP="00030B26">
            <w:pPr>
              <w:pStyle w:val="ListBullet"/>
            </w:pPr>
            <w:r w:rsidRPr="00030B26">
              <w:t>wood</w:t>
            </w:r>
          </w:p>
          <w:p w:rsidR="00000000" w:rsidRPr="00030B26" w:rsidP="00030B26">
            <w:pPr>
              <w:pStyle w:val="ListBullet"/>
            </w:pPr>
            <w:r w:rsidRPr="00030B26">
              <w:t>any other methods relevant to local commercial vessel market referred to in standard works on small craft construction</w:t>
            </w:r>
          </w:p>
        </w:tc>
      </w:tr>
    </w:tbl>
    <w:p w:rsidR="00000000" w:rsidRPr="00030B26" w:rsidP="00030B26">
      <w:pPr>
        <w:pStyle w:val="BodyText"/>
      </w:pPr>
    </w:p>
    <w:p w:rsidR="00000000" w:rsidRPr="00030B26" w:rsidP="00030B26">
      <w:pPr>
        <w:pStyle w:val="AllowPageBreak"/>
      </w:pPr>
    </w:p>
    <w:p w:rsidR="00000000" w:rsidRPr="00030B26" w:rsidP="00030B26">
      <w:pPr>
        <w:pStyle w:val="Heading1"/>
      </w:pPr>
      <w:bookmarkStart w:id="9" w:name="O_661951"/>
      <w:bookmarkEnd w:id="9"/>
      <w:r w:rsidRPr="00030B26">
        <w:t>Unit Mapping Information</w:t>
      </w:r>
    </w:p>
    <w:p w:rsidR="00000000" w:rsidRPr="00030B26" w:rsidP="005C733A">
      <w:pPr>
        <w:pStyle w:val="BodyText"/>
      </w:pPr>
      <w:r w:rsidRPr="00030B26">
        <w:t>This unit replaces and is equivalent to MARM3002A Apply vessel construction theory to marine survey tasks.</w:t>
      </w:r>
    </w:p>
    <w:p w:rsidR="00000000" w:rsidRPr="00030B26" w:rsidP="00030B26">
      <w:pPr>
        <w:pStyle w:val="Heading1"/>
      </w:pPr>
      <w:bookmarkStart w:id="10" w:name="O_661958"/>
      <w:bookmarkEnd w:id="10"/>
      <w:r w:rsidRPr="00030B26">
        <w:t>Links</w:t>
      </w:r>
    </w:p>
    <w:p w:rsidR="00000000" w:rsidRPr="00030B26" w:rsidP="005C733A">
      <w:pPr>
        <w:pStyle w:val="BodyText"/>
      </w:pPr>
      <w:r w:rsidRPr="00030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6341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30B26" w:rsidP="00030B26"/>
    <w:sectPr w:rsidSect="00030B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26" w:rsidRPr="005C733A" w:rsidP="005C7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3A" w:rsidP="00030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33A" w:rsidP="00030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733A" w:rsidP="00030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B26" w:rsidRPr="005C733A" w:rsidP="005C7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3A" w:rsidRPr="002D2AF8" w:rsidP="00030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MARM002 Apply vessel construction theory to marine survey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C733A" w:rsidP="00030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3ED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449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B26"/>
  </w:style>
  <w:style w:type="character" w:customStyle="1" w:styleId="Heading1Char">
    <w:name w:val="Heading 1 Char"/>
    <w:basedOn w:val="DefaultParagraphFont"/>
    <w:link w:val="Heading1"/>
    <w:rsid w:val="00030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B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B26"/>
    <w:rPr>
      <w:b/>
      <w:spacing w:val="0"/>
    </w:rPr>
  </w:style>
  <w:style w:type="paragraph" w:customStyle="1" w:styleId="SuperHeading">
    <w:name w:val="SuperHeading"/>
    <w:basedOn w:val="Normal"/>
    <w:rsid w:val="00030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B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B26"/>
    <w:rPr>
      <w:i/>
    </w:rPr>
  </w:style>
  <w:style w:type="paragraph" w:styleId="Caption">
    <w:name w:val="caption"/>
    <w:basedOn w:val="BodyText"/>
    <w:next w:val="Normal"/>
    <w:qFormat/>
    <w:rsid w:val="00030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B26"/>
  </w:style>
  <w:style w:type="paragraph" w:styleId="TableofFigures">
    <w:name w:val="table of figures"/>
    <w:basedOn w:val="Normal"/>
    <w:next w:val="Normal"/>
    <w:semiHidden/>
    <w:rsid w:val="00030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B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B26"/>
    <w:rPr>
      <w:rFonts w:ascii="Wingdings" w:hAnsi="Wingdings"/>
    </w:rPr>
  </w:style>
  <w:style w:type="paragraph" w:customStyle="1" w:styleId="TableHeading">
    <w:name w:val="Table Heading"/>
    <w:basedOn w:val="HeadingBase"/>
    <w:rsid w:val="00030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B26"/>
    <w:rPr>
      <w:color w:val="0033CC"/>
      <w:u w:val="none"/>
    </w:rPr>
  </w:style>
  <w:style w:type="paragraph" w:customStyle="1" w:styleId="BodyTextRight">
    <w:name w:val="Body Text Right"/>
    <w:basedOn w:val="BodyText"/>
    <w:rsid w:val="00030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B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B26"/>
    <w:rPr>
      <w:sz w:val="32"/>
    </w:rPr>
  </w:style>
  <w:style w:type="paragraph" w:customStyle="1" w:styleId="HeadingProcedure">
    <w:name w:val="Heading Procedure"/>
    <w:basedOn w:val="HeadingBase"/>
    <w:next w:val="Normal"/>
    <w:rsid w:val="00030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B26"/>
    <w:pPr>
      <w:spacing w:before="60" w:after="60"/>
    </w:pPr>
  </w:style>
  <w:style w:type="paragraph" w:styleId="ListContinue">
    <w:name w:val="List Continue"/>
    <w:basedOn w:val="List"/>
    <w:rsid w:val="00030B26"/>
    <w:pPr>
      <w:ind w:firstLine="0"/>
    </w:pPr>
  </w:style>
  <w:style w:type="paragraph" w:customStyle="1" w:styleId="ListNote">
    <w:name w:val="List Note"/>
    <w:basedOn w:val="List"/>
    <w:rsid w:val="00030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B26"/>
    <w:rPr>
      <w:rFonts w:ascii="Courier New" w:hAnsi="Courier New"/>
    </w:rPr>
  </w:style>
  <w:style w:type="paragraph" w:customStyle="1" w:styleId="NoteBullet">
    <w:name w:val="Note Bullet"/>
    <w:basedOn w:val="Note"/>
    <w:rsid w:val="00030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B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B26"/>
    <w:rPr>
      <w:b/>
      <w:smallCaps/>
    </w:rPr>
  </w:style>
  <w:style w:type="paragraph" w:customStyle="1" w:styleId="TableListNumber">
    <w:name w:val="Table List Number"/>
    <w:basedOn w:val="ListNumber"/>
    <w:rsid w:val="00030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B26"/>
    <w:pPr>
      <w:numPr>
        <w:numId w:val="8"/>
      </w:numPr>
    </w:pPr>
  </w:style>
  <w:style w:type="paragraph" w:customStyle="1" w:styleId="ListAlpha2">
    <w:name w:val="List Alpha 2"/>
    <w:basedOn w:val="List2"/>
    <w:rsid w:val="00030B26"/>
    <w:pPr>
      <w:numPr>
        <w:numId w:val="7"/>
      </w:numPr>
    </w:pPr>
  </w:style>
  <w:style w:type="paragraph" w:styleId="List2">
    <w:name w:val="List 2"/>
    <w:basedOn w:val="BodyText"/>
    <w:rsid w:val="00030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B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B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B26"/>
    <w:pPr>
      <w:numPr>
        <w:numId w:val="3"/>
      </w:numPr>
    </w:pPr>
  </w:style>
  <w:style w:type="paragraph" w:styleId="ListContinue2">
    <w:name w:val="List Continue 2"/>
    <w:basedOn w:val="List2"/>
    <w:rsid w:val="00030B26"/>
    <w:pPr>
      <w:ind w:firstLine="0"/>
    </w:pPr>
  </w:style>
  <w:style w:type="paragraph" w:styleId="ListContinue3">
    <w:name w:val="List Continue 3"/>
    <w:basedOn w:val="List3"/>
    <w:rsid w:val="00030B26"/>
    <w:pPr>
      <w:ind w:left="1021" w:firstLine="0"/>
    </w:pPr>
  </w:style>
  <w:style w:type="paragraph" w:styleId="ListContinue4">
    <w:name w:val="List Continue 4"/>
    <w:basedOn w:val="List4"/>
    <w:rsid w:val="00030B26"/>
    <w:pPr>
      <w:ind w:firstLine="0"/>
    </w:pPr>
  </w:style>
  <w:style w:type="paragraph" w:styleId="ListContinue5">
    <w:name w:val="List Continue 5"/>
    <w:basedOn w:val="List5"/>
    <w:rsid w:val="00030B26"/>
    <w:pPr>
      <w:ind w:firstLine="0"/>
    </w:pPr>
  </w:style>
  <w:style w:type="paragraph" w:styleId="ListNumber3">
    <w:name w:val="List Number 3"/>
    <w:basedOn w:val="List3"/>
    <w:rsid w:val="00030B26"/>
    <w:pPr>
      <w:numPr>
        <w:numId w:val="4"/>
      </w:numPr>
    </w:pPr>
  </w:style>
  <w:style w:type="paragraph" w:styleId="ListNumber4">
    <w:name w:val="List Number 4"/>
    <w:basedOn w:val="List4"/>
    <w:rsid w:val="00030B26"/>
    <w:pPr>
      <w:numPr>
        <w:numId w:val="5"/>
      </w:numPr>
    </w:pPr>
  </w:style>
  <w:style w:type="paragraph" w:styleId="ListNumber5">
    <w:name w:val="List Number 5"/>
    <w:basedOn w:val="List5"/>
    <w:rsid w:val="00030B26"/>
    <w:pPr>
      <w:numPr>
        <w:numId w:val="6"/>
      </w:numPr>
    </w:pPr>
  </w:style>
  <w:style w:type="paragraph" w:styleId="BlockText">
    <w:name w:val="Block Text"/>
    <w:basedOn w:val="Normal"/>
    <w:rsid w:val="00030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B26"/>
    <w:rPr>
      <w:sz w:val="16"/>
      <w:vertAlign w:val="superscript"/>
    </w:rPr>
  </w:style>
  <w:style w:type="character" w:customStyle="1" w:styleId="Symbols">
    <w:name w:val="Symbols"/>
    <w:basedOn w:val="DefaultParagraphFont"/>
    <w:rsid w:val="00030B26"/>
    <w:rPr>
      <w:rFonts w:ascii="Symbol" w:hAnsi="Symbol"/>
    </w:rPr>
  </w:style>
  <w:style w:type="character" w:customStyle="1" w:styleId="MenuOptions">
    <w:name w:val="Menu Options"/>
    <w:basedOn w:val="DefaultParagraphFont"/>
    <w:rsid w:val="00030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B26"/>
    <w:rPr>
      <w:b/>
    </w:rPr>
  </w:style>
  <w:style w:type="character" w:customStyle="1" w:styleId="Underlined">
    <w:name w:val="Underlined"/>
    <w:basedOn w:val="DefaultParagraphFont"/>
    <w:rsid w:val="00030B26"/>
    <w:rPr>
      <w:u w:val="single"/>
    </w:rPr>
  </w:style>
  <w:style w:type="paragraph" w:customStyle="1" w:styleId="TableBodyTextRight">
    <w:name w:val="Table Body Text Right"/>
    <w:basedOn w:val="TableBodyText"/>
    <w:rsid w:val="00030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B26"/>
    <w:rPr>
      <w:sz w:val="18"/>
    </w:rPr>
  </w:style>
  <w:style w:type="paragraph" w:customStyle="1" w:styleId="BodySmallRight">
    <w:name w:val="Body Small Right"/>
    <w:basedOn w:val="BodyTextRight"/>
    <w:rsid w:val="00030B26"/>
    <w:rPr>
      <w:sz w:val="18"/>
      <w:szCs w:val="18"/>
    </w:rPr>
  </w:style>
  <w:style w:type="paragraph" w:customStyle="1" w:styleId="MarginEdition">
    <w:name w:val="Margin Edition"/>
    <w:basedOn w:val="MarginNote"/>
    <w:rsid w:val="00030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B26"/>
    <w:rPr>
      <w:sz w:val="2"/>
      <w:szCs w:val="2"/>
    </w:rPr>
  </w:style>
  <w:style w:type="character" w:customStyle="1" w:styleId="Small">
    <w:name w:val="Small"/>
    <w:basedOn w:val="DefaultParagraphFont"/>
    <w:rsid w:val="00030B26"/>
    <w:rPr>
      <w:sz w:val="16"/>
    </w:rPr>
  </w:style>
  <w:style w:type="paragraph" w:customStyle="1" w:styleId="WideTable">
    <w:name w:val="Wide Table"/>
    <w:basedOn w:val="Normal"/>
    <w:rsid w:val="00030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B26"/>
  </w:style>
  <w:style w:type="paragraph" w:styleId="Quote">
    <w:name w:val="Quote"/>
    <w:basedOn w:val="Heading1"/>
    <w:link w:val="QuoteChar"/>
    <w:qFormat/>
    <w:rsid w:val="00030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B26"/>
    <w:pPr>
      <w:pageBreakBefore/>
    </w:pPr>
  </w:style>
  <w:style w:type="paragraph" w:customStyle="1" w:styleId="Border">
    <w:name w:val="Border"/>
    <w:basedOn w:val="Normal"/>
    <w:qFormat/>
    <w:rsid w:val="00030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B26"/>
    <w:rPr>
      <w:u w:val="single"/>
    </w:rPr>
  </w:style>
  <w:style w:type="character" w:customStyle="1" w:styleId="BoldandItalics">
    <w:name w:val="Bold and Italics"/>
    <w:qFormat/>
    <w:rsid w:val="00030B26"/>
    <w:rPr>
      <w:b/>
      <w:i/>
      <w:u w:val="none"/>
    </w:rPr>
  </w:style>
  <w:style w:type="paragraph" w:styleId="BalloonText">
    <w:name w:val="Balloon Text"/>
    <w:basedOn w:val="Normal"/>
    <w:link w:val="BalloonTextChar"/>
    <w:rsid w:val="0003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B26"/>
    <w:pPr>
      <w:spacing w:before="0" w:after="0"/>
    </w:pPr>
  </w:style>
  <w:style w:type="paragraph" w:customStyle="1" w:styleId="BodyTextBold">
    <w:name w:val="Body Text Bold"/>
    <w:basedOn w:val="BodyText"/>
    <w:qFormat/>
    <w:rsid w:val="00030B26"/>
    <w:rPr>
      <w:b/>
    </w:rPr>
  </w:style>
  <w:style w:type="character" w:styleId="Hyperlink">
    <w:name w:val="Hyperlink"/>
    <w:basedOn w:val="DefaultParagraphFont"/>
    <w:uiPriority w:val="99"/>
    <w:unhideWhenUsed/>
    <w:rsid w:val="005C7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4351</Characters>
  <Application>Microsoft Office Word</Application>
  <DocSecurity>0</DocSecurity>
  <Lines>207</Lines>
  <Paragraphs>123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MARM002 Apply vessel construction theory to marine survey tasks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2020-10-27T01:28:00Z</dcterms:created>
  <dcterms:modified xsi:type="dcterms:W3CDTF">2020-10-27T01:28:00Z</dcterms:modified>
</cp:coreProperties>
</file>