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BD9" w:rsidP="00446BD9">
      <w:pPr>
        <w:pStyle w:val="Title"/>
      </w:pPr>
      <w:r>
        <w:fldChar w:fldCharType="begin"/>
      </w:r>
      <w:r>
        <w:instrText xml:space="preserve"> TITLE   \* MERGEFORMAT </w:instrText>
      </w:r>
      <w:r>
        <w:fldChar w:fldCharType="separate"/>
      </w:r>
      <w:r>
        <w:t>MARM002 Apply vessel construction theory to marine survey tasks</w:t>
      </w:r>
      <w:r>
        <w:fldChar w:fldCharType="end"/>
      </w:r>
    </w:p>
    <w:p w:rsidR="00446BD9" w:rsidP="00446BD9">
      <w:pPr>
        <w:pStyle w:val="Version"/>
        <w:sectPr w:rsidSect="00890A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0AFE" w:rsidP="00890AFE">
      <w:pPr>
        <w:pStyle w:val="SuperHeading"/>
      </w:pPr>
      <w:r w:rsidRPr="00890AFE">
        <w:t>MARM002 Apply vessel construction theory to marine survey tasks</w:t>
      </w:r>
    </w:p>
    <w:p w:rsidR="00000000" w:rsidRPr="00890AFE" w:rsidP="00890AFE">
      <w:pPr>
        <w:pStyle w:val="Heading1"/>
      </w:pPr>
      <w:bookmarkStart w:id="1" w:name="O_661943"/>
      <w:bookmarkEnd w:id="1"/>
      <w:r w:rsidRPr="00890AFE">
        <w:t>Modification History</w:t>
      </w:r>
    </w:p>
    <w:p w:rsidR="00000000" w:rsidRPr="00890AFE" w:rsidP="00446BD9">
      <w:pPr>
        <w:pStyle w:val="BodyText"/>
      </w:pPr>
      <w:r w:rsidRPr="00890AFE">
        <w:t>Release 1. New unit of competency.</w:t>
      </w:r>
    </w:p>
    <w:p w:rsidR="00000000" w:rsidRPr="00890AFE" w:rsidP="00890AFE">
      <w:pPr>
        <w:pStyle w:val="Heading1"/>
      </w:pPr>
      <w:bookmarkStart w:id="2" w:name="O_661944"/>
      <w:bookmarkEnd w:id="2"/>
      <w:r w:rsidRPr="00890AFE">
        <w:t>Application</w:t>
      </w:r>
    </w:p>
    <w:p w:rsidR="00000000" w:rsidRPr="00890AFE" w:rsidP="00446BD9">
      <w:pPr>
        <w:pStyle w:val="BodyText"/>
      </w:pPr>
      <w:r w:rsidRPr="00890AFE">
        <w:t>This unit involves the skills and knowledge required to recognise how the construction and structural issues of commercial vessels relate to marine survey tasks.</w:t>
      </w:r>
    </w:p>
    <w:p w:rsidR="00000000" w:rsidRPr="00890AFE" w:rsidP="00446BD9">
      <w:pPr>
        <w:pStyle w:val="BodyText"/>
      </w:pPr>
      <w:r w:rsidRPr="00890AFE">
        <w:t>This unit applies to people who assist marine surveyors or undertake administration duties in</w:t>
      </w:r>
      <w:r w:rsidRPr="00890AFE">
        <w:t xml:space="preserve"> the maritime industry and/or marine surveying sector.</w:t>
      </w:r>
    </w:p>
    <w:p w:rsidR="00000000" w:rsidRPr="00890AFE" w:rsidP="00446BD9">
      <w:pPr>
        <w:pStyle w:val="BodyText"/>
      </w:pPr>
      <w:r w:rsidRPr="00890AFE">
        <w:t>No licensing, legislative or certification requirements apply to this unit at the time of publication.</w:t>
      </w:r>
    </w:p>
    <w:p w:rsidR="00000000" w:rsidRPr="00890AFE" w:rsidP="00890AFE">
      <w:pPr>
        <w:pStyle w:val="Heading1"/>
      </w:pPr>
      <w:bookmarkStart w:id="3" w:name="O_661945"/>
      <w:bookmarkEnd w:id="3"/>
      <w:r w:rsidRPr="00890AFE">
        <w:t>Pre-requisite Unit</w:t>
      </w:r>
    </w:p>
    <w:p w:rsidR="00000000" w:rsidRPr="00890AFE" w:rsidP="00446BD9">
      <w:pPr>
        <w:pStyle w:val="BodyText"/>
      </w:pPr>
      <w:r w:rsidRPr="00890AFE">
        <w:t>Not applicable.</w:t>
      </w:r>
    </w:p>
    <w:p w:rsidR="00000000" w:rsidRPr="00890AFE" w:rsidP="00890AFE">
      <w:pPr>
        <w:pStyle w:val="Heading1"/>
      </w:pPr>
      <w:bookmarkStart w:id="4" w:name="O_661946"/>
      <w:bookmarkEnd w:id="4"/>
      <w:r w:rsidRPr="00890AFE">
        <w:t>Competency Field</w:t>
      </w:r>
    </w:p>
    <w:p w:rsidR="00000000" w:rsidRPr="00890AFE" w:rsidP="00446BD9">
      <w:pPr>
        <w:pStyle w:val="BodyText"/>
      </w:pPr>
      <w:r w:rsidRPr="00890AFE">
        <w:t xml:space="preserve">M – Marine </w:t>
      </w:r>
      <w:r w:rsidRPr="00890AFE">
        <w:t>Surveying</w:t>
      </w:r>
    </w:p>
    <w:p w:rsidR="00000000" w:rsidRPr="00890AFE" w:rsidP="00890AFE">
      <w:pPr>
        <w:pStyle w:val="Heading1"/>
      </w:pPr>
      <w:bookmarkStart w:id="5" w:name="O_661947"/>
      <w:bookmarkEnd w:id="5"/>
      <w:r w:rsidRPr="00890AFE">
        <w:t>Unit Sector</w:t>
      </w:r>
    </w:p>
    <w:p w:rsidR="00000000" w:rsidRPr="00890AFE" w:rsidP="00446BD9">
      <w:pPr>
        <w:pStyle w:val="BodyText"/>
      </w:pPr>
      <w:r w:rsidRPr="00890AFE">
        <w:t>Not applicable.</w:t>
      </w:r>
    </w:p>
    <w:p w:rsidR="00000000" w:rsidRPr="00890AFE" w:rsidP="00890AFE">
      <w:pPr>
        <w:pStyle w:val="Heading1"/>
      </w:pPr>
      <w:bookmarkStart w:id="6" w:name="O_661948"/>
      <w:bookmarkEnd w:id="6"/>
      <w:r w:rsidRPr="00890AF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46BD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Performance criteria describe the performance needed to demonstrate achievement of the element.</w:t>
            </w:r>
          </w:p>
        </w:tc>
      </w:tr>
      <w:tr w:rsidTr="00446BD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90AFE" w:rsidP="00890AFE">
            <w:pPr>
              <w:pStyle w:val="BodyText"/>
            </w:pPr>
            <w:r w:rsidRPr="00890AF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rPr>
                <w:rStyle w:val="SpecialBold"/>
              </w:rPr>
              <w:t>Identify major parts of a hull relevant to commercial vessel inspections and surveys</w:t>
            </w:r>
          </w:p>
        </w:tc>
        <w:tc>
          <w:tcPr>
            <w:tcW w:w="719"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1.1</w:t>
            </w:r>
          </w:p>
        </w:tc>
        <w:tc>
          <w:tcPr>
            <w:tcW w:w="6045"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 xml:space="preserve">Appropriate nomenclature is used to identify major parts of hull to be inspected as part of commercial vessel marine survey </w:t>
            </w:r>
          </w:p>
        </w:tc>
      </w:tr>
      <w:tr w:rsidTr="00446B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1.2</w:t>
            </w:r>
          </w:p>
        </w:tc>
        <w:tc>
          <w:tcPr>
            <w:tcW w:w="6045"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Structure of vessel hull in plan-vi</w:t>
            </w:r>
            <w:r w:rsidRPr="00890AFE">
              <w:t xml:space="preserve">ew, profile, cross-section and perspective are accurately analysed across a range of different plans and drawings of vessels to determine survey </w:t>
            </w:r>
            <w:r w:rsidRPr="00890AFE">
              <w:t>requirements</w:t>
            </w:r>
          </w:p>
        </w:tc>
      </w:tr>
      <w:tr w:rsidTr="00446B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1.3</w:t>
            </w:r>
          </w:p>
        </w:tc>
        <w:tc>
          <w:tcPr>
            <w:tcW w:w="6045"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 xml:space="preserve">Use of plans and drawings in the survey are identified and applied during survey plan development </w:t>
            </w:r>
          </w:p>
        </w:tc>
      </w:tr>
      <w:tr w:rsidTr="00446BD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90AFE" w:rsidP="00890AFE">
            <w:pPr>
              <w:pStyle w:val="BodyText"/>
            </w:pPr>
            <w:r w:rsidRPr="00890AF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rPr>
                <w:rStyle w:val="SpecialBold"/>
              </w:rPr>
              <w:t>Identify commercial vessel types and their structure</w:t>
            </w:r>
          </w:p>
        </w:tc>
        <w:tc>
          <w:tcPr>
            <w:tcW w:w="719"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2.1</w:t>
            </w:r>
          </w:p>
        </w:tc>
        <w:tc>
          <w:tcPr>
            <w:tcW w:w="6045"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Basic factors determining design of commercial vessels are outlined</w:t>
            </w:r>
          </w:p>
        </w:tc>
      </w:tr>
      <w:tr w:rsidTr="00446B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2.2</w:t>
            </w:r>
          </w:p>
        </w:tc>
        <w:tc>
          <w:tcPr>
            <w:tcW w:w="6045"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Features of vessel des</w:t>
            </w:r>
            <w:r w:rsidRPr="00890AFE">
              <w:t>igned to ensure its watertight and weather tight integrity are identified and maintained</w:t>
            </w:r>
          </w:p>
        </w:tc>
      </w:tr>
      <w:tr w:rsidTr="00446B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2.3</w:t>
            </w:r>
          </w:p>
        </w:tc>
        <w:tc>
          <w:tcPr>
            <w:tcW w:w="6045"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Survey or inspection plan relating to vessel design is identified and implemented</w:t>
            </w:r>
          </w:p>
        </w:tc>
      </w:tr>
      <w:tr w:rsidTr="00446B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2.4</w:t>
            </w:r>
          </w:p>
        </w:tc>
        <w:tc>
          <w:tcPr>
            <w:tcW w:w="6045"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 xml:space="preserve">Vessel construction methods and materials are identified and used as the basis to determine inspection and survey tasks </w:t>
            </w:r>
          </w:p>
        </w:tc>
      </w:tr>
      <w:tr w:rsidTr="00446BD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90AFE" w:rsidP="00890AFE">
            <w:pPr>
              <w:pStyle w:val="BodyText"/>
            </w:pPr>
            <w:r w:rsidRPr="00890AF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rPr>
                <w:rStyle w:val="SpecialBold"/>
              </w:rPr>
              <w:t>Interpret basic vessel stability criteria</w:t>
            </w:r>
          </w:p>
        </w:tc>
        <w:tc>
          <w:tcPr>
            <w:tcW w:w="719"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3.1</w:t>
            </w:r>
          </w:p>
        </w:tc>
        <w:tc>
          <w:tcPr>
            <w:tcW w:w="6045"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Basic stability theory as outlined in the National Standard for Commercial Vessels (NS</w:t>
            </w:r>
            <w:r w:rsidRPr="00890AFE">
              <w:t>CV) in relation to construction of a commercial vessel is accurately defined and basic stability calculations are performed</w:t>
            </w:r>
          </w:p>
        </w:tc>
      </w:tr>
      <w:tr w:rsidTr="00446B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3.2</w:t>
            </w:r>
          </w:p>
        </w:tc>
        <w:tc>
          <w:tcPr>
            <w:tcW w:w="6045"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Purpose of a vessel stability assessment is correctly explained</w:t>
            </w:r>
          </w:p>
        </w:tc>
      </w:tr>
      <w:tr w:rsidTr="00446B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3.3</w:t>
            </w:r>
          </w:p>
        </w:tc>
        <w:tc>
          <w:tcPr>
            <w:tcW w:w="6045"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Documentation and records required</w:t>
            </w:r>
            <w:r w:rsidRPr="00890AFE">
              <w:t xml:space="preserve"> by surveyor to assess stability of vessel are identified and confirmed according to the NSCV</w:t>
            </w:r>
          </w:p>
        </w:tc>
      </w:tr>
      <w:tr w:rsidTr="00446BD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90AFE" w:rsidP="00890AFE">
            <w:pPr>
              <w:pStyle w:val="BodyText"/>
            </w:pPr>
            <w:r w:rsidRPr="00890AFE">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rPr>
                <w:rStyle w:val="SpecialBold"/>
              </w:rPr>
              <w:t>Apply vessel construction theory to survey</w:t>
            </w:r>
          </w:p>
        </w:tc>
        <w:tc>
          <w:tcPr>
            <w:tcW w:w="719"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4.1</w:t>
            </w:r>
          </w:p>
        </w:tc>
        <w:tc>
          <w:tcPr>
            <w:tcW w:w="6045"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Different types of vessel materials are identified to determine scope of survey</w:t>
            </w:r>
          </w:p>
        </w:tc>
      </w:tr>
      <w:tr w:rsidTr="00446B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4.2</w:t>
            </w:r>
          </w:p>
        </w:tc>
        <w:tc>
          <w:tcPr>
            <w:tcW w:w="6045"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 xml:space="preserve">Survey plan appropriate to type of vessel is developed according to survey requirements and discussed with surveyor </w:t>
            </w:r>
          </w:p>
        </w:tc>
      </w:tr>
      <w:tr w:rsidTr="00446B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4.3</w:t>
            </w:r>
          </w:p>
        </w:tc>
        <w:tc>
          <w:tcPr>
            <w:tcW w:w="6045" w:type="dxa"/>
            <w:tcBorders>
              <w:top w:val="nil"/>
              <w:left w:val="nil"/>
              <w:bottom w:val="nil"/>
              <w:right w:val="nil"/>
            </w:tcBorders>
            <w:tcMar>
              <w:top w:w="0" w:type="dxa"/>
              <w:left w:w="62" w:type="dxa"/>
              <w:bottom w:w="0" w:type="dxa"/>
              <w:right w:w="62" w:type="dxa"/>
            </w:tcMar>
          </w:tcPr>
          <w:p w:rsidR="00000000" w:rsidRPr="00890AFE" w:rsidP="00890AFE">
            <w:pPr>
              <w:pStyle w:val="BodyText"/>
            </w:pPr>
            <w:r w:rsidRPr="00890AFE">
              <w:t>Feedback on survey plan is sought from others and possible changes or improvements are clarified where required and incorporated</w:t>
            </w:r>
          </w:p>
        </w:tc>
      </w:tr>
    </w:tbl>
    <w:p w:rsidR="00000000" w:rsidRPr="00890AFE" w:rsidP="00890AFE">
      <w:pPr>
        <w:pStyle w:val="BodyText"/>
      </w:pPr>
    </w:p>
    <w:p w:rsidR="00000000" w:rsidRPr="00890AFE" w:rsidP="00890AFE">
      <w:pPr>
        <w:pStyle w:val="AllowPageBreak"/>
      </w:pPr>
    </w:p>
    <w:p w:rsidR="00000000" w:rsidRPr="00890AFE" w:rsidP="00890AFE">
      <w:pPr>
        <w:pStyle w:val="Heading1"/>
      </w:pPr>
      <w:bookmarkStart w:id="7" w:name="O_661949"/>
      <w:bookmarkEnd w:id="7"/>
      <w:r w:rsidRPr="00890AFE">
        <w:t>Foundation Skills</w:t>
      </w:r>
    </w:p>
    <w:tbl>
      <w:tblPr>
        <w:tblW w:w="9498" w:type="dxa"/>
        <w:tblLayout w:type="fixed"/>
        <w:tblCellMar>
          <w:left w:w="62" w:type="dxa"/>
          <w:right w:w="62" w:type="dxa"/>
        </w:tblCellMar>
        <w:tblLook w:val="0000"/>
      </w:tblPr>
      <w:tblGrid>
        <w:gridCol w:w="9498"/>
      </w:tblGrid>
      <w:tr w:rsidTr="00890AF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90AFE" w:rsidP="00890AFE">
            <w:pPr>
              <w:pStyle w:val="BodyText"/>
            </w:pPr>
            <w:r w:rsidRPr="00890AFE">
              <w:t>Foundation skills essential to performance are explicit in the performance criteria of this unit of competency.</w:t>
            </w:r>
          </w:p>
        </w:tc>
      </w:tr>
    </w:tbl>
    <w:p w:rsidR="00000000" w:rsidRPr="00890AFE" w:rsidP="00890AFE">
      <w:pPr>
        <w:pStyle w:val="BodyText"/>
      </w:pPr>
    </w:p>
    <w:p w:rsidR="00000000" w:rsidRPr="00890AFE" w:rsidP="00890AFE">
      <w:pPr>
        <w:pStyle w:val="AllowPageBreak"/>
      </w:pPr>
    </w:p>
    <w:p w:rsidR="00000000" w:rsidRPr="00890AFE" w:rsidP="00890AFE">
      <w:pPr>
        <w:pStyle w:val="Heading1"/>
      </w:pPr>
      <w:bookmarkStart w:id="8" w:name="O_661950"/>
      <w:bookmarkEnd w:id="8"/>
      <w:r w:rsidRPr="00890AFE">
        <w:t>Range of Conditions</w:t>
      </w:r>
    </w:p>
    <w:tbl>
      <w:tblPr>
        <w:tblW w:w="9498" w:type="dxa"/>
        <w:tblLayout w:type="fixed"/>
        <w:tblCellMar>
          <w:left w:w="62" w:type="dxa"/>
          <w:right w:w="62" w:type="dxa"/>
        </w:tblCellMar>
        <w:tblLook w:val="0000"/>
      </w:tblPr>
      <w:tblGrid>
        <w:gridCol w:w="2735"/>
        <w:gridCol w:w="6763"/>
      </w:tblGrid>
      <w:tr w:rsidTr="00890AFE">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Range is restricted to essential operating conditions and any other var</w:t>
            </w:r>
            <w:r w:rsidRPr="00890AFE">
              <w:t>iables essential to the work environment.</w:t>
            </w:r>
          </w:p>
        </w:tc>
      </w:tr>
      <w:tr w:rsidTr="00890AF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Appropriate nomenclature must include:</w:t>
            </w:r>
          </w:p>
        </w:tc>
        <w:tc>
          <w:tcPr>
            <w:tcW w:w="6763" w:type="dxa"/>
            <w:tcBorders>
              <w:top w:val="nil"/>
              <w:left w:val="nil"/>
              <w:bottom w:val="nil"/>
              <w:right w:val="nil"/>
            </w:tcBorders>
            <w:tcMar>
              <w:top w:w="0" w:type="dxa"/>
              <w:left w:w="62" w:type="dxa"/>
              <w:bottom w:w="0" w:type="dxa"/>
              <w:right w:w="62" w:type="dxa"/>
            </w:tcMar>
          </w:tcPr>
          <w:p w:rsidR="00000000" w:rsidP="00890AFE">
            <w:pPr>
              <w:pStyle w:val="ListBullet"/>
              <w:rPr>
                <w:lang w:val="en-NZ"/>
              </w:rPr>
            </w:pPr>
            <w:r w:rsidRPr="00890AFE">
              <w:t>all of the terms in the NSCV and referenced standards</w:t>
            </w:r>
          </w:p>
        </w:tc>
      </w:tr>
      <w:tr w:rsidTr="00890AF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890AFE" w:rsidP="00890AFE">
            <w:pPr>
              <w:pStyle w:val="BodyText"/>
            </w:pPr>
            <w:r w:rsidRPr="00890AFE">
              <w:t>Commercial vessels must include:</w:t>
            </w:r>
          </w:p>
          <w:p w:rsidR="00000000" w:rsidP="00890AFE">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890AFE">
            <w:pPr>
              <w:pStyle w:val="ListBullet"/>
              <w:rPr>
                <w:lang w:val="en-NZ"/>
              </w:rPr>
            </w:pPr>
            <w:r w:rsidRPr="00890AFE">
              <w:t>any vessel currently defined as a commercial vessel in Marine Safety (Domestic Commercial Vessel) National Law</w:t>
            </w:r>
          </w:p>
        </w:tc>
      </w:tr>
      <w:tr w:rsidTr="00890AF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Plans and drawings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90AFE" w:rsidP="00890AFE">
            <w:pPr>
              <w:pStyle w:val="ListBullet"/>
            </w:pPr>
            <w:r w:rsidRPr="00890AFE">
              <w:t>any plan as referred to in the NSCV</w:t>
            </w:r>
          </w:p>
          <w:p w:rsidR="00000000" w:rsidRPr="00890AFE" w:rsidP="00890AFE">
            <w:pPr>
              <w:pStyle w:val="ListBullet"/>
            </w:pPr>
            <w:r w:rsidRPr="00890AFE">
              <w:t>bilge diagram</w:t>
            </w:r>
          </w:p>
          <w:p w:rsidR="00000000" w:rsidRPr="00890AFE" w:rsidP="00890AFE">
            <w:pPr>
              <w:pStyle w:val="ListBullet"/>
            </w:pPr>
            <w:r w:rsidRPr="00890AFE">
              <w:t>cargo arrangement/tank plan</w:t>
            </w:r>
          </w:p>
          <w:p w:rsidR="00000000" w:rsidRPr="00890AFE" w:rsidP="00890AFE">
            <w:pPr>
              <w:pStyle w:val="ListBullet"/>
            </w:pPr>
            <w:r w:rsidRPr="00890AFE">
              <w:t xml:space="preserve">docking </w:t>
            </w:r>
            <w:r w:rsidRPr="00890AFE">
              <w:t>plans</w:t>
            </w:r>
          </w:p>
          <w:p w:rsidR="00000000" w:rsidRPr="00890AFE" w:rsidP="00890AFE">
            <w:pPr>
              <w:pStyle w:val="ListBullet"/>
            </w:pPr>
            <w:r w:rsidRPr="00890AFE">
              <w:t>fire and evacuation</w:t>
            </w:r>
          </w:p>
          <w:p w:rsidR="00000000" w:rsidRPr="00890AFE" w:rsidP="00890AFE">
            <w:pPr>
              <w:pStyle w:val="ListBullet"/>
            </w:pPr>
            <w:r w:rsidRPr="00890AFE">
              <w:t>general arrangement plan</w:t>
            </w:r>
          </w:p>
          <w:p w:rsidR="00000000" w:rsidRPr="00890AFE" w:rsidP="00890AFE">
            <w:pPr>
              <w:pStyle w:val="ListBullet"/>
            </w:pPr>
            <w:r w:rsidRPr="00890AFE">
              <w:t>lines plan</w:t>
            </w:r>
          </w:p>
          <w:p w:rsidR="00000000" w:rsidRPr="00890AFE" w:rsidP="00890AFE">
            <w:pPr>
              <w:pStyle w:val="ListBullet"/>
            </w:pPr>
            <w:r w:rsidRPr="00890AFE">
              <w:t>sections and views</w:t>
            </w:r>
          </w:p>
          <w:p w:rsidR="00000000" w:rsidRPr="00890AFE" w:rsidP="00890AFE">
            <w:pPr>
              <w:pStyle w:val="ListBullet"/>
            </w:pPr>
            <w:r w:rsidRPr="00890AFE">
              <w:t>shell expansion plan</w:t>
            </w:r>
          </w:p>
          <w:p w:rsidR="00000000" w:rsidP="00890AFE">
            <w:pPr>
              <w:pStyle w:val="ListBullet"/>
              <w:rPr>
                <w:lang w:val="en-NZ"/>
              </w:rPr>
            </w:pPr>
            <w:r w:rsidRPr="00890AFE">
              <w:t>system operating procedures</w:t>
            </w:r>
          </w:p>
        </w:tc>
      </w:tr>
      <w:tr w:rsidTr="00890AF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890AFE" w:rsidP="00890AFE">
            <w:pPr>
              <w:pStyle w:val="BodyText"/>
            </w:pPr>
            <w:r w:rsidRPr="00890AFE">
              <w:t>Basic factors must include:</w:t>
            </w:r>
          </w:p>
          <w:p w:rsidR="00000000" w:rsidRPr="00890AFE" w:rsidP="00890AFE">
            <w:pPr>
              <w:pStyle w:val="BodyText"/>
            </w:pPr>
          </w:p>
          <w:p w:rsidR="00000000" w:rsidP="00890AFE">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890AFE" w:rsidP="00890AFE">
            <w:pPr>
              <w:pStyle w:val="ListBullet"/>
            </w:pPr>
            <w:r w:rsidRPr="00890AFE">
              <w:t xml:space="preserve">Australian and New Zealand Standards </w:t>
            </w:r>
          </w:p>
          <w:p w:rsidR="00000000" w:rsidRPr="00890AFE" w:rsidP="00890AFE">
            <w:pPr>
              <w:pStyle w:val="ListBullet"/>
            </w:pPr>
            <w:r w:rsidRPr="00890AFE">
              <w:t>class rules</w:t>
            </w:r>
          </w:p>
          <w:p w:rsidR="00000000" w:rsidRPr="00890AFE" w:rsidP="00890AFE">
            <w:pPr>
              <w:pStyle w:val="ListBullet"/>
            </w:pPr>
            <w:r w:rsidRPr="00890AFE">
              <w:t>NSCV</w:t>
            </w:r>
          </w:p>
          <w:p w:rsidR="00000000" w:rsidP="00890AFE">
            <w:pPr>
              <w:pStyle w:val="ListBullet"/>
              <w:rPr>
                <w:lang w:val="en-NZ"/>
              </w:rPr>
            </w:pPr>
            <w:r w:rsidRPr="00890AFE">
              <w:t>Uniform Shipping Laws (USL) Code</w:t>
            </w:r>
          </w:p>
        </w:tc>
      </w:tr>
      <w:tr w:rsidTr="00890AF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890AFE" w:rsidP="00890AFE">
            <w:pPr>
              <w:pStyle w:val="BodyText"/>
            </w:pPr>
            <w:r w:rsidRPr="00890AFE">
              <w:t>Basic factors include one or more of the following:</w:t>
            </w:r>
          </w:p>
          <w:p w:rsidR="00000000" w:rsidP="00890AFE">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890AFE" w:rsidP="00890AFE">
            <w:pPr>
              <w:pStyle w:val="ListBullet"/>
            </w:pPr>
            <w:r w:rsidRPr="00890AFE">
              <w:t xml:space="preserve">framing requirements </w:t>
            </w:r>
          </w:p>
          <w:p w:rsidR="00000000" w:rsidRPr="00890AFE" w:rsidP="00890AFE">
            <w:pPr>
              <w:pStyle w:val="ListBullet"/>
            </w:pPr>
            <w:r w:rsidRPr="00890AFE">
              <w:t xml:space="preserve">plating </w:t>
            </w:r>
          </w:p>
          <w:p w:rsidR="00000000" w:rsidP="00890AFE">
            <w:pPr>
              <w:pStyle w:val="ListBullet"/>
              <w:rPr>
                <w:lang w:val="en-NZ"/>
              </w:rPr>
            </w:pPr>
            <w:r w:rsidRPr="00890AFE">
              <w:t>scantlings</w:t>
            </w:r>
          </w:p>
        </w:tc>
      </w:tr>
      <w:tr w:rsidTr="00890AF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446BD9" w:rsidP="00890AFE">
            <w:pPr>
              <w:pStyle w:val="BodyText"/>
            </w:pPr>
            <w:r w:rsidRPr="00890AFE">
              <w:t>Basic stability theory includes one or more of the following:</w:t>
            </w:r>
          </w:p>
          <w:p w:rsidR="00446BD9" w:rsidP="00890AFE">
            <w:pPr>
              <w:pStyle w:val="BodyText"/>
            </w:pPr>
          </w:p>
          <w:p w:rsidR="00000000" w:rsidP="00890AFE">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890AFE" w:rsidP="00890AFE">
            <w:pPr>
              <w:pStyle w:val="ListBullet"/>
            </w:pPr>
            <w:r w:rsidRPr="00890AFE">
              <w:t xml:space="preserve">differences between transverse and longitudinal stability and causes of list and trim </w:t>
            </w:r>
          </w:p>
          <w:p w:rsidR="00000000" w:rsidRPr="00890AFE" w:rsidP="00890AFE">
            <w:pPr>
              <w:pStyle w:val="ListBullet"/>
            </w:pPr>
            <w:r w:rsidRPr="00890AFE">
              <w:t xml:space="preserve">effects of density of sea water on draught and freeboard of a small vessel </w:t>
            </w:r>
          </w:p>
          <w:p w:rsidR="00000000" w:rsidRPr="00890AFE" w:rsidP="00890AFE">
            <w:pPr>
              <w:pStyle w:val="ListBullet"/>
            </w:pPr>
            <w:r w:rsidRPr="00890AFE">
              <w:t>impact of design and hull shape on stability</w:t>
            </w:r>
          </w:p>
          <w:p w:rsidR="00000000" w:rsidRPr="00890AFE" w:rsidP="00890AFE">
            <w:pPr>
              <w:pStyle w:val="ListBullet"/>
            </w:pPr>
            <w:r w:rsidRPr="00890AFE">
              <w:t>relationship between light displacement, loaded displacement and deadweight tonnage</w:t>
            </w:r>
          </w:p>
          <w:p w:rsidR="00000000" w:rsidRPr="00890AFE" w:rsidP="00890AFE">
            <w:pPr>
              <w:pStyle w:val="ListBullet"/>
            </w:pPr>
            <w:r w:rsidRPr="00890AFE">
              <w:t xml:space="preserve">relationship between weight and buoyancy </w:t>
            </w:r>
            <w:r w:rsidRPr="00890AFE">
              <w:t>in relation to floating bodies reserve buoyancy equilibrium</w:t>
            </w:r>
          </w:p>
          <w:p w:rsidR="00000000" w:rsidRPr="00890AFE" w:rsidP="00890AFE">
            <w:pPr>
              <w:pStyle w:val="ListBullet"/>
            </w:pPr>
            <w:r w:rsidRPr="00890AFE">
              <w:t>stability terms and definitions</w:t>
            </w:r>
          </w:p>
          <w:p w:rsidR="00000000" w:rsidP="00890AFE">
            <w:pPr>
              <w:pStyle w:val="ListBullet"/>
              <w:rPr>
                <w:lang w:val="en-NZ"/>
              </w:rPr>
            </w:pPr>
            <w:r w:rsidRPr="00890AFE">
              <w:t>any other terms referred to in standard works on small ship naval architecture</w:t>
            </w:r>
          </w:p>
        </w:tc>
      </w:tr>
      <w:tr w:rsidTr="00890AF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Types of vessel materials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90AFE" w:rsidP="00890AFE">
            <w:pPr>
              <w:pStyle w:val="ListBullet"/>
            </w:pPr>
            <w:r w:rsidRPr="00890AFE">
              <w:t>ferrocement</w:t>
            </w:r>
          </w:p>
          <w:p w:rsidR="00000000" w:rsidRPr="00890AFE" w:rsidP="00890AFE">
            <w:pPr>
              <w:pStyle w:val="ListBullet"/>
            </w:pPr>
            <w:r w:rsidRPr="00890AFE">
              <w:t>laminat</w:t>
            </w:r>
            <w:r w:rsidRPr="00890AFE">
              <w:t>ed materials and fabrics</w:t>
            </w:r>
          </w:p>
          <w:p w:rsidR="00000000" w:rsidRPr="00890AFE" w:rsidP="00890AFE">
            <w:pPr>
              <w:pStyle w:val="ListBullet"/>
            </w:pPr>
            <w:r w:rsidRPr="00890AFE">
              <w:t>laminated timber</w:t>
            </w:r>
          </w:p>
          <w:p w:rsidR="00000000" w:rsidRPr="00890AFE" w:rsidP="00890AFE">
            <w:pPr>
              <w:pStyle w:val="ListBullet"/>
            </w:pPr>
            <w:r w:rsidRPr="00890AFE">
              <w:t>moulded fibre composites</w:t>
            </w:r>
          </w:p>
          <w:p w:rsidR="00000000" w:rsidRPr="00890AFE" w:rsidP="00890AFE">
            <w:pPr>
              <w:pStyle w:val="ListBullet"/>
            </w:pPr>
            <w:r w:rsidRPr="00890AFE">
              <w:t xml:space="preserve">riveting </w:t>
            </w:r>
          </w:p>
          <w:p w:rsidR="00000000" w:rsidRPr="00890AFE" w:rsidP="00890AFE">
            <w:pPr>
              <w:pStyle w:val="ListBullet"/>
            </w:pPr>
            <w:r w:rsidRPr="00890AFE">
              <w:t xml:space="preserve">welded and riveted </w:t>
            </w:r>
          </w:p>
          <w:p w:rsidR="00000000" w:rsidRPr="00890AFE" w:rsidP="00890AFE">
            <w:pPr>
              <w:pStyle w:val="ListBullet"/>
            </w:pPr>
            <w:r w:rsidRPr="00890AFE">
              <w:t>welded metal</w:t>
            </w:r>
          </w:p>
          <w:p w:rsidR="00000000" w:rsidRPr="00890AFE" w:rsidP="00890AFE">
            <w:pPr>
              <w:pStyle w:val="ListBullet"/>
            </w:pPr>
            <w:r w:rsidRPr="00890AFE">
              <w:t>wood</w:t>
            </w:r>
          </w:p>
          <w:p w:rsidR="00000000" w:rsidRPr="00890AFE" w:rsidP="00890AFE">
            <w:pPr>
              <w:pStyle w:val="ListBullet"/>
            </w:pPr>
            <w:r w:rsidRPr="00890AFE">
              <w:t>any other methods relevant to local commercial vessel market referred to in standard works on small craft construction</w:t>
            </w:r>
          </w:p>
        </w:tc>
      </w:tr>
    </w:tbl>
    <w:p w:rsidR="00000000" w:rsidRPr="00890AFE" w:rsidP="00890AFE">
      <w:pPr>
        <w:pStyle w:val="BodyText"/>
      </w:pPr>
    </w:p>
    <w:p w:rsidR="00000000" w:rsidRPr="00890AFE" w:rsidP="00890AFE">
      <w:pPr>
        <w:pStyle w:val="AllowPageBreak"/>
      </w:pPr>
    </w:p>
    <w:p w:rsidR="00000000" w:rsidRPr="00890AFE" w:rsidP="00890AFE">
      <w:pPr>
        <w:pStyle w:val="Heading1"/>
      </w:pPr>
      <w:bookmarkStart w:id="9" w:name="O_661951"/>
      <w:bookmarkEnd w:id="9"/>
      <w:r w:rsidRPr="00890AFE">
        <w:t>Unit Mapping Information</w:t>
      </w:r>
    </w:p>
    <w:p w:rsidR="00000000" w:rsidRPr="00890AFE" w:rsidP="00446BD9">
      <w:pPr>
        <w:pStyle w:val="BodyText"/>
      </w:pPr>
      <w:r w:rsidRPr="00890AFE">
        <w:t>This unit replaces and is equivalent to MARM3002A Apply vessel construction theory to marine survey tasks.</w:t>
      </w:r>
    </w:p>
    <w:p w:rsidR="00000000" w:rsidRPr="00890AFE" w:rsidP="00890AFE">
      <w:pPr>
        <w:pStyle w:val="Heading1"/>
      </w:pPr>
      <w:bookmarkStart w:id="10" w:name="O_661958"/>
      <w:bookmarkEnd w:id="10"/>
      <w:r w:rsidRPr="00890AFE">
        <w:t>Links</w:t>
      </w:r>
    </w:p>
    <w:p w:rsidR="00000000" w:rsidRPr="00890AFE" w:rsidP="00446BD9">
      <w:pPr>
        <w:pStyle w:val="BodyText"/>
      </w:pPr>
      <w:r w:rsidRPr="00890AF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4775E">
        <w:rPr>
          <w:rStyle w:val="Hyperlink"/>
        </w:rPr>
        <w:t>https://vetnet.gov.au/Pages/TrainingDocs.aspx?q=772efb7b-4cce-47fe-9bbd-ee3b1d1eb4c2</w:t>
      </w:r>
      <w:r>
        <w:fldChar w:fldCharType="end"/>
      </w:r>
    </w:p>
    <w:p w:rsidR="00000000" w:rsidRPr="00890AFE" w:rsidP="00446BD9">
      <w:pPr>
        <w:pStyle w:val="BodyText"/>
        <w:sectPr w:rsidSect="00890AFE">
          <w:headerReference w:type="default" r:id="rId10"/>
          <w:footerReference w:type="default" r:id="rId11"/>
          <w:pgSz w:w="11908" w:h="16833"/>
          <w:pgMar w:top="1702" w:right="1418" w:bottom="1702" w:left="1418" w:header="992" w:footer="992" w:gutter="0"/>
          <w:cols w:space="720"/>
          <w:noEndnote/>
          <w:docGrid w:linePitch="299"/>
        </w:sectPr>
      </w:pPr>
    </w:p>
    <w:p w:rsidR="00000000" w:rsidRPr="00890AFE" w:rsidP="00890AFE">
      <w:pPr>
        <w:pStyle w:val="SuperHeading"/>
      </w:pPr>
      <w:r w:rsidRPr="00890AFE">
        <w:t>Assessment Requirements for MARM002 Apply vessel construction theory to marine survey tasks</w:t>
      </w:r>
    </w:p>
    <w:p w:rsidR="00000000" w:rsidRPr="00890AFE" w:rsidP="00890AFE">
      <w:pPr>
        <w:pStyle w:val="Heading1"/>
      </w:pPr>
      <w:bookmarkStart w:id="11" w:name="O_661953"/>
      <w:bookmarkEnd w:id="11"/>
      <w:r w:rsidRPr="00890AFE">
        <w:t>Modification History</w:t>
      </w:r>
    </w:p>
    <w:p w:rsidR="00000000" w:rsidRPr="00890AFE" w:rsidP="00446BD9">
      <w:pPr>
        <w:pStyle w:val="BodyText"/>
      </w:pPr>
      <w:r w:rsidRPr="00890AFE">
        <w:t>Release 1. New unit of competency.</w:t>
      </w:r>
    </w:p>
    <w:p w:rsidR="00000000" w:rsidRPr="00890AFE" w:rsidP="00890AFE">
      <w:pPr>
        <w:pStyle w:val="Heading1"/>
      </w:pPr>
      <w:bookmarkStart w:id="12" w:name="O_661954"/>
      <w:bookmarkEnd w:id="12"/>
      <w:r w:rsidRPr="00890AFE">
        <w:t>Performance Evidence</w:t>
      </w:r>
    </w:p>
    <w:tbl>
      <w:tblPr>
        <w:tblW w:w="9498" w:type="dxa"/>
        <w:tblLayout w:type="fixed"/>
        <w:tblCellMar>
          <w:left w:w="62" w:type="dxa"/>
          <w:right w:w="62" w:type="dxa"/>
        </w:tblCellMar>
        <w:tblLook w:val="0000"/>
      </w:tblPr>
      <w:tblGrid>
        <w:gridCol w:w="9498"/>
      </w:tblGrid>
      <w:tr w:rsidTr="00890AF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Evidence required to demonstrate competence in this unit must be relevant to and satisfy all of the requirements of the elements, performance criteria and range of conditions on at least one occasion and include:</w:t>
            </w:r>
          </w:p>
        </w:tc>
      </w:tr>
      <w:tr w:rsidTr="00890AFE">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890AFE" w:rsidP="00890AFE">
            <w:pPr>
              <w:pStyle w:val="ListBullet"/>
            </w:pPr>
            <w:r w:rsidRPr="00890AFE">
              <w:t>app</w:t>
            </w:r>
            <w:r w:rsidRPr="00890AFE">
              <w:t>lying relevant work health and safety/occupational health and safety (WHS/OHS) requirements and work practices</w:t>
            </w:r>
          </w:p>
          <w:p w:rsidR="00000000" w:rsidRPr="00890AFE" w:rsidP="00890AFE">
            <w:pPr>
              <w:pStyle w:val="ListBullet"/>
            </w:pPr>
            <w:r w:rsidRPr="00890AFE">
              <w:t>calculating vessel stability accurately, using basic stability criteria calculations</w:t>
            </w:r>
          </w:p>
          <w:p w:rsidR="00000000" w:rsidRPr="00890AFE" w:rsidP="00890AFE">
            <w:pPr>
              <w:pStyle w:val="ListBullet"/>
            </w:pPr>
            <w:r w:rsidRPr="00890AFE">
              <w:t>developing and maintaining effective planning documents</w:t>
            </w:r>
          </w:p>
          <w:p w:rsidR="00000000" w:rsidRPr="00890AFE" w:rsidP="00890AFE">
            <w:pPr>
              <w:pStyle w:val="ListBullet"/>
            </w:pPr>
            <w:r w:rsidRPr="00890AFE">
              <w:t>esti</w:t>
            </w:r>
            <w:r w:rsidRPr="00890AFE">
              <w:t>mating, measuring and calculating time required to complete tasks</w:t>
            </w:r>
          </w:p>
          <w:p w:rsidR="00000000" w:rsidRPr="00890AFE" w:rsidP="00890AFE">
            <w:pPr>
              <w:pStyle w:val="ListBullet"/>
            </w:pPr>
            <w:r w:rsidRPr="00890AFE">
              <w:t>interpreting, applying and conveying information verbally, in writing and diagrammatically</w:t>
            </w:r>
          </w:p>
          <w:p w:rsidR="00000000" w:rsidRPr="00890AFE" w:rsidP="00890AFE">
            <w:pPr>
              <w:pStyle w:val="ListBullet"/>
            </w:pPr>
            <w:r w:rsidRPr="00890AFE">
              <w:t>interpreting numerical data</w:t>
            </w:r>
          </w:p>
          <w:p w:rsidR="00000000" w:rsidRPr="00890AFE" w:rsidP="00890AFE">
            <w:pPr>
              <w:pStyle w:val="ListBullet"/>
            </w:pPr>
            <w:r w:rsidRPr="00890AFE">
              <w:t>reading and interpreting vessel specifications and drawings</w:t>
            </w:r>
          </w:p>
          <w:p w:rsidR="00000000" w:rsidRPr="00890AFE" w:rsidP="00890AFE">
            <w:pPr>
              <w:pStyle w:val="ListBullet"/>
            </w:pPr>
            <w:r w:rsidRPr="00890AFE">
              <w:t>recording and reporting workplace information.</w:t>
            </w:r>
          </w:p>
        </w:tc>
      </w:tr>
    </w:tbl>
    <w:p w:rsidR="00000000" w:rsidRPr="00890AFE" w:rsidP="00890AFE">
      <w:pPr>
        <w:pStyle w:val="BodyText"/>
      </w:pPr>
    </w:p>
    <w:p w:rsidR="00000000" w:rsidRPr="00890AFE" w:rsidP="00890AFE">
      <w:pPr>
        <w:pStyle w:val="AllowPageBreak"/>
      </w:pPr>
    </w:p>
    <w:p w:rsidR="00000000" w:rsidRPr="00890AFE" w:rsidP="00890AFE">
      <w:pPr>
        <w:pStyle w:val="Heading1"/>
      </w:pPr>
      <w:bookmarkStart w:id="13" w:name="O_661955"/>
      <w:bookmarkEnd w:id="13"/>
      <w:r w:rsidRPr="00890AFE">
        <w:t>Knowledge Evidence</w:t>
      </w:r>
    </w:p>
    <w:tbl>
      <w:tblPr>
        <w:tblW w:w="9498" w:type="dxa"/>
        <w:tblLayout w:type="fixed"/>
        <w:tblCellMar>
          <w:left w:w="62" w:type="dxa"/>
          <w:right w:w="62" w:type="dxa"/>
        </w:tblCellMar>
        <w:tblLook w:val="0000"/>
      </w:tblPr>
      <w:tblGrid>
        <w:gridCol w:w="9498"/>
      </w:tblGrid>
      <w:tr w:rsidTr="00890AFE">
        <w:tblPrEx>
          <w:tblW w:w="9498" w:type="dxa"/>
          <w:tblLayout w:type="fixed"/>
          <w:tblCellMar>
            <w:left w:w="62" w:type="dxa"/>
            <w:right w:w="62" w:type="dxa"/>
          </w:tblCellMar>
          <w:tblLook w:val="0000"/>
        </w:tblPrEx>
        <w:trPr>
          <w:trHeight w:val="808"/>
        </w:trPr>
        <w:tc>
          <w:tcPr>
            <w:tcW w:w="9498" w:type="dxa"/>
            <w:tcBorders>
              <w:top w:val="nil"/>
              <w:left w:val="nil"/>
              <w:bottom w:val="nil"/>
              <w:right w:val="nil"/>
            </w:tcBorders>
            <w:tcMar>
              <w:top w:w="0" w:type="dxa"/>
              <w:left w:w="62" w:type="dxa"/>
              <w:bottom w:w="0" w:type="dxa"/>
              <w:right w:w="62" w:type="dxa"/>
            </w:tcMar>
          </w:tcPr>
          <w:p w:rsidR="00000000" w:rsidP="00890AFE">
            <w:pPr>
              <w:pStyle w:val="BodyText"/>
              <w:rPr>
                <w:lang w:val="en-NZ"/>
              </w:rPr>
            </w:pPr>
            <w:r w:rsidRPr="00890AFE">
              <w:t>Evidence required to demonstrate competence in this unit must be relevant to and satisfy all of the requirements of the elements, performance criteria and range of conditi</w:t>
            </w:r>
            <w:r w:rsidRPr="00890AFE">
              <w:t>ons and include knowledge of:</w:t>
            </w:r>
          </w:p>
        </w:tc>
      </w:tr>
      <w:tr w:rsidTr="00890AFE">
        <w:tblPrEx>
          <w:tblW w:w="9498" w:type="dxa"/>
          <w:tblLayout w:type="fixed"/>
          <w:tblCellMar>
            <w:left w:w="62" w:type="dxa"/>
            <w:right w:w="62" w:type="dxa"/>
          </w:tblCellMar>
          <w:tblLook w:val="0000"/>
        </w:tblPrEx>
        <w:trPr>
          <w:trHeight w:val="1701"/>
        </w:trPr>
        <w:tc>
          <w:tcPr>
            <w:tcW w:w="9498" w:type="dxa"/>
            <w:tcBorders>
              <w:top w:val="nil"/>
              <w:left w:val="nil"/>
              <w:bottom w:val="nil"/>
              <w:right w:val="nil"/>
            </w:tcBorders>
            <w:tcMar>
              <w:top w:w="0" w:type="dxa"/>
              <w:left w:w="62" w:type="dxa"/>
              <w:bottom w:w="0" w:type="dxa"/>
              <w:right w:w="62" w:type="dxa"/>
            </w:tcMar>
          </w:tcPr>
          <w:p w:rsidR="00000000" w:rsidRPr="00890AFE" w:rsidP="00890AFE">
            <w:pPr>
              <w:pStyle w:val="ListBullet"/>
            </w:pPr>
            <w:r w:rsidRPr="00890AFE">
              <w:t>basic stability theory, and use and purpose of a vessel stability book</w:t>
            </w:r>
          </w:p>
          <w:p w:rsidR="00000000" w:rsidRPr="00890AFE" w:rsidP="00890AFE">
            <w:pPr>
              <w:pStyle w:val="ListBullet"/>
            </w:pPr>
            <w:r w:rsidRPr="00890AFE">
              <w:t>commercial vessel types and their structure</w:t>
            </w:r>
          </w:p>
          <w:p w:rsidR="00000000" w:rsidRPr="00890AFE" w:rsidP="00890AFE">
            <w:pPr>
              <w:pStyle w:val="ListBullet"/>
            </w:pPr>
            <w:r w:rsidRPr="00890AFE">
              <w:t>nomenclature relevant to vessel construction</w:t>
            </w:r>
          </w:p>
          <w:p w:rsidR="00000000" w:rsidRPr="00890AFE" w:rsidP="00890AFE">
            <w:pPr>
              <w:pStyle w:val="ListBullet"/>
            </w:pPr>
            <w:r w:rsidRPr="00890AFE">
              <w:t>other guidance such as:</w:t>
            </w:r>
          </w:p>
          <w:p w:rsidR="00000000" w:rsidRPr="00890AFE" w:rsidP="00890AFE">
            <w:pPr>
              <w:pStyle w:val="ListBullet2"/>
            </w:pPr>
            <w:r w:rsidRPr="00890AFE">
              <w:t xml:space="preserve">Marine Orders </w:t>
            </w:r>
          </w:p>
          <w:p w:rsidR="00000000" w:rsidRPr="00890AFE" w:rsidP="00890AFE">
            <w:pPr>
              <w:pStyle w:val="ListBullet2"/>
            </w:pPr>
            <w:r w:rsidRPr="00890AFE">
              <w:t>Marine Safety (Domestic Commercial Vessel) National Law</w:t>
            </w:r>
          </w:p>
          <w:p w:rsidR="00000000" w:rsidRPr="00890AFE" w:rsidP="00890AFE">
            <w:pPr>
              <w:pStyle w:val="ListBullet2"/>
            </w:pPr>
            <w:r w:rsidRPr="00890AFE">
              <w:t>National Standard for Commercial Vessels (NSCV)</w:t>
            </w:r>
          </w:p>
          <w:p w:rsidR="00000000" w:rsidRPr="00890AFE" w:rsidP="00890AFE">
            <w:pPr>
              <w:pStyle w:val="ListBullet"/>
            </w:pPr>
            <w:r w:rsidRPr="00890AFE">
              <w:t>principal design features of small vessels related to stability and watertight integrity</w:t>
            </w:r>
          </w:p>
          <w:p w:rsidR="00000000" w:rsidRPr="00890AFE" w:rsidP="00890AFE">
            <w:pPr>
              <w:pStyle w:val="ListBullet"/>
            </w:pPr>
            <w:r w:rsidRPr="00890AFE">
              <w:t>process of constructing commercial vessels</w:t>
            </w:r>
          </w:p>
          <w:p w:rsidR="00000000" w:rsidRPr="00890AFE" w:rsidP="00890AFE">
            <w:pPr>
              <w:pStyle w:val="ListBullet"/>
            </w:pPr>
            <w:r w:rsidRPr="00890AFE">
              <w:t>WHS/OHS requirements and safe work practices.</w:t>
            </w:r>
          </w:p>
        </w:tc>
      </w:tr>
    </w:tbl>
    <w:p w:rsidR="00000000" w:rsidRPr="00890AFE" w:rsidP="00890AFE">
      <w:pPr>
        <w:pStyle w:val="BodyText"/>
      </w:pPr>
    </w:p>
    <w:p w:rsidR="00000000" w:rsidRPr="00890AFE" w:rsidP="00890AFE">
      <w:pPr>
        <w:pStyle w:val="AllowPageBreak"/>
      </w:pPr>
    </w:p>
    <w:p w:rsidR="00000000" w:rsidRPr="00890AFE" w:rsidP="00890AFE">
      <w:pPr>
        <w:pStyle w:val="Heading1"/>
      </w:pPr>
      <w:bookmarkStart w:id="14" w:name="O_661956"/>
      <w:bookmarkEnd w:id="14"/>
      <w:r w:rsidRPr="00890AFE">
        <w:t>Assessment Conditions</w:t>
      </w:r>
    </w:p>
    <w:p w:rsidR="00000000" w:rsidRPr="00890AFE" w:rsidP="00446BD9">
      <w:pPr>
        <w:pStyle w:val="BodyText"/>
      </w:pPr>
      <w:r w:rsidRPr="00890AFE">
        <w:t>Assessors must satisfy National Vocational Education and Training Regulator (NVR)/Australian Quality Training Framework (AQTF) assessor requirements.</w:t>
      </w:r>
    </w:p>
    <w:p w:rsidR="00000000" w:rsidRPr="00890AFE" w:rsidP="00446BD9">
      <w:pPr>
        <w:pStyle w:val="BodyText"/>
      </w:pPr>
      <w:r w:rsidRPr="00890AFE">
        <w:t>Assessment must satisfy the National Vocational Education and Training Regulator (NVR)/Australian Quality Training Framework (AQTF) standards.</w:t>
      </w:r>
    </w:p>
    <w:p w:rsidR="00000000" w:rsidRPr="00890AFE" w:rsidP="00446BD9">
      <w:pPr>
        <w:pStyle w:val="BodyText"/>
      </w:pPr>
      <w:r w:rsidRPr="00890AFE">
        <w:t>Assessment processes and techniques must be appropriate to the language, literacy and numeracy requirements of t</w:t>
      </w:r>
      <w:r w:rsidRPr="00890AFE">
        <w:t xml:space="preserve">he work being performed and the needs of the candidate. </w:t>
      </w:r>
    </w:p>
    <w:p w:rsidR="00000000" w:rsidRPr="00890AFE" w:rsidP="00446BD9">
      <w:pPr>
        <w:pStyle w:val="BodyText"/>
      </w:pPr>
      <w:r w:rsidRPr="00890AFE">
        <w:t>Assessment must occur in workplace operational situations or where these are not available, in simulated workplace operational situations or an industry-approved marine operations site that replicat</w:t>
      </w:r>
      <w:r w:rsidRPr="00890AFE">
        <w:t xml:space="preserve">es workplace conditions. </w:t>
      </w:r>
    </w:p>
    <w:p w:rsidR="00000000" w:rsidRPr="00890AFE" w:rsidP="00446BD9">
      <w:pPr>
        <w:pStyle w:val="BodyText"/>
      </w:pPr>
      <w:r w:rsidRPr="00890AFE">
        <w:t>Resources for assessment include access to:</w:t>
      </w:r>
    </w:p>
    <w:p w:rsidR="00000000" w:rsidRPr="00890AFE" w:rsidP="00890AFE">
      <w:pPr>
        <w:pStyle w:val="ListBullet"/>
      </w:pPr>
      <w:r w:rsidRPr="00890AFE">
        <w:t>relevant regulatory and equipment documentation including workplace procedures, regulations, codes of practice and operation manuals that impacts on work activities</w:t>
      </w:r>
    </w:p>
    <w:p w:rsidR="00000000" w:rsidRPr="00890AFE" w:rsidP="00890AFE">
      <w:pPr>
        <w:pStyle w:val="ListBullet"/>
      </w:pPr>
      <w:r w:rsidRPr="00890AFE">
        <w:t>tools, equipment, m</w:t>
      </w:r>
      <w:r w:rsidRPr="00890AFE">
        <w:t>aterial and personal protective equipment currently used in industry.</w:t>
      </w:r>
    </w:p>
    <w:p w:rsidR="00000000" w:rsidRPr="00890AFE" w:rsidP="00890AFE">
      <w:pPr>
        <w:pStyle w:val="BodyText"/>
      </w:pPr>
    </w:p>
    <w:p w:rsidR="00000000" w:rsidRPr="00890AFE" w:rsidP="00446BD9">
      <w:pPr>
        <w:pStyle w:val="BodyText"/>
      </w:pPr>
      <w:r w:rsidRPr="00890AFE">
        <w:t>Performance should be demonstrated consistently over time and in a suitable range of contexts.</w:t>
      </w:r>
    </w:p>
    <w:p w:rsidR="00000000" w:rsidRPr="00890AFE" w:rsidP="00890AFE">
      <w:pPr>
        <w:pStyle w:val="Heading1"/>
      </w:pPr>
      <w:bookmarkStart w:id="15" w:name="O_661959"/>
      <w:bookmarkEnd w:id="15"/>
      <w:r w:rsidRPr="00890AFE">
        <w:t>Links</w:t>
      </w:r>
    </w:p>
    <w:p w:rsidR="00000000" w:rsidRPr="00890AFE" w:rsidP="00446BD9">
      <w:pPr>
        <w:pStyle w:val="BodyText"/>
      </w:pPr>
      <w:r w:rsidRPr="00890AF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4775E">
        <w:rPr>
          <w:rStyle w:val="Hyperlink"/>
        </w:rPr>
        <w:t>https://vetnet.gov.au/Pages/TrainingDocs.aspx?q=772efb7b-4cce-47fe-9bbd-ee3b1d1eb4c2</w:t>
      </w:r>
      <w:r>
        <w:fldChar w:fldCharType="end"/>
      </w:r>
    </w:p>
    <w:p w:rsidR="00000000" w:rsidRPr="00890AFE" w:rsidP="00890AFE"/>
    <w:sectPr w:rsidSect="00890A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A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AFE" w:rsidRPr="00446BD9" w:rsidP="00446B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A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BD9" w:rsidP="00890A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6BD9" w:rsidP="00890A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46BD9" w:rsidP="00890A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AFE" w:rsidP="00890AFE">
    <w:pPr>
      <w:pStyle w:val="Footer"/>
      <w:framePr w:wrap="around"/>
    </w:pPr>
    <w:r>
      <w:fldChar w:fldCharType="begin"/>
    </w:r>
    <w:r>
      <w:instrText xml:space="preserve"> DOCPROPERTY  Subject  \* MERGEFORMAT </w:instrText>
    </w:r>
    <w:r>
      <w:fldChar w:fldCharType="separate"/>
    </w:r>
    <w:r w:rsidR="00446BD9">
      <w:t>Approved</w:t>
    </w:r>
    <w:r w:rsidR="00446BD9">
      <w:fldChar w:fldCharType="end"/>
    </w:r>
    <w:r>
      <w:tab/>
      <w:t xml:space="preserve">Page </w:t>
    </w:r>
    <w:r>
      <w:fldChar w:fldCharType="begin"/>
    </w:r>
    <w:r>
      <w:instrText xml:space="preserve"> PAGE  \* Arabic  \* MERGEFORMAT </w:instrText>
    </w:r>
    <w:r>
      <w:fldChar w:fldCharType="separate"/>
    </w:r>
    <w:r w:rsidR="00446BD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6BD9">
      <w:rPr>
        <w:noProof/>
      </w:rPr>
      <w:t>5</w:t>
    </w:r>
    <w:r>
      <w:rPr>
        <w:noProof/>
      </w:rPr>
      <w:fldChar w:fldCharType="end"/>
    </w:r>
  </w:p>
  <w:p w:rsidR="00890AFE" w:rsidP="00890AFE">
    <w:pPr>
      <w:pStyle w:val="Footer"/>
      <w:framePr w:wrap="around"/>
    </w:pPr>
    <w:r>
      <w:t xml:space="preserve">© Commonwealth of Australia, </w:t>
    </w:r>
    <w:r>
      <w:fldChar w:fldCharType="begin"/>
    </w:r>
    <w:r>
      <w:instrText xml:space="preserve"> DATE  \@ "yyyy"  \* MERGEFORMAT </w:instrText>
    </w:r>
    <w:r>
      <w:fldChar w:fldCharType="separate"/>
    </w:r>
    <w:r w:rsidR="00446BD9">
      <w:rPr>
        <w:noProof/>
      </w:rPr>
      <w:t>2025</w:t>
    </w:r>
    <w:r>
      <w:fldChar w:fldCharType="end"/>
    </w:r>
    <w:r>
      <w:tab/>
    </w:r>
    <w:r>
      <w:fldChar w:fldCharType="begin"/>
    </w:r>
    <w:r>
      <w:instrText xml:space="preserve"> DOCPROPERTY  Author  \* MERGEFORMAT </w:instrText>
    </w:r>
    <w:r>
      <w:fldChar w:fldCharType="separate"/>
    </w:r>
    <w:r w:rsidR="00446BD9">
      <w:t>Industry Skills Australia</w:t>
    </w:r>
    <w:r w:rsidR="00446BD9">
      <w:fldChar w:fldCharType="end"/>
    </w:r>
  </w:p>
  <w:p w:rsidR="00890AFE" w:rsidP="00890A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A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B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0AFE" w:rsidRPr="00446BD9" w:rsidP="00446B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A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BD9" w:rsidRPr="002D2AF8" w:rsidP="00890AFE">
    <w:pPr>
      <w:pStyle w:val="Header"/>
      <w:framePr w:wrap="around"/>
    </w:pPr>
    <w:r>
      <w:fldChar w:fldCharType="begin"/>
    </w:r>
    <w:r>
      <w:instrText xml:space="preserve"> TITLE   \* MERGEFORMAT </w:instrText>
    </w:r>
    <w:r>
      <w:fldChar w:fldCharType="separate"/>
    </w:r>
    <w:r>
      <w:t>MARM002 Apply vessel construction theory to marine survey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6BD9" w:rsidP="00890A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AFE" w:rsidRPr="002D2AF8" w:rsidP="00890AFE">
    <w:pPr>
      <w:pStyle w:val="Header"/>
      <w:framePr w:wrap="around"/>
    </w:pPr>
    <w:r>
      <w:fldChar w:fldCharType="begin"/>
    </w:r>
    <w:r>
      <w:instrText xml:space="preserve"> TITLE   \* MERGEFORMAT </w:instrText>
    </w:r>
    <w:r>
      <w:fldChar w:fldCharType="separate"/>
    </w:r>
    <w:r w:rsidR="00446BD9">
      <w:t>MARM002 Apply vessel construction theory to marine survey tasks</w:t>
    </w:r>
    <w:r w:rsidR="00446BD9">
      <w:fldChar w:fldCharType="end"/>
    </w:r>
    <w:r>
      <w:tab/>
      <w:t xml:space="preserve">Date this document was generated: </w:t>
    </w:r>
    <w:r>
      <w:fldChar w:fldCharType="begin"/>
    </w:r>
    <w:r>
      <w:instrText xml:space="preserve"> CREATEDATE  \@ "d MMMM yyyy"  \* MERGEFORMAT </w:instrText>
    </w:r>
    <w:r>
      <w:fldChar w:fldCharType="separate"/>
    </w:r>
    <w:r w:rsidR="00446BD9">
      <w:rPr>
        <w:noProof/>
      </w:rPr>
      <w:t>2 March 2025</w:t>
    </w:r>
    <w:r>
      <w:fldChar w:fldCharType="end"/>
    </w:r>
  </w:p>
  <w:p w:rsidR="00890AFE" w:rsidP="00890A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CEC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5C44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3092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A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0AFE"/>
    <w:pPr>
      <w:spacing w:before="360" w:after="60"/>
      <w:outlineLvl w:val="0"/>
    </w:pPr>
    <w:rPr>
      <w:sz w:val="32"/>
    </w:rPr>
  </w:style>
  <w:style w:type="paragraph" w:styleId="Heading2">
    <w:name w:val="heading 2"/>
    <w:basedOn w:val="HeadingBase"/>
    <w:next w:val="BodyText"/>
    <w:link w:val="Heading2Char"/>
    <w:qFormat/>
    <w:rsid w:val="00890AFE"/>
    <w:pPr>
      <w:keepLines/>
      <w:spacing w:before="240" w:after="120"/>
      <w:outlineLvl w:val="1"/>
    </w:pPr>
    <w:rPr>
      <w:sz w:val="28"/>
      <w:szCs w:val="40"/>
    </w:rPr>
  </w:style>
  <w:style w:type="paragraph" w:styleId="Heading3">
    <w:name w:val="heading 3"/>
    <w:basedOn w:val="HeadingBase"/>
    <w:next w:val="BodyText"/>
    <w:link w:val="Heading3Char"/>
    <w:qFormat/>
    <w:rsid w:val="00890AFE"/>
    <w:pPr>
      <w:spacing w:before="180" w:after="120"/>
      <w:outlineLvl w:val="2"/>
    </w:pPr>
    <w:rPr>
      <w:spacing w:val="-10"/>
      <w:kern w:val="32"/>
    </w:rPr>
  </w:style>
  <w:style w:type="paragraph" w:styleId="Heading4">
    <w:name w:val="heading 4"/>
    <w:basedOn w:val="HeadingBase"/>
    <w:next w:val="BodyText"/>
    <w:link w:val="Heading4Char"/>
    <w:qFormat/>
    <w:rsid w:val="00890AFE"/>
    <w:pPr>
      <w:spacing w:before="160" w:after="120"/>
      <w:outlineLvl w:val="3"/>
    </w:pPr>
    <w:rPr>
      <w:sz w:val="22"/>
    </w:rPr>
  </w:style>
  <w:style w:type="paragraph" w:styleId="Heading5">
    <w:name w:val="heading 5"/>
    <w:basedOn w:val="HeadingBase"/>
    <w:next w:val="Normal"/>
    <w:link w:val="Heading5Char"/>
    <w:qFormat/>
    <w:rsid w:val="00890AFE"/>
    <w:pPr>
      <w:spacing w:before="80"/>
      <w:outlineLvl w:val="4"/>
    </w:pPr>
    <w:rPr>
      <w:color w:val="918585"/>
      <w:sz w:val="20"/>
    </w:rPr>
  </w:style>
  <w:style w:type="paragraph" w:styleId="Heading6">
    <w:name w:val="heading 6"/>
    <w:basedOn w:val="HeadingBase"/>
    <w:next w:val="Normal"/>
    <w:link w:val="Heading6Char"/>
    <w:qFormat/>
    <w:rsid w:val="00890AFE"/>
    <w:pPr>
      <w:spacing w:before="60"/>
      <w:outlineLvl w:val="5"/>
    </w:pPr>
    <w:rPr>
      <w:color w:val="918585"/>
      <w:sz w:val="20"/>
    </w:rPr>
  </w:style>
  <w:style w:type="paragraph" w:styleId="Heading7">
    <w:name w:val="heading 7"/>
    <w:basedOn w:val="Normal"/>
    <w:next w:val="Normal"/>
    <w:link w:val="Heading7Char"/>
    <w:qFormat/>
    <w:rsid w:val="00890AFE"/>
    <w:pPr>
      <w:ind w:left="720"/>
      <w:outlineLvl w:val="6"/>
    </w:pPr>
    <w:rPr>
      <w:i/>
    </w:rPr>
  </w:style>
  <w:style w:type="paragraph" w:styleId="Heading8">
    <w:name w:val="heading 8"/>
    <w:basedOn w:val="Normal"/>
    <w:next w:val="Normal"/>
    <w:link w:val="Heading8Char"/>
    <w:qFormat/>
    <w:rsid w:val="00890AFE"/>
    <w:pPr>
      <w:ind w:left="720"/>
      <w:outlineLvl w:val="7"/>
    </w:pPr>
    <w:rPr>
      <w:i/>
    </w:rPr>
  </w:style>
  <w:style w:type="paragraph" w:styleId="Heading9">
    <w:name w:val="heading 9"/>
    <w:basedOn w:val="Normal"/>
    <w:next w:val="Normal"/>
    <w:link w:val="Heading9Char"/>
    <w:qFormat/>
    <w:rsid w:val="00890AFE"/>
    <w:pPr>
      <w:ind w:left="720"/>
      <w:outlineLvl w:val="8"/>
    </w:pPr>
    <w:rPr>
      <w:i/>
    </w:rPr>
  </w:style>
  <w:style w:type="character" w:default="1" w:styleId="DefaultParagraphFont">
    <w:name w:val="Default Paragraph Font"/>
    <w:uiPriority w:val="1"/>
    <w:unhideWhenUsed/>
    <w:rsid w:val="00890A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AFE"/>
  </w:style>
  <w:style w:type="character" w:customStyle="1" w:styleId="Heading1Char">
    <w:name w:val="Heading 1 Char"/>
    <w:basedOn w:val="DefaultParagraphFont"/>
    <w:link w:val="Heading1"/>
    <w:rsid w:val="00890AFE"/>
    <w:rPr>
      <w:rFonts w:ascii="Times New Roman" w:eastAsia="Times New Roman" w:hAnsi="Times New Roman" w:cs="Times New Roman"/>
      <w:b/>
      <w:sz w:val="32"/>
      <w:szCs w:val="20"/>
      <w:lang w:eastAsia="en-US"/>
    </w:rPr>
  </w:style>
  <w:style w:type="paragraph" w:styleId="BodyText">
    <w:name w:val="Body Text"/>
    <w:basedOn w:val="Normal"/>
    <w:link w:val="BodyTextChar"/>
    <w:rsid w:val="00890A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0AFE"/>
    <w:rPr>
      <w:rFonts w:ascii="Times New Roman" w:eastAsia="Times New Roman" w:hAnsi="Times New Roman" w:cs="Times New Roman"/>
      <w:sz w:val="24"/>
      <w:lang w:eastAsia="en-US"/>
    </w:rPr>
  </w:style>
  <w:style w:type="paragraph" w:styleId="ListBullet">
    <w:name w:val="List Bullet"/>
    <w:basedOn w:val="List"/>
    <w:rsid w:val="00890AFE"/>
    <w:pPr>
      <w:numPr>
        <w:numId w:val="12"/>
      </w:numPr>
      <w:tabs>
        <w:tab w:val="clear" w:pos="340"/>
      </w:tabs>
      <w:spacing w:before="40" w:after="40"/>
    </w:pPr>
  </w:style>
  <w:style w:type="character" w:customStyle="1" w:styleId="SpecialBold">
    <w:name w:val="Special Bold"/>
    <w:basedOn w:val="DefaultParagraphFont"/>
    <w:rsid w:val="00890AFE"/>
    <w:rPr>
      <w:b/>
      <w:spacing w:val="0"/>
    </w:rPr>
  </w:style>
  <w:style w:type="paragraph" w:styleId="ListBullet2">
    <w:name w:val="List Bullet 2"/>
    <w:basedOn w:val="List2"/>
    <w:rsid w:val="00890AFE"/>
    <w:pPr>
      <w:numPr>
        <w:numId w:val="13"/>
      </w:numPr>
      <w:tabs>
        <w:tab w:val="clear" w:pos="680"/>
      </w:tabs>
    </w:pPr>
  </w:style>
  <w:style w:type="paragraph" w:customStyle="1" w:styleId="SuperHeading">
    <w:name w:val="SuperHeading"/>
    <w:basedOn w:val="Normal"/>
    <w:rsid w:val="00890AFE"/>
    <w:pPr>
      <w:spacing w:before="240" w:after="120"/>
      <w:outlineLvl w:val="0"/>
    </w:pPr>
    <w:rPr>
      <w:rFonts w:ascii="Times New Roman" w:hAnsi="Times New Roman"/>
      <w:b/>
      <w:sz w:val="32"/>
    </w:rPr>
  </w:style>
  <w:style w:type="paragraph" w:customStyle="1" w:styleId="AllowPageBreak">
    <w:name w:val="AllowPageBreak"/>
    <w:rsid w:val="00890A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0A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A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A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A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A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A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0A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0AFE"/>
    <w:rPr>
      <w:rFonts w:ascii="Courier New" w:eastAsia="Times New Roman" w:hAnsi="Courier New" w:cs="Times New Roman"/>
      <w:i/>
      <w:szCs w:val="20"/>
      <w:lang w:eastAsia="en-US"/>
    </w:rPr>
  </w:style>
  <w:style w:type="paragraph" w:customStyle="1" w:styleId="HeadingBase">
    <w:name w:val="Heading Base"/>
    <w:rsid w:val="00890A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AFE"/>
    <w:pPr>
      <w:tabs>
        <w:tab w:val="right" w:leader="dot" w:pos="9072"/>
      </w:tabs>
      <w:ind w:left="567"/>
    </w:pPr>
    <w:rPr>
      <w:szCs w:val="22"/>
    </w:rPr>
  </w:style>
  <w:style w:type="paragraph" w:customStyle="1" w:styleId="TOCBase">
    <w:name w:val="TOC Base"/>
    <w:rsid w:val="00890A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AFE"/>
    <w:pPr>
      <w:tabs>
        <w:tab w:val="right" w:leader="dot" w:pos="9072"/>
      </w:tabs>
      <w:spacing w:before="40" w:after="40"/>
      <w:ind w:left="284"/>
    </w:pPr>
    <w:rPr>
      <w:rFonts w:ascii="Times New Roman" w:hAnsi="Times New Roman"/>
    </w:rPr>
  </w:style>
  <w:style w:type="paragraph" w:styleId="TOC1">
    <w:name w:val="toc 1"/>
    <w:basedOn w:val="TOCBase"/>
    <w:next w:val="Normal"/>
    <w:rsid w:val="00890A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0A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AFE"/>
    <w:rPr>
      <w:rFonts w:ascii="Times New Roman" w:eastAsia="Times New Roman" w:hAnsi="Times New Roman" w:cs="Times New Roman"/>
      <w:sz w:val="16"/>
      <w:lang w:eastAsia="en-US"/>
    </w:rPr>
  </w:style>
  <w:style w:type="paragraph" w:styleId="Title">
    <w:name w:val="Title"/>
    <w:basedOn w:val="HeadingBase"/>
    <w:link w:val="TitleChar"/>
    <w:qFormat/>
    <w:rsid w:val="00890AFE"/>
    <w:pPr>
      <w:spacing w:before="5040"/>
      <w:jc w:val="center"/>
    </w:pPr>
    <w:rPr>
      <w:sz w:val="48"/>
      <w:szCs w:val="72"/>
      <w:lang w:val="en-US"/>
    </w:rPr>
  </w:style>
  <w:style w:type="character" w:customStyle="1" w:styleId="TitleChar">
    <w:name w:val="Title Char"/>
    <w:basedOn w:val="DefaultParagraphFont"/>
    <w:link w:val="Title"/>
    <w:rsid w:val="00890A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AFE"/>
    <w:pPr>
      <w:tabs>
        <w:tab w:val="left" w:pos="3600"/>
        <w:tab w:val="left" w:pos="3958"/>
      </w:tabs>
    </w:pPr>
  </w:style>
  <w:style w:type="paragraph" w:styleId="List">
    <w:name w:val="List"/>
    <w:basedOn w:val="BodyText"/>
    <w:next w:val="BodyText"/>
    <w:rsid w:val="00890AFE"/>
    <w:pPr>
      <w:tabs>
        <w:tab w:val="left" w:pos="340"/>
      </w:tabs>
      <w:spacing w:before="60" w:after="60"/>
      <w:ind w:left="340" w:hanging="340"/>
    </w:pPr>
  </w:style>
  <w:style w:type="paragraph" w:customStyle="1" w:styleId="Note">
    <w:name w:val="Note"/>
    <w:basedOn w:val="BodyText"/>
    <w:rsid w:val="00890A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0AFE"/>
    <w:pPr>
      <w:framePr w:wrap="auto" w:hAnchor="text" w:y="6049"/>
    </w:pPr>
    <w:rPr>
      <w:color w:val="000000"/>
      <w:sz w:val="40"/>
    </w:rPr>
  </w:style>
  <w:style w:type="paragraph" w:customStyle="1" w:styleId="TOCTitle">
    <w:name w:val="TOCTitle"/>
    <w:basedOn w:val="Heading1"/>
    <w:rsid w:val="00890AFE"/>
    <w:pPr>
      <w:spacing w:after="240"/>
      <w:jc w:val="center"/>
      <w:outlineLvl w:val="9"/>
    </w:pPr>
    <w:rPr>
      <w:caps/>
    </w:rPr>
  </w:style>
  <w:style w:type="paragraph" w:customStyle="1" w:styleId="Version">
    <w:name w:val="Version"/>
    <w:rsid w:val="00890A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0AFE"/>
    <w:pPr>
      <w:keepNext w:val="0"/>
      <w:tabs>
        <w:tab w:val="right" w:pos="4176"/>
      </w:tabs>
      <w:ind w:left="198" w:hanging="198"/>
    </w:pPr>
    <w:rPr>
      <w:rFonts w:ascii="Garamond" w:hAnsi="Garamond"/>
    </w:rPr>
  </w:style>
  <w:style w:type="paragraph" w:styleId="IndexHeading">
    <w:name w:val="index heading"/>
    <w:basedOn w:val="Normal"/>
    <w:next w:val="Index1"/>
    <w:semiHidden/>
    <w:rsid w:val="00890AFE"/>
    <w:pPr>
      <w:spacing w:before="120" w:after="120"/>
    </w:pPr>
    <w:rPr>
      <w:rFonts w:ascii="Arial" w:hAnsi="Arial"/>
      <w:b/>
      <w:color w:val="918585"/>
      <w:sz w:val="24"/>
    </w:rPr>
  </w:style>
  <w:style w:type="paragraph" w:styleId="Header">
    <w:name w:val="header"/>
    <w:basedOn w:val="Normal"/>
    <w:link w:val="HeaderChar"/>
    <w:rsid w:val="00890A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AFE"/>
    <w:rPr>
      <w:rFonts w:ascii="Times New Roman" w:eastAsia="Times New Roman" w:hAnsi="Times New Roman" w:cs="Times New Roman"/>
      <w:sz w:val="16"/>
      <w:szCs w:val="20"/>
      <w:lang w:val="en-GB" w:eastAsia="en-US"/>
    </w:rPr>
  </w:style>
  <w:style w:type="paragraph" w:customStyle="1" w:styleId="Chapter">
    <w:name w:val="Chapter"/>
    <w:basedOn w:val="Normal"/>
    <w:rsid w:val="00890AFE"/>
    <w:pPr>
      <w:spacing w:before="240"/>
    </w:pPr>
    <w:rPr>
      <w:rFonts w:ascii="Times New Roman" w:hAnsi="Times New Roman"/>
      <w:smallCaps/>
      <w:spacing w:val="80"/>
      <w:sz w:val="28"/>
    </w:rPr>
  </w:style>
  <w:style w:type="paragraph" w:customStyle="1" w:styleId="InChapter">
    <w:name w:val="InChapter"/>
    <w:basedOn w:val="Heading3"/>
    <w:rsid w:val="00890AFE"/>
    <w:pPr>
      <w:spacing w:after="240"/>
      <w:outlineLvl w:val="9"/>
    </w:pPr>
    <w:rPr>
      <w:noProof/>
    </w:rPr>
  </w:style>
  <w:style w:type="paragraph" w:styleId="Index2">
    <w:name w:val="index 2"/>
    <w:basedOn w:val="Normal"/>
    <w:next w:val="Normal"/>
    <w:semiHidden/>
    <w:rsid w:val="00890AFE"/>
    <w:pPr>
      <w:tabs>
        <w:tab w:val="right" w:pos="4176"/>
      </w:tabs>
      <w:ind w:left="568" w:hanging="284"/>
    </w:pPr>
    <w:rPr>
      <w:rFonts w:ascii="Garamond" w:hAnsi="Garamond"/>
    </w:rPr>
  </w:style>
  <w:style w:type="paragraph" w:customStyle="1" w:styleId="Byline">
    <w:name w:val="Byline"/>
    <w:rsid w:val="00890A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AFE"/>
    <w:pPr>
      <w:tabs>
        <w:tab w:val="clear" w:pos="3600"/>
        <w:tab w:val="clear" w:pos="3958"/>
      </w:tabs>
      <w:jc w:val="right"/>
    </w:pPr>
  </w:style>
  <w:style w:type="character" w:styleId="Emphasis">
    <w:name w:val="Emphasis"/>
    <w:basedOn w:val="DefaultParagraphFont"/>
    <w:qFormat/>
    <w:rsid w:val="00890AFE"/>
    <w:rPr>
      <w:i/>
    </w:rPr>
  </w:style>
  <w:style w:type="paragraph" w:styleId="Caption">
    <w:name w:val="caption"/>
    <w:basedOn w:val="BodyText"/>
    <w:next w:val="Normal"/>
    <w:qFormat/>
    <w:rsid w:val="00890AFE"/>
    <w:pPr>
      <w:framePr w:w="2268" w:hSpace="181" w:vSpace="181" w:wrap="around" w:vAnchor="text" w:hAnchor="page" w:x="1135" w:y="285" w:anchorLock="1"/>
    </w:pPr>
    <w:rPr>
      <w:i/>
    </w:rPr>
  </w:style>
  <w:style w:type="paragraph" w:customStyle="1" w:styleId="MiniTOCTitle">
    <w:name w:val="MiniTOCTitle"/>
    <w:basedOn w:val="Heading4"/>
    <w:rsid w:val="00890AFE"/>
    <w:pPr>
      <w:spacing w:before="240"/>
      <w:outlineLvl w:val="9"/>
    </w:pPr>
    <w:rPr>
      <w:noProof/>
      <w:sz w:val="24"/>
    </w:rPr>
  </w:style>
  <w:style w:type="paragraph" w:customStyle="1" w:styleId="MiniTOCItem">
    <w:name w:val="MiniTOCItem"/>
    <w:basedOn w:val="ListBullet"/>
    <w:rsid w:val="00890AFE"/>
    <w:pPr>
      <w:numPr>
        <w:numId w:val="0"/>
      </w:numPr>
      <w:tabs>
        <w:tab w:val="right" w:leader="dot" w:pos="6521"/>
      </w:tabs>
      <w:spacing w:before="0" w:after="0"/>
    </w:pPr>
  </w:style>
  <w:style w:type="paragraph" w:customStyle="1" w:styleId="TOFTitle">
    <w:name w:val="TOFTitle"/>
    <w:basedOn w:val="TOCTitle"/>
    <w:rsid w:val="00890AFE"/>
  </w:style>
  <w:style w:type="paragraph" w:styleId="TableofFigures">
    <w:name w:val="table of figures"/>
    <w:basedOn w:val="Normal"/>
    <w:next w:val="Normal"/>
    <w:semiHidden/>
    <w:rsid w:val="00890AFE"/>
    <w:pPr>
      <w:tabs>
        <w:tab w:val="right" w:leader="dot" w:pos="9072"/>
      </w:tabs>
      <w:ind w:left="970" w:hanging="403"/>
    </w:pPr>
    <w:rPr>
      <w:rFonts w:ascii="Times New Roman" w:hAnsi="Times New Roman"/>
      <w:b/>
    </w:rPr>
  </w:style>
  <w:style w:type="paragraph" w:styleId="ListNumber">
    <w:name w:val="List Number"/>
    <w:basedOn w:val="List"/>
    <w:rsid w:val="00890AFE"/>
    <w:pPr>
      <w:numPr>
        <w:numId w:val="15"/>
      </w:numPr>
      <w:tabs>
        <w:tab w:val="clear" w:pos="340"/>
      </w:tabs>
    </w:pPr>
  </w:style>
  <w:style w:type="character" w:customStyle="1" w:styleId="WingdingSymbols">
    <w:name w:val="Wingding Symbols"/>
    <w:rsid w:val="00890AFE"/>
    <w:rPr>
      <w:rFonts w:ascii="Wingdings" w:hAnsi="Wingdings"/>
    </w:rPr>
  </w:style>
  <w:style w:type="paragraph" w:customStyle="1" w:styleId="TableHeading">
    <w:name w:val="Table Heading"/>
    <w:basedOn w:val="HeadingBase"/>
    <w:rsid w:val="00890AFE"/>
    <w:pPr>
      <w:keepLines/>
      <w:pBdr>
        <w:bottom w:val="single" w:sz="6" w:space="1" w:color="918585"/>
      </w:pBdr>
      <w:spacing w:before="240"/>
    </w:pPr>
  </w:style>
  <w:style w:type="character" w:customStyle="1" w:styleId="HotSpot">
    <w:name w:val="HotSpot"/>
    <w:rsid w:val="00890AFE"/>
    <w:rPr>
      <w:color w:val="0033CC"/>
      <w:u w:val="none"/>
    </w:rPr>
  </w:style>
  <w:style w:type="paragraph" w:customStyle="1" w:styleId="BodyTextRight">
    <w:name w:val="Body Text Right"/>
    <w:basedOn w:val="BodyText"/>
    <w:rsid w:val="00890AFE"/>
    <w:pPr>
      <w:spacing w:before="0" w:after="0"/>
      <w:jc w:val="right"/>
    </w:pPr>
  </w:style>
  <w:style w:type="paragraph" w:styleId="Index3">
    <w:name w:val="index 3"/>
    <w:basedOn w:val="ListNumber2"/>
    <w:next w:val="Normal"/>
    <w:semiHidden/>
    <w:rsid w:val="00890AFE"/>
    <w:pPr>
      <w:numPr>
        <w:numId w:val="0"/>
      </w:numPr>
      <w:tabs>
        <w:tab w:val="right" w:leader="dot" w:pos="4176"/>
      </w:tabs>
    </w:pPr>
  </w:style>
  <w:style w:type="paragraph" w:styleId="ListNumber2">
    <w:name w:val="List Number 2"/>
    <w:basedOn w:val="List2"/>
    <w:rsid w:val="00890AFE"/>
    <w:pPr>
      <w:numPr>
        <w:numId w:val="10"/>
      </w:numPr>
      <w:tabs>
        <w:tab w:val="clear" w:pos="1060"/>
      </w:tabs>
    </w:pPr>
  </w:style>
  <w:style w:type="paragraph" w:customStyle="1" w:styleId="MarginNote">
    <w:name w:val="Margin Note"/>
    <w:basedOn w:val="BodyText"/>
    <w:rsid w:val="00890A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A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A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0AFE"/>
    <w:rPr>
      <w:sz w:val="32"/>
    </w:rPr>
  </w:style>
  <w:style w:type="paragraph" w:customStyle="1" w:styleId="HeadingProcedure">
    <w:name w:val="Heading Procedure"/>
    <w:basedOn w:val="HeadingBase"/>
    <w:next w:val="Normal"/>
    <w:rsid w:val="00890AFE"/>
    <w:pPr>
      <w:tabs>
        <w:tab w:val="left" w:pos="0"/>
      </w:tabs>
      <w:spacing w:before="120" w:after="60"/>
    </w:pPr>
    <w:rPr>
      <w:i/>
      <w:color w:val="918585"/>
      <w:sz w:val="22"/>
    </w:rPr>
  </w:style>
  <w:style w:type="paragraph" w:customStyle="1" w:styleId="TableBodyText">
    <w:name w:val="Table Body Text"/>
    <w:basedOn w:val="BodyText"/>
    <w:rsid w:val="00890AFE"/>
    <w:pPr>
      <w:spacing w:before="60" w:after="60"/>
    </w:pPr>
  </w:style>
  <w:style w:type="paragraph" w:styleId="ListContinue">
    <w:name w:val="List Continue"/>
    <w:basedOn w:val="List"/>
    <w:rsid w:val="00890AFE"/>
    <w:pPr>
      <w:ind w:firstLine="0"/>
    </w:pPr>
  </w:style>
  <w:style w:type="paragraph" w:customStyle="1" w:styleId="ListNote">
    <w:name w:val="List Note"/>
    <w:basedOn w:val="List"/>
    <w:rsid w:val="00890AFE"/>
    <w:pPr>
      <w:pBdr>
        <w:top w:val="single" w:sz="6" w:space="2" w:color="918585"/>
        <w:bottom w:val="single" w:sz="6" w:space="2" w:color="918585"/>
      </w:pBdr>
      <w:tabs>
        <w:tab w:val="left" w:pos="1021"/>
      </w:tabs>
      <w:ind w:firstLine="0"/>
    </w:pPr>
  </w:style>
  <w:style w:type="paragraph" w:customStyle="1" w:styleId="Warning">
    <w:name w:val="Warning"/>
    <w:basedOn w:val="BodyText"/>
    <w:rsid w:val="00890AFE"/>
    <w:pPr>
      <w:shd w:val="clear" w:color="auto" w:fill="D9D9D9"/>
      <w:tabs>
        <w:tab w:val="left" w:pos="992"/>
      </w:tabs>
      <w:ind w:left="119" w:right="119"/>
    </w:pPr>
    <w:rPr>
      <w:sz w:val="20"/>
    </w:rPr>
  </w:style>
  <w:style w:type="paragraph" w:customStyle="1" w:styleId="MarginIcons">
    <w:name w:val="Margin Icons"/>
    <w:basedOn w:val="BodyText"/>
    <w:rsid w:val="00890A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AFE"/>
    <w:rPr>
      <w:rFonts w:ascii="Courier New" w:hAnsi="Courier New"/>
    </w:rPr>
  </w:style>
  <w:style w:type="paragraph" w:customStyle="1" w:styleId="NoteBullet">
    <w:name w:val="Note Bullet"/>
    <w:basedOn w:val="Note"/>
    <w:rsid w:val="00890AFE"/>
    <w:pPr>
      <w:tabs>
        <w:tab w:val="clear" w:pos="680"/>
      </w:tabs>
      <w:spacing w:before="60" w:after="60"/>
    </w:pPr>
  </w:style>
  <w:style w:type="paragraph" w:customStyle="1" w:styleId="SubHeading2">
    <w:name w:val="SubHeading2"/>
    <w:basedOn w:val="HeadingBase"/>
    <w:rsid w:val="00890AFE"/>
    <w:pPr>
      <w:spacing w:before="240" w:after="60"/>
    </w:pPr>
    <w:rPr>
      <w:sz w:val="20"/>
    </w:rPr>
  </w:style>
  <w:style w:type="paragraph" w:customStyle="1" w:styleId="SubHeading1">
    <w:name w:val="SubHeading1"/>
    <w:basedOn w:val="HeadingBase"/>
    <w:rsid w:val="00890AFE"/>
    <w:pPr>
      <w:spacing w:before="240" w:after="60"/>
    </w:pPr>
    <w:rPr>
      <w:color w:val="918585"/>
      <w:sz w:val="22"/>
    </w:rPr>
  </w:style>
  <w:style w:type="paragraph" w:customStyle="1" w:styleId="SideHeading">
    <w:name w:val="Side Heading"/>
    <w:basedOn w:val="HeadingBase"/>
    <w:rsid w:val="00890A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AFE"/>
    <w:pPr>
      <w:tabs>
        <w:tab w:val="num" w:pos="360"/>
      </w:tabs>
    </w:pPr>
  </w:style>
  <w:style w:type="paragraph" w:styleId="PlainText">
    <w:name w:val="Plain Text"/>
    <w:basedOn w:val="Normal"/>
    <w:link w:val="PlainTextChar"/>
    <w:rsid w:val="00890AFE"/>
    <w:rPr>
      <w:sz w:val="20"/>
    </w:rPr>
  </w:style>
  <w:style w:type="character" w:customStyle="1" w:styleId="PlainTextChar">
    <w:name w:val="Plain Text Char"/>
    <w:basedOn w:val="DefaultParagraphFont"/>
    <w:link w:val="PlainText"/>
    <w:rsid w:val="00890AFE"/>
    <w:rPr>
      <w:rFonts w:ascii="Courier New" w:eastAsia="Times New Roman" w:hAnsi="Courier New" w:cs="Times New Roman"/>
      <w:sz w:val="20"/>
      <w:szCs w:val="20"/>
      <w:lang w:eastAsia="en-US"/>
    </w:rPr>
  </w:style>
  <w:style w:type="character" w:customStyle="1" w:styleId="MenuOption">
    <w:name w:val="Menu Option"/>
    <w:basedOn w:val="DefaultParagraphFont"/>
    <w:rsid w:val="00890AFE"/>
    <w:rPr>
      <w:b/>
      <w:smallCaps/>
    </w:rPr>
  </w:style>
  <w:style w:type="paragraph" w:customStyle="1" w:styleId="TableListNumber">
    <w:name w:val="Table List Number"/>
    <w:basedOn w:val="ListNumber"/>
    <w:rsid w:val="00890AFE"/>
    <w:pPr>
      <w:numPr>
        <w:numId w:val="0"/>
      </w:numPr>
    </w:pPr>
  </w:style>
  <w:style w:type="paragraph" w:styleId="TOC4">
    <w:name w:val="toc 4"/>
    <w:basedOn w:val="TOCBase"/>
    <w:next w:val="Normal"/>
    <w:semiHidden/>
    <w:rsid w:val="00890AFE"/>
    <w:pPr>
      <w:tabs>
        <w:tab w:val="right" w:leader="dot" w:pos="9071"/>
      </w:tabs>
      <w:ind w:left="1701"/>
    </w:pPr>
  </w:style>
  <w:style w:type="paragraph" w:customStyle="1" w:styleId="ListAlpha">
    <w:name w:val="List Alpha"/>
    <w:basedOn w:val="List"/>
    <w:rsid w:val="00890AFE"/>
    <w:pPr>
      <w:numPr>
        <w:numId w:val="9"/>
      </w:numPr>
    </w:pPr>
  </w:style>
  <w:style w:type="paragraph" w:customStyle="1" w:styleId="ListAlpha2">
    <w:name w:val="List Alpha 2"/>
    <w:basedOn w:val="List2"/>
    <w:rsid w:val="00890AFE"/>
    <w:pPr>
      <w:numPr>
        <w:numId w:val="8"/>
      </w:numPr>
    </w:pPr>
  </w:style>
  <w:style w:type="paragraph" w:styleId="List2">
    <w:name w:val="List 2"/>
    <w:basedOn w:val="BodyText"/>
    <w:rsid w:val="00890AFE"/>
    <w:pPr>
      <w:tabs>
        <w:tab w:val="left" w:pos="680"/>
      </w:tabs>
      <w:spacing w:before="60" w:after="60"/>
      <w:ind w:left="680" w:hanging="340"/>
    </w:pPr>
  </w:style>
  <w:style w:type="paragraph" w:styleId="List3">
    <w:name w:val="List 3"/>
    <w:basedOn w:val="BodyText"/>
    <w:rsid w:val="00890AFE"/>
    <w:pPr>
      <w:tabs>
        <w:tab w:val="left" w:pos="1021"/>
      </w:tabs>
      <w:spacing w:before="60" w:after="60"/>
      <w:ind w:left="1020" w:hanging="340"/>
    </w:pPr>
  </w:style>
  <w:style w:type="paragraph" w:styleId="List4">
    <w:name w:val="List 4"/>
    <w:basedOn w:val="BodyText"/>
    <w:rsid w:val="00890AFE"/>
    <w:pPr>
      <w:tabs>
        <w:tab w:val="left" w:pos="1361"/>
      </w:tabs>
      <w:spacing w:before="60" w:after="60"/>
      <w:ind w:left="1361" w:hanging="340"/>
    </w:pPr>
  </w:style>
  <w:style w:type="paragraph" w:styleId="List5">
    <w:name w:val="List 5"/>
    <w:basedOn w:val="BodyText"/>
    <w:rsid w:val="00890AFE"/>
    <w:pPr>
      <w:tabs>
        <w:tab w:val="left" w:pos="1701"/>
      </w:tabs>
      <w:spacing w:before="60" w:after="60"/>
      <w:ind w:left="1701" w:hanging="340"/>
    </w:pPr>
  </w:style>
  <w:style w:type="paragraph" w:styleId="ListBullet3">
    <w:name w:val="List Bullet 3"/>
    <w:basedOn w:val="List3"/>
    <w:rsid w:val="00890AFE"/>
    <w:pPr>
      <w:numPr>
        <w:numId w:val="14"/>
      </w:numPr>
      <w:tabs>
        <w:tab w:val="clear" w:pos="1021"/>
      </w:tabs>
      <w:ind w:left="1037" w:hanging="357"/>
    </w:pPr>
  </w:style>
  <w:style w:type="paragraph" w:styleId="ListBullet4">
    <w:name w:val="List Bullet 4"/>
    <w:basedOn w:val="List4"/>
    <w:rsid w:val="00890AFE"/>
    <w:pPr>
      <w:numPr>
        <w:numId w:val="3"/>
      </w:numPr>
      <w:tabs>
        <w:tab w:val="clear" w:pos="1361"/>
      </w:tabs>
    </w:pPr>
  </w:style>
  <w:style w:type="paragraph" w:styleId="ListBullet5">
    <w:name w:val="List Bullet 5"/>
    <w:basedOn w:val="List5"/>
    <w:rsid w:val="00890AFE"/>
    <w:pPr>
      <w:numPr>
        <w:numId w:val="4"/>
      </w:numPr>
    </w:pPr>
  </w:style>
  <w:style w:type="paragraph" w:styleId="ListContinue2">
    <w:name w:val="List Continue 2"/>
    <w:basedOn w:val="List2"/>
    <w:rsid w:val="00890AFE"/>
    <w:pPr>
      <w:ind w:firstLine="0"/>
    </w:pPr>
  </w:style>
  <w:style w:type="paragraph" w:styleId="ListContinue3">
    <w:name w:val="List Continue 3"/>
    <w:basedOn w:val="List3"/>
    <w:rsid w:val="00890AFE"/>
    <w:pPr>
      <w:ind w:left="1021" w:firstLine="0"/>
    </w:pPr>
  </w:style>
  <w:style w:type="paragraph" w:styleId="ListContinue4">
    <w:name w:val="List Continue 4"/>
    <w:basedOn w:val="List4"/>
    <w:rsid w:val="00890AFE"/>
    <w:pPr>
      <w:ind w:firstLine="0"/>
    </w:pPr>
  </w:style>
  <w:style w:type="paragraph" w:styleId="ListContinue5">
    <w:name w:val="List Continue 5"/>
    <w:basedOn w:val="List5"/>
    <w:rsid w:val="00890AFE"/>
    <w:pPr>
      <w:ind w:firstLine="0"/>
    </w:pPr>
  </w:style>
  <w:style w:type="paragraph" w:styleId="ListNumber3">
    <w:name w:val="List Number 3"/>
    <w:basedOn w:val="List3"/>
    <w:rsid w:val="00890AFE"/>
    <w:pPr>
      <w:numPr>
        <w:numId w:val="5"/>
      </w:numPr>
    </w:pPr>
  </w:style>
  <w:style w:type="paragraph" w:styleId="ListNumber4">
    <w:name w:val="List Number 4"/>
    <w:basedOn w:val="List4"/>
    <w:rsid w:val="00890AFE"/>
    <w:pPr>
      <w:numPr>
        <w:numId w:val="6"/>
      </w:numPr>
    </w:pPr>
  </w:style>
  <w:style w:type="paragraph" w:styleId="ListNumber5">
    <w:name w:val="List Number 5"/>
    <w:basedOn w:val="List5"/>
    <w:rsid w:val="00890AFE"/>
    <w:pPr>
      <w:numPr>
        <w:numId w:val="7"/>
      </w:numPr>
    </w:pPr>
  </w:style>
  <w:style w:type="paragraph" w:styleId="BlockText">
    <w:name w:val="Block Text"/>
    <w:basedOn w:val="Normal"/>
    <w:rsid w:val="00890AFE"/>
    <w:pPr>
      <w:spacing w:after="120"/>
      <w:ind w:left="1440" w:right="1440"/>
    </w:pPr>
  </w:style>
  <w:style w:type="character" w:customStyle="1" w:styleId="Subscript">
    <w:name w:val="Subscript"/>
    <w:basedOn w:val="DefaultParagraphFont"/>
    <w:rsid w:val="00890AFE"/>
    <w:rPr>
      <w:sz w:val="16"/>
      <w:vertAlign w:val="subscript"/>
    </w:rPr>
  </w:style>
  <w:style w:type="character" w:customStyle="1" w:styleId="Superscript">
    <w:name w:val="Superscript"/>
    <w:basedOn w:val="DefaultParagraphFont"/>
    <w:rsid w:val="00890AFE"/>
    <w:rPr>
      <w:sz w:val="16"/>
      <w:vertAlign w:val="superscript"/>
    </w:rPr>
  </w:style>
  <w:style w:type="character" w:customStyle="1" w:styleId="Symbols">
    <w:name w:val="Symbols"/>
    <w:basedOn w:val="DefaultParagraphFont"/>
    <w:rsid w:val="00890AFE"/>
    <w:rPr>
      <w:rFonts w:ascii="Symbol" w:hAnsi="Symbol"/>
    </w:rPr>
  </w:style>
  <w:style w:type="character" w:customStyle="1" w:styleId="MenuOptions">
    <w:name w:val="Menu Options"/>
    <w:basedOn w:val="DefaultParagraphFont"/>
    <w:rsid w:val="00890AFE"/>
    <w:rPr>
      <w:rFonts w:ascii="Arial Narrow" w:hAnsi="Arial Narrow"/>
      <w:smallCaps/>
    </w:rPr>
  </w:style>
  <w:style w:type="character" w:customStyle="1" w:styleId="Buttons">
    <w:name w:val="Buttons"/>
    <w:basedOn w:val="DefaultParagraphFont"/>
    <w:rsid w:val="00890AFE"/>
    <w:rPr>
      <w:b/>
    </w:rPr>
  </w:style>
  <w:style w:type="character" w:customStyle="1" w:styleId="Underlined">
    <w:name w:val="Underlined"/>
    <w:basedOn w:val="DefaultParagraphFont"/>
    <w:rsid w:val="00890AFE"/>
    <w:rPr>
      <w:u w:val="single"/>
    </w:rPr>
  </w:style>
  <w:style w:type="paragraph" w:customStyle="1" w:styleId="TableBodyTextRight">
    <w:name w:val="Table Body Text Right"/>
    <w:basedOn w:val="TableBodyText"/>
    <w:rsid w:val="00890AFE"/>
    <w:pPr>
      <w:widowControl w:val="0"/>
      <w:autoSpaceDE w:val="0"/>
      <w:autoSpaceDN w:val="0"/>
      <w:adjustRightInd w:val="0"/>
      <w:jc w:val="right"/>
    </w:pPr>
    <w:rPr>
      <w:rFonts w:cs="Arial"/>
      <w:szCs w:val="18"/>
    </w:rPr>
  </w:style>
  <w:style w:type="paragraph" w:customStyle="1" w:styleId="CopyrightText">
    <w:name w:val="Copyright Text"/>
    <w:basedOn w:val="BodyText"/>
    <w:rsid w:val="00890AFE"/>
    <w:rPr>
      <w:sz w:val="18"/>
    </w:rPr>
  </w:style>
  <w:style w:type="paragraph" w:customStyle="1" w:styleId="BodySmallRight">
    <w:name w:val="Body Small Right"/>
    <w:basedOn w:val="BodyTextRight"/>
    <w:rsid w:val="00890AFE"/>
    <w:rPr>
      <w:sz w:val="18"/>
      <w:szCs w:val="18"/>
    </w:rPr>
  </w:style>
  <w:style w:type="paragraph" w:customStyle="1" w:styleId="MarginEdition">
    <w:name w:val="Margin Edition"/>
    <w:basedOn w:val="MarginNote"/>
    <w:rsid w:val="00890AFE"/>
    <w:pPr>
      <w:spacing w:before="0" w:after="0"/>
    </w:pPr>
    <w:rPr>
      <w:rFonts w:ascii="Times New Roman" w:hAnsi="Times New Roman"/>
      <w:color w:val="999999"/>
    </w:rPr>
  </w:style>
  <w:style w:type="paragraph" w:customStyle="1" w:styleId="Spacer">
    <w:name w:val="Spacer"/>
    <w:basedOn w:val="Normal"/>
    <w:rsid w:val="00890AFE"/>
    <w:rPr>
      <w:sz w:val="2"/>
      <w:szCs w:val="2"/>
    </w:rPr>
  </w:style>
  <w:style w:type="character" w:customStyle="1" w:styleId="Small">
    <w:name w:val="Small"/>
    <w:basedOn w:val="DefaultParagraphFont"/>
    <w:rsid w:val="00890AFE"/>
    <w:rPr>
      <w:sz w:val="16"/>
    </w:rPr>
  </w:style>
  <w:style w:type="paragraph" w:customStyle="1" w:styleId="WideTable">
    <w:name w:val="Wide Table"/>
    <w:basedOn w:val="Normal"/>
    <w:rsid w:val="00890AFE"/>
    <w:pPr>
      <w:ind w:left="-1418"/>
    </w:pPr>
    <w:rPr>
      <w:sz w:val="2"/>
      <w:szCs w:val="2"/>
    </w:rPr>
  </w:style>
  <w:style w:type="character" w:styleId="PageNumber">
    <w:name w:val="page number"/>
    <w:basedOn w:val="DefaultParagraphFont"/>
    <w:rsid w:val="00890AFE"/>
  </w:style>
  <w:style w:type="paragraph" w:styleId="Quote">
    <w:name w:val="Quote"/>
    <w:basedOn w:val="Heading1"/>
    <w:link w:val="QuoteChar"/>
    <w:qFormat/>
    <w:rsid w:val="00890AFE"/>
    <w:rPr>
      <w:b w:val="0"/>
      <w:sz w:val="72"/>
      <w:szCs w:val="72"/>
      <w:lang w:val="en-NZ"/>
    </w:rPr>
  </w:style>
  <w:style w:type="character" w:customStyle="1" w:styleId="QuoteChar">
    <w:name w:val="Quote Char"/>
    <w:basedOn w:val="DefaultParagraphFont"/>
    <w:link w:val="Quote"/>
    <w:rsid w:val="00890A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AFE"/>
    <w:pPr>
      <w:pageBreakBefore/>
    </w:pPr>
  </w:style>
  <w:style w:type="paragraph" w:customStyle="1" w:styleId="Border">
    <w:name w:val="Border"/>
    <w:basedOn w:val="Normal"/>
    <w:qFormat/>
    <w:rsid w:val="00890A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AFE"/>
    <w:rPr>
      <w:b/>
      <w:bCs/>
      <w:i/>
      <w:iCs/>
      <w:color w:val="auto"/>
    </w:rPr>
  </w:style>
  <w:style w:type="paragraph" w:styleId="IntenseQuote">
    <w:name w:val="Intense Quote"/>
    <w:basedOn w:val="Normal"/>
    <w:next w:val="Normal"/>
    <w:link w:val="IntenseQuoteChar"/>
    <w:uiPriority w:val="30"/>
    <w:qFormat/>
    <w:rsid w:val="00890A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A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0AFE"/>
    <w:rPr>
      <w:smallCaps/>
      <w:color w:val="auto"/>
      <w:u w:val="single"/>
    </w:rPr>
  </w:style>
  <w:style w:type="character" w:styleId="IntenseReference">
    <w:name w:val="Intense Reference"/>
    <w:basedOn w:val="DefaultParagraphFont"/>
    <w:uiPriority w:val="32"/>
    <w:qFormat/>
    <w:rsid w:val="00890AFE"/>
    <w:rPr>
      <w:b/>
      <w:bCs/>
      <w:smallCaps/>
      <w:color w:val="auto"/>
      <w:spacing w:val="5"/>
      <w:u w:val="single"/>
    </w:rPr>
  </w:style>
  <w:style w:type="paragraph" w:customStyle="1" w:styleId="2ColumnHeading">
    <w:name w:val="2Column Heading"/>
    <w:basedOn w:val="BodyText"/>
    <w:qFormat/>
    <w:rsid w:val="00890AFE"/>
    <w:pPr>
      <w:spacing w:after="60"/>
      <w:ind w:left="-2268"/>
    </w:pPr>
    <w:rPr>
      <w:b/>
    </w:rPr>
  </w:style>
  <w:style w:type="paragraph" w:customStyle="1" w:styleId="Heading1TOC">
    <w:name w:val="Heading1 TOC"/>
    <w:basedOn w:val="Normal"/>
    <w:qFormat/>
    <w:rsid w:val="00890AFE"/>
    <w:pPr>
      <w:spacing w:before="240" w:after="120"/>
    </w:pPr>
    <w:rPr>
      <w:rFonts w:ascii="Times New Roman" w:hAnsi="Times New Roman"/>
      <w:b/>
      <w:sz w:val="32"/>
    </w:rPr>
  </w:style>
  <w:style w:type="paragraph" w:customStyle="1" w:styleId="Heading2TOC">
    <w:name w:val="Heading2 TOC"/>
    <w:basedOn w:val="Normal"/>
    <w:qFormat/>
    <w:rsid w:val="00890AFE"/>
    <w:pPr>
      <w:spacing w:before="240" w:after="60"/>
    </w:pPr>
    <w:rPr>
      <w:rFonts w:ascii="Times New Roman" w:hAnsi="Times New Roman"/>
      <w:b/>
      <w:sz w:val="28"/>
    </w:rPr>
  </w:style>
  <w:style w:type="character" w:customStyle="1" w:styleId="Underline">
    <w:name w:val="Underline"/>
    <w:basedOn w:val="DefaultParagraphFont"/>
    <w:qFormat/>
    <w:rsid w:val="00890AFE"/>
    <w:rPr>
      <w:u w:val="single"/>
    </w:rPr>
  </w:style>
  <w:style w:type="character" w:customStyle="1" w:styleId="BoldandItalics">
    <w:name w:val="Bold and Italics"/>
    <w:qFormat/>
    <w:rsid w:val="00890AFE"/>
    <w:rPr>
      <w:b/>
      <w:i/>
      <w:u w:val="none"/>
    </w:rPr>
  </w:style>
  <w:style w:type="paragraph" w:styleId="BalloonText">
    <w:name w:val="Balloon Text"/>
    <w:basedOn w:val="Normal"/>
    <w:link w:val="BalloonTextChar"/>
    <w:rsid w:val="00890AFE"/>
    <w:rPr>
      <w:rFonts w:ascii="Tahoma" w:hAnsi="Tahoma" w:cs="Tahoma"/>
      <w:sz w:val="16"/>
      <w:szCs w:val="16"/>
    </w:rPr>
  </w:style>
  <w:style w:type="character" w:customStyle="1" w:styleId="BalloonTextChar">
    <w:name w:val="Balloon Text Char"/>
    <w:basedOn w:val="DefaultParagraphFont"/>
    <w:link w:val="BalloonText"/>
    <w:rsid w:val="00890A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0A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0A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0AFE"/>
    <w:rPr>
      <w:b/>
      <w:color w:val="660033"/>
      <w:spacing w:val="0"/>
    </w:rPr>
  </w:style>
  <w:style w:type="paragraph" w:customStyle="1" w:styleId="Nameditemlist">
    <w:name w:val="Named item list"/>
    <w:basedOn w:val="BodyText"/>
    <w:qFormat/>
    <w:rsid w:val="00890AFE"/>
    <w:pPr>
      <w:tabs>
        <w:tab w:val="left" w:pos="2835"/>
      </w:tabs>
      <w:ind w:left="2835" w:hanging="2835"/>
    </w:pPr>
  </w:style>
  <w:style w:type="paragraph" w:customStyle="1" w:styleId="BodyTextnopadding">
    <w:name w:val="Body Text no padding"/>
    <w:basedOn w:val="BodyText"/>
    <w:qFormat/>
    <w:rsid w:val="00890AFE"/>
    <w:pPr>
      <w:spacing w:before="0" w:after="0"/>
    </w:pPr>
  </w:style>
  <w:style w:type="paragraph" w:customStyle="1" w:styleId="BodyTextBold">
    <w:name w:val="Body Text Bold"/>
    <w:basedOn w:val="BodyText"/>
    <w:qFormat/>
    <w:rsid w:val="00890AFE"/>
    <w:rPr>
      <w:b/>
    </w:rPr>
  </w:style>
  <w:style w:type="character" w:styleId="Hyperlink">
    <w:name w:val="Hyperlink"/>
    <w:basedOn w:val="DefaultParagraphFont"/>
    <w:uiPriority w:val="99"/>
    <w:unhideWhenUsed/>
    <w:rsid w:val="00446B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1104</Words>
  <Characters>6971</Characters>
  <Application>Microsoft Office Word</Application>
  <DocSecurity>0</DocSecurity>
  <Lines>278</Lines>
  <Paragraphs>164</Paragraphs>
  <ScaleCrop>false</ScaleCrop>
  <Company>Author-it Software Corporation Ltd.</Company>
  <LinksUpToDate>false</LinksUpToDate>
  <CharactersWithSpaces>7911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MARM002 Apply vessel construction theory to marine survey tasks</dc:title>
  <dc:subject>Approved</dc:subject>
  <dc:creator>Industry Skills Australia</dc:creator>
  <cp:keywords>Release: 1</cp:keywords>
  <dc:description>Review Date: 12 April 2008</dc:description>
  <cp:lastModifiedBy>HSD_TPCMSd.prod</cp:lastModifiedBy>
  <cp:revision>3</cp:revision>
  <dcterms:created xsi:type="dcterms:W3CDTF">2025-03-02T00:13:00Z</dcterms:created>
  <dcterms:modified xsi:type="dcterms:W3CDTF">2025-03-02T00:13:00Z</dcterms:modified>
</cp:coreProperties>
</file>