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60A8" w:rsidP="00E760A8">
      <w:pPr>
        <w:pStyle w:val="Title"/>
      </w:pPr>
      <w:r>
        <w:fldChar w:fldCharType="begin"/>
      </w:r>
      <w:r>
        <w:instrText xml:space="preserve"> TITLE   \* MERGEFORMAT </w:instrText>
      </w:r>
      <w:r>
        <w:fldChar w:fldCharType="separate"/>
      </w:r>
      <w:r>
        <w:t>MARL061 Perform basic marine engineering calculations</w:t>
      </w:r>
      <w:r>
        <w:fldChar w:fldCharType="end"/>
      </w:r>
    </w:p>
    <w:p w:rsidR="00E760A8" w:rsidP="00E760A8">
      <w:pPr>
        <w:pStyle w:val="Version"/>
        <w:sectPr w:rsidSect="00FC31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31D3" w:rsidP="00FC31D3">
      <w:pPr>
        <w:pStyle w:val="SuperHeading"/>
      </w:pPr>
      <w:r w:rsidRPr="00FC31D3">
        <w:t>MARL061 Perform basic marine engineering calculations</w:t>
      </w:r>
    </w:p>
    <w:p w:rsidR="00000000" w:rsidRPr="00FC31D3" w:rsidP="00FC31D3">
      <w:pPr>
        <w:pStyle w:val="Heading1"/>
      </w:pPr>
      <w:bookmarkStart w:id="1" w:name="O_1088242"/>
      <w:bookmarkEnd w:id="1"/>
      <w:r w:rsidRPr="00FC31D3">
        <w:t>Modification History</w:t>
      </w:r>
    </w:p>
    <w:tbl>
      <w:tblPr>
        <w:tblW w:w="9497" w:type="dxa"/>
        <w:tblLayout w:type="fixed"/>
        <w:tblCellMar>
          <w:left w:w="62" w:type="dxa"/>
          <w:right w:w="62" w:type="dxa"/>
        </w:tblCellMar>
        <w:tblLook w:val="0000"/>
      </w:tblPr>
      <w:tblGrid>
        <w:gridCol w:w="9497"/>
      </w:tblGrid>
      <w:tr w:rsidTr="00FC31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31D3" w:rsidP="00FC31D3">
            <w:pPr>
              <w:pStyle w:val="BodyText"/>
            </w:pPr>
            <w:r w:rsidRPr="00FC31D3">
              <w:t>Release 1. This is the first release of this unit of competency in the MAR Maritime Training Package.</w:t>
            </w:r>
          </w:p>
        </w:tc>
      </w:tr>
    </w:tbl>
    <w:p w:rsidR="00000000" w:rsidRPr="00FC31D3" w:rsidP="00FC31D3">
      <w:pPr>
        <w:pStyle w:val="NoPaddingFontSize1"/>
      </w:pPr>
    </w:p>
    <w:p w:rsidR="00000000" w:rsidRPr="00FC31D3" w:rsidP="00FC31D3">
      <w:pPr>
        <w:pStyle w:val="AllowPageBreak"/>
      </w:pPr>
    </w:p>
    <w:p w:rsidR="00000000" w:rsidRPr="00FC31D3" w:rsidP="00FC31D3">
      <w:pPr>
        <w:pStyle w:val="Heading1"/>
      </w:pPr>
      <w:bookmarkStart w:id="2" w:name="O_1088243"/>
      <w:bookmarkEnd w:id="2"/>
      <w:r w:rsidRPr="00FC31D3">
        <w:t>Application</w:t>
      </w:r>
    </w:p>
    <w:tbl>
      <w:tblPr>
        <w:tblW w:w="9497" w:type="dxa"/>
        <w:tblLayout w:type="fixed"/>
        <w:tblCellMar>
          <w:left w:w="62" w:type="dxa"/>
          <w:right w:w="62" w:type="dxa"/>
        </w:tblCellMar>
        <w:tblLook w:val="0000"/>
      </w:tblPr>
      <w:tblGrid>
        <w:gridCol w:w="9497"/>
      </w:tblGrid>
      <w:tr w:rsidTr="00FC31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31D3" w:rsidP="00FC31D3">
            <w:pPr>
              <w:pStyle w:val="BodyText"/>
            </w:pPr>
            <w:r w:rsidRPr="00FC31D3">
              <w:t xml:space="preserve">This unit involves the skills and knowledge required to perform basic engineering </w:t>
            </w:r>
            <w:r w:rsidRPr="00FC31D3">
              <w:t>calculations required for the operation of marine machinery and equipment.</w:t>
            </w:r>
          </w:p>
          <w:p w:rsidR="00000000" w:rsidRPr="00FC31D3" w:rsidP="00FC31D3">
            <w:pPr>
              <w:pStyle w:val="BodyText"/>
            </w:pPr>
            <w:r w:rsidRPr="00FC31D3">
              <w:t>This unit applies to people working in the maritime industry in the capacity of:</w:t>
            </w:r>
          </w:p>
          <w:p w:rsidR="00000000" w:rsidRPr="00FC31D3" w:rsidP="00FC31D3">
            <w:pPr>
              <w:pStyle w:val="ListBullet"/>
            </w:pPr>
            <w:r w:rsidRPr="00FC31D3">
              <w:t>Electro-Technical Officer (STCW Electro-Technical Officer Unlimited)</w:t>
            </w:r>
          </w:p>
          <w:p w:rsidR="00000000" w:rsidRPr="00FC31D3" w:rsidP="00FC31D3">
            <w:pPr>
              <w:pStyle w:val="ListBullet"/>
            </w:pPr>
            <w:r w:rsidRPr="00FC31D3">
              <w:t>Engineer Class 3 Near Coastal</w:t>
            </w:r>
          </w:p>
          <w:p w:rsidR="00000000" w:rsidRPr="00FC31D3" w:rsidP="00FC31D3">
            <w:pPr>
              <w:pStyle w:val="ListBullet"/>
            </w:pPr>
            <w:r w:rsidRPr="00FC31D3">
              <w:t xml:space="preserve">Engineer Watchkeeper (STCW Engineer Watchkeeper Unlimited). </w:t>
            </w:r>
          </w:p>
          <w:p w:rsidR="00000000" w:rsidRPr="00FC31D3" w:rsidP="00FC31D3">
            <w:pPr>
              <w:pStyle w:val="BodyText"/>
            </w:pPr>
          </w:p>
          <w:p w:rsidR="00000000" w:rsidRPr="00FC31D3" w:rsidP="00FC31D3">
            <w:pPr>
              <w:pStyle w:val="BodyText"/>
            </w:pPr>
            <w:r w:rsidRPr="00FC31D3">
              <w:rPr>
                <w:rStyle w:val="SpecialBold"/>
              </w:rPr>
              <w:t>Licensing/Regulatory Information</w:t>
            </w:r>
          </w:p>
          <w:p w:rsidR="00000000" w:rsidRPr="00FC31D3" w:rsidP="00FC31D3">
            <w:pPr>
              <w:pStyle w:val="BodyText"/>
            </w:pPr>
            <w:r w:rsidRPr="00FC31D3">
              <w:t xml:space="preserve">Legislative and regulatory requirements are applicable to this unit.  </w:t>
            </w:r>
          </w:p>
          <w:p w:rsidR="00000000" w:rsidRPr="00FC31D3" w:rsidP="00FC31D3">
            <w:pPr>
              <w:pStyle w:val="ListBullet"/>
            </w:pPr>
            <w:r w:rsidRPr="00FC31D3">
              <w:t xml:space="preserve">Regulatory requirements include STCW International Maritime Organization (IMO) model </w:t>
            </w:r>
            <w:r w:rsidRPr="00FC31D3">
              <w:t>course competencies and areas of knowledge, understanding and proficiency, together with the estimated total hours required for lectures and practical exercises. Teaching staff should note that timings are suggestions only and should be adapted to suit ind</w:t>
            </w:r>
            <w:r w:rsidRPr="00FC31D3">
              <w:t>ividual groups of trainees depending on their experience, ability, equipment and staff available for training.</w:t>
            </w:r>
          </w:p>
          <w:p w:rsidR="00000000" w:rsidRPr="00FC31D3" w:rsidP="00FC31D3">
            <w:pPr>
              <w:pStyle w:val="BodyText"/>
            </w:pPr>
            <w:r w:rsidRPr="00FC31D3">
              <w:t>Near Coastal Qualifications:</w:t>
            </w:r>
          </w:p>
          <w:p w:rsidR="00000000" w:rsidRPr="00FC31D3" w:rsidP="00FC31D3">
            <w:pPr>
              <w:pStyle w:val="ListBullet"/>
            </w:pPr>
            <w:r w:rsidRPr="00FC31D3">
              <w:t>This unit is one of the requirements to obtain Australian Maritime Safety Authority (AMSA) certification as an Engi</w:t>
            </w:r>
            <w:r w:rsidRPr="00FC31D3">
              <w:t>neer Class 3 Near Coastal as defined in the Marine Order 505 (Certificates of competency - National Law) 2013.</w:t>
            </w:r>
          </w:p>
          <w:p w:rsidR="00000000" w:rsidRPr="00FC31D3" w:rsidP="00FC31D3">
            <w:pPr>
              <w:pStyle w:val="BodyText"/>
            </w:pPr>
            <w:r w:rsidRPr="00FC31D3">
              <w:t>Blue Waters Qualifications:</w:t>
            </w:r>
          </w:p>
          <w:p w:rsidR="00000000" w:rsidRPr="00FC31D3" w:rsidP="00FC31D3">
            <w:pPr>
              <w:pStyle w:val="ListBullet"/>
            </w:pPr>
            <w:r w:rsidRPr="00FC31D3">
              <w:t>This unit is one of the requirements to obtain Australian Maritime Safety Authority (AMSA) certification as an Elect</w:t>
            </w:r>
            <w:r w:rsidRPr="00FC31D3">
              <w:t>ro-Technical Officer (STCW Electro-Technical Officer Unlimited) or Engineer Watchkeeper (STCW Engineer Watchkeeper Unlimited) and to meet regulatory requirements this unit must be delivered consistent with Marine Orders and with the relevant sections of th</w:t>
            </w:r>
            <w:r w:rsidRPr="00FC31D3">
              <w:t>e International Convention on Standards of Training, Certification and Watchkeeping for Seafarers (STCW).</w:t>
            </w:r>
          </w:p>
        </w:tc>
      </w:tr>
    </w:tbl>
    <w:p w:rsidR="00000000" w:rsidRPr="00FC31D3" w:rsidP="00FC31D3">
      <w:pPr>
        <w:pStyle w:val="NoPaddingFontSize1"/>
      </w:pPr>
    </w:p>
    <w:p w:rsidR="00000000" w:rsidRPr="00FC31D3" w:rsidP="00FC31D3">
      <w:pPr>
        <w:pStyle w:val="AllowPageBreak"/>
      </w:pPr>
    </w:p>
    <w:p w:rsidR="00000000" w:rsidRPr="00FC31D3" w:rsidP="00FC31D3">
      <w:pPr>
        <w:pStyle w:val="Heading1"/>
      </w:pPr>
      <w:bookmarkStart w:id="3" w:name="O_1088244"/>
      <w:bookmarkEnd w:id="3"/>
      <w:r w:rsidRPr="00FC31D3">
        <w:t>Pre-requisite Unit</w:t>
      </w:r>
    </w:p>
    <w:tbl>
      <w:tblPr>
        <w:tblW w:w="9497" w:type="dxa"/>
        <w:tblLayout w:type="fixed"/>
        <w:tblCellMar>
          <w:left w:w="62" w:type="dxa"/>
          <w:right w:w="62" w:type="dxa"/>
        </w:tblCellMar>
        <w:tblLook w:val="0000"/>
      </w:tblPr>
      <w:tblGrid>
        <w:gridCol w:w="9497"/>
      </w:tblGrid>
      <w:tr w:rsidTr="00FC31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31D3" w:rsidP="00FC31D3">
            <w:pPr>
              <w:pStyle w:val="BodyText"/>
            </w:pPr>
            <w:r w:rsidRPr="00FC31D3">
              <w:t>Not applicable.</w:t>
            </w:r>
          </w:p>
        </w:tc>
      </w:tr>
    </w:tbl>
    <w:p w:rsidR="00000000" w:rsidRPr="00FC31D3" w:rsidP="00FC31D3">
      <w:pPr>
        <w:pStyle w:val="NoPaddingFontSize1"/>
      </w:pPr>
    </w:p>
    <w:p w:rsidR="00000000" w:rsidRPr="00FC31D3" w:rsidP="00FC31D3">
      <w:pPr>
        <w:pStyle w:val="AllowPageBreak"/>
      </w:pPr>
    </w:p>
    <w:p w:rsidR="00000000" w:rsidRPr="00FC31D3" w:rsidP="00FC31D3">
      <w:pPr>
        <w:pStyle w:val="Heading1"/>
      </w:pPr>
      <w:bookmarkStart w:id="4" w:name="O_1088245"/>
      <w:bookmarkEnd w:id="4"/>
      <w:r w:rsidRPr="00FC31D3">
        <w:t>Competency Field</w:t>
      </w:r>
    </w:p>
    <w:tbl>
      <w:tblPr>
        <w:tblW w:w="9497" w:type="dxa"/>
        <w:tblLayout w:type="fixed"/>
        <w:tblCellMar>
          <w:left w:w="62" w:type="dxa"/>
          <w:right w:w="62" w:type="dxa"/>
        </w:tblCellMar>
        <w:tblLook w:val="0000"/>
      </w:tblPr>
      <w:tblGrid>
        <w:gridCol w:w="9497"/>
      </w:tblGrid>
      <w:tr w:rsidTr="00FC31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31D3" w:rsidP="00FC31D3">
            <w:pPr>
              <w:pStyle w:val="BodyText"/>
            </w:pPr>
            <w:r w:rsidRPr="00FC31D3">
              <w:t>L - Engineering</w:t>
            </w:r>
          </w:p>
        </w:tc>
      </w:tr>
    </w:tbl>
    <w:p w:rsidR="00000000" w:rsidRPr="00FC31D3" w:rsidP="00FC31D3">
      <w:pPr>
        <w:pStyle w:val="NoPaddingFontSize1"/>
      </w:pPr>
    </w:p>
    <w:p w:rsidR="00000000" w:rsidRPr="00FC31D3" w:rsidP="00FC31D3">
      <w:pPr>
        <w:pStyle w:val="AllowPageBreak"/>
      </w:pPr>
    </w:p>
    <w:p w:rsidR="00000000" w:rsidRPr="00FC31D3" w:rsidP="00FC31D3">
      <w:pPr>
        <w:pStyle w:val="Heading1"/>
      </w:pPr>
      <w:bookmarkStart w:id="5" w:name="O_1088246"/>
      <w:bookmarkEnd w:id="5"/>
      <w:r w:rsidRPr="00FC31D3">
        <w:t>Unit Sector</w:t>
      </w:r>
    </w:p>
    <w:tbl>
      <w:tblPr>
        <w:tblW w:w="9497" w:type="dxa"/>
        <w:tblLayout w:type="fixed"/>
        <w:tblCellMar>
          <w:left w:w="62" w:type="dxa"/>
          <w:right w:w="62" w:type="dxa"/>
        </w:tblCellMar>
        <w:tblLook w:val="0000"/>
      </w:tblPr>
      <w:tblGrid>
        <w:gridCol w:w="9497"/>
      </w:tblGrid>
      <w:tr w:rsidTr="00FC31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31D3" w:rsidP="00FC31D3">
            <w:pPr>
              <w:pStyle w:val="BodyText"/>
            </w:pPr>
            <w:r w:rsidRPr="00FC31D3">
              <w:t>Not applicable.</w:t>
            </w:r>
          </w:p>
        </w:tc>
      </w:tr>
    </w:tbl>
    <w:p w:rsidR="00000000" w:rsidRPr="00FC31D3" w:rsidP="00FC31D3">
      <w:pPr>
        <w:pStyle w:val="NoPaddingFontSize1"/>
      </w:pPr>
    </w:p>
    <w:p w:rsidR="00000000" w:rsidRPr="00FC31D3" w:rsidP="00FC31D3">
      <w:pPr>
        <w:pStyle w:val="AllowPageBreak"/>
      </w:pPr>
    </w:p>
    <w:p w:rsidR="00000000" w:rsidRPr="00FC31D3" w:rsidP="00FC31D3">
      <w:pPr>
        <w:pStyle w:val="Heading1"/>
      </w:pPr>
      <w:bookmarkStart w:id="6" w:name="O_1088247"/>
      <w:bookmarkEnd w:id="6"/>
      <w:r w:rsidRPr="00FC31D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C31D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C31D3" w:rsidP="00FC31D3">
            <w:pPr>
              <w:pStyle w:val="BodyText"/>
            </w:pPr>
            <w:r w:rsidRPr="00FC31D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C31D3">
            <w:pPr>
              <w:pStyle w:val="BodyText"/>
              <w:rPr>
                <w:lang w:val="en-NZ"/>
              </w:rPr>
            </w:pPr>
            <w:r w:rsidRPr="00FC31D3">
              <w:rPr>
                <w:rStyle w:val="SpecialBold"/>
              </w:rPr>
              <w:t>PERFORMANCE CRITERIA</w:t>
            </w:r>
          </w:p>
        </w:tc>
      </w:tr>
      <w:tr w:rsidTr="00FC31D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C31D3">
            <w:pPr>
              <w:pStyle w:val="BodyText"/>
              <w:rPr>
                <w:lang w:val="en-NZ"/>
              </w:rPr>
            </w:pPr>
            <w:r w:rsidRPr="00FC31D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C31D3">
            <w:pPr>
              <w:pStyle w:val="BodyText"/>
              <w:rPr>
                <w:lang w:val="en-NZ"/>
              </w:rPr>
            </w:pPr>
            <w:r w:rsidRPr="00FC31D3">
              <w:t>Performance criteria describe the performance needed to demonstrate achievement of the element.</w:t>
            </w:r>
          </w:p>
        </w:tc>
      </w:tr>
      <w:tr w:rsidTr="00FC31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C31D3" w:rsidP="00FC31D3">
            <w:pPr>
              <w:pStyle w:val="BodyText"/>
            </w:pPr>
            <w:r w:rsidRPr="00FC31D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C31D3" w:rsidP="00FC31D3">
            <w:pPr>
              <w:pStyle w:val="BodyText"/>
            </w:pPr>
            <w:r w:rsidRPr="00FC31D3">
              <w:rPr>
                <w:rStyle w:val="SpecialBold"/>
              </w:rPr>
              <w:t>Apply mathematical formulae to solve engineering problems</w:t>
            </w:r>
          </w:p>
        </w:tc>
        <w:tc>
          <w:tcPr>
            <w:tcW w:w="697" w:type="dxa"/>
            <w:tcBorders>
              <w:top w:val="nil"/>
              <w:left w:val="nil"/>
              <w:bottom w:val="nil"/>
              <w:right w:val="nil"/>
            </w:tcBorders>
            <w:tcMar>
              <w:top w:w="0" w:type="dxa"/>
              <w:left w:w="62" w:type="dxa"/>
              <w:bottom w:w="0" w:type="dxa"/>
              <w:right w:w="62" w:type="dxa"/>
            </w:tcMar>
          </w:tcPr>
          <w:p w:rsidR="00000000" w:rsidP="00FC31D3">
            <w:pPr>
              <w:pStyle w:val="BodyText"/>
              <w:rPr>
                <w:lang w:val="en-NZ"/>
              </w:rPr>
            </w:pPr>
            <w:r w:rsidRPr="00FC31D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C31D3">
            <w:pPr>
              <w:pStyle w:val="BodyText"/>
              <w:rPr>
                <w:lang w:val="en-NZ"/>
              </w:rPr>
            </w:pPr>
            <w:r w:rsidRPr="00FC31D3">
              <w:t>Proportions, variation, percentages and averages are calculated, and method of unity is applied</w:t>
            </w:r>
          </w:p>
        </w:tc>
      </w:tr>
      <w:tr w:rsidTr="00FC31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C31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C31D3">
            <w:pPr>
              <w:pStyle w:val="BodyText"/>
              <w:rPr>
                <w:lang w:val="en-NZ"/>
              </w:rPr>
            </w:pPr>
            <w:r w:rsidRPr="00FC31D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C31D3">
            <w:pPr>
              <w:pStyle w:val="BodyText"/>
              <w:rPr>
                <w:lang w:val="en-NZ"/>
              </w:rPr>
            </w:pPr>
            <w:r w:rsidRPr="00FC31D3">
              <w:t>Problems involving the manipulation of indices are solved</w:t>
            </w:r>
          </w:p>
        </w:tc>
      </w:tr>
      <w:tr w:rsidTr="00FC31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C31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C31D3">
            <w:pPr>
              <w:pStyle w:val="BodyText"/>
              <w:rPr>
                <w:lang w:val="en-NZ"/>
              </w:rPr>
            </w:pPr>
            <w:r w:rsidRPr="00FC31D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C31D3">
            <w:pPr>
              <w:pStyle w:val="BodyText"/>
              <w:rPr>
                <w:lang w:val="en-NZ"/>
              </w:rPr>
            </w:pPr>
            <w:r w:rsidRPr="00FC31D3">
              <w:t>Written descriptions of actual or hypothetical engineering problems are expressed in mathematical terms</w:t>
            </w:r>
          </w:p>
        </w:tc>
      </w:tr>
      <w:tr w:rsidTr="00FC31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C31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C31D3">
            <w:pPr>
              <w:pStyle w:val="BodyText"/>
              <w:rPr>
                <w:lang w:val="en-NZ"/>
              </w:rPr>
            </w:pPr>
            <w:r w:rsidRPr="00FC31D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C31D3">
            <w:pPr>
              <w:pStyle w:val="BodyText"/>
              <w:rPr>
                <w:lang w:val="en-NZ"/>
              </w:rPr>
            </w:pPr>
            <w:r w:rsidRPr="00FC31D3">
              <w:t>Algebraic formulae and equations are manipulated to change subjects, as and when required</w:t>
            </w:r>
          </w:p>
        </w:tc>
      </w:tr>
      <w:tr w:rsidTr="00FC31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C31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C31D3">
            <w:pPr>
              <w:pStyle w:val="BodyText"/>
              <w:rPr>
                <w:lang w:val="en-NZ"/>
              </w:rPr>
            </w:pPr>
            <w:r w:rsidRPr="00FC31D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C31D3">
            <w:pPr>
              <w:pStyle w:val="BodyText"/>
              <w:rPr>
                <w:lang w:val="en-NZ"/>
              </w:rPr>
            </w:pPr>
            <w:r w:rsidRPr="00FC31D3">
              <w:t>Index problems are converted to logarithmic prob</w:t>
            </w:r>
            <w:r w:rsidRPr="00FC31D3">
              <w:t>lems, and vice versa, according to the Law of Logarithms</w:t>
            </w:r>
          </w:p>
        </w:tc>
      </w:tr>
      <w:tr w:rsidTr="00FC31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C31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C31D3">
            <w:pPr>
              <w:pStyle w:val="BodyText"/>
              <w:rPr>
                <w:lang w:val="en-NZ"/>
              </w:rPr>
            </w:pPr>
            <w:r w:rsidRPr="00FC31D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C31D3">
            <w:pPr>
              <w:pStyle w:val="BodyText"/>
              <w:rPr>
                <w:lang w:val="en-NZ"/>
              </w:rPr>
            </w:pPr>
            <w:r w:rsidRPr="00FC31D3">
              <w:t>Calculator is used to resolve engineering problems</w:t>
            </w:r>
          </w:p>
        </w:tc>
      </w:tr>
      <w:tr w:rsidTr="00FC31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C31D3" w:rsidP="00FC31D3">
            <w:pPr>
              <w:pStyle w:val="BodyText"/>
            </w:pPr>
            <w:r w:rsidRPr="00FC31D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C31D3" w:rsidP="00FC31D3">
            <w:pPr>
              <w:pStyle w:val="BodyText"/>
            </w:pPr>
            <w:r w:rsidRPr="00FC31D3">
              <w:rPr>
                <w:rStyle w:val="SpecialBold"/>
              </w:rPr>
              <w:t>Calculate areas, volumes and masses of regular and irregular figures</w:t>
            </w:r>
          </w:p>
        </w:tc>
        <w:tc>
          <w:tcPr>
            <w:tcW w:w="697" w:type="dxa"/>
            <w:tcBorders>
              <w:top w:val="nil"/>
              <w:left w:val="nil"/>
              <w:bottom w:val="nil"/>
              <w:right w:val="nil"/>
            </w:tcBorders>
            <w:tcMar>
              <w:top w:w="0" w:type="dxa"/>
              <w:left w:w="62" w:type="dxa"/>
              <w:bottom w:w="0" w:type="dxa"/>
              <w:right w:w="62" w:type="dxa"/>
            </w:tcMar>
          </w:tcPr>
          <w:p w:rsidR="00000000" w:rsidP="00FC31D3">
            <w:pPr>
              <w:pStyle w:val="BodyText"/>
              <w:rPr>
                <w:lang w:val="en-NZ"/>
              </w:rPr>
            </w:pPr>
            <w:r w:rsidRPr="00FC31D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C31D3">
            <w:pPr>
              <w:pStyle w:val="BodyText"/>
              <w:rPr>
                <w:lang w:val="en-NZ"/>
              </w:rPr>
            </w:pPr>
            <w:r w:rsidRPr="00FC31D3">
              <w:t>Problems related to areas and volumes of regular geometric figures are solved using standard formulae</w:t>
            </w:r>
          </w:p>
        </w:tc>
      </w:tr>
      <w:tr w:rsidTr="00FC31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C31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C31D3">
            <w:pPr>
              <w:pStyle w:val="BodyText"/>
              <w:rPr>
                <w:lang w:val="en-NZ"/>
              </w:rPr>
            </w:pPr>
            <w:r w:rsidRPr="00FC31D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C31D3">
            <w:pPr>
              <w:pStyle w:val="BodyText"/>
              <w:rPr>
                <w:lang w:val="en-NZ"/>
              </w:rPr>
            </w:pPr>
            <w:r w:rsidRPr="00FC31D3">
              <w:t>Problems relating to surface areas and volumes of circular figures are solved</w:t>
            </w:r>
          </w:p>
        </w:tc>
      </w:tr>
      <w:tr w:rsidTr="00FC31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C31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C31D3">
            <w:pPr>
              <w:pStyle w:val="BodyText"/>
              <w:rPr>
                <w:lang w:val="en-NZ"/>
              </w:rPr>
            </w:pPr>
            <w:r w:rsidRPr="00FC31D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C31D3">
            <w:pPr>
              <w:pStyle w:val="BodyText"/>
              <w:rPr>
                <w:lang w:val="en-NZ"/>
              </w:rPr>
            </w:pPr>
            <w:r w:rsidRPr="00FC31D3">
              <w:t>Centres of gravity (CG) and centroids of area are found for bo</w:t>
            </w:r>
            <w:r w:rsidRPr="00FC31D3">
              <w:t>th line figures and areas</w:t>
            </w:r>
          </w:p>
        </w:tc>
      </w:tr>
      <w:tr w:rsidTr="00FC31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C31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C31D3">
            <w:pPr>
              <w:pStyle w:val="BodyText"/>
              <w:rPr>
                <w:lang w:val="en-NZ"/>
              </w:rPr>
            </w:pPr>
            <w:r w:rsidRPr="00FC31D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C31D3">
            <w:pPr>
              <w:pStyle w:val="BodyText"/>
              <w:rPr>
                <w:lang w:val="en-NZ"/>
              </w:rPr>
            </w:pPr>
            <w:r w:rsidRPr="00FC31D3">
              <w:t>Concept of density is applied to calculate masses</w:t>
            </w:r>
          </w:p>
        </w:tc>
      </w:tr>
      <w:tr w:rsidTr="00FC31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C31D3" w:rsidP="00FC31D3">
            <w:pPr>
              <w:pStyle w:val="BodyText"/>
            </w:pPr>
            <w:r w:rsidRPr="00FC31D3">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C31D3" w:rsidP="00FC31D3">
            <w:pPr>
              <w:pStyle w:val="BodyText"/>
            </w:pPr>
            <w:r w:rsidRPr="00FC31D3">
              <w:rPr>
                <w:rStyle w:val="SpecialBold"/>
              </w:rPr>
              <w:t xml:space="preserve">Apply trigonometry to solve problems relating </w:t>
            </w:r>
            <w:r w:rsidRPr="00FC31D3">
              <w:rPr>
                <w:rStyle w:val="SpecialBold"/>
              </w:rPr>
              <w:t>to angular measurement and the resolution of vectors</w:t>
            </w:r>
          </w:p>
        </w:tc>
        <w:tc>
          <w:tcPr>
            <w:tcW w:w="697" w:type="dxa"/>
            <w:tcBorders>
              <w:top w:val="nil"/>
              <w:left w:val="nil"/>
              <w:bottom w:val="nil"/>
              <w:right w:val="nil"/>
            </w:tcBorders>
            <w:tcMar>
              <w:top w:w="0" w:type="dxa"/>
              <w:left w:w="62" w:type="dxa"/>
              <w:bottom w:w="0" w:type="dxa"/>
              <w:right w:w="62" w:type="dxa"/>
            </w:tcMar>
          </w:tcPr>
          <w:p w:rsidR="00000000" w:rsidP="00FC31D3">
            <w:pPr>
              <w:pStyle w:val="BodyText"/>
              <w:rPr>
                <w:lang w:val="en-NZ"/>
              </w:rPr>
            </w:pPr>
            <w:r w:rsidRPr="00FC31D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C31D3">
            <w:pPr>
              <w:pStyle w:val="BodyText"/>
              <w:rPr>
                <w:lang w:val="en-NZ"/>
              </w:rPr>
            </w:pPr>
            <w:r w:rsidRPr="00FC31D3">
              <w:t xml:space="preserve">Basic trigonometric ratios of sine, cosine and tangent, together with their reciprocals are explained with respect </w:t>
            </w:r>
            <w:r w:rsidRPr="00FC31D3">
              <w:t>to the sides of a right-angled triangle</w:t>
            </w:r>
          </w:p>
        </w:tc>
      </w:tr>
      <w:tr w:rsidTr="00FC31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C31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C31D3">
            <w:pPr>
              <w:pStyle w:val="BodyText"/>
              <w:rPr>
                <w:lang w:val="en-NZ"/>
              </w:rPr>
            </w:pPr>
            <w:r w:rsidRPr="00FC31D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C31D3">
            <w:pPr>
              <w:pStyle w:val="BodyText"/>
              <w:rPr>
                <w:lang w:val="en-NZ"/>
              </w:rPr>
            </w:pPr>
            <w:r w:rsidRPr="00FC31D3">
              <w:t>Pythagoras’ Theorem is proved</w:t>
            </w:r>
          </w:p>
        </w:tc>
      </w:tr>
      <w:tr w:rsidTr="00FC31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C31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C31D3">
            <w:pPr>
              <w:pStyle w:val="BodyText"/>
              <w:rPr>
                <w:lang w:val="en-NZ"/>
              </w:rPr>
            </w:pPr>
            <w:r w:rsidRPr="00FC31D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C31D3">
            <w:pPr>
              <w:pStyle w:val="BodyText"/>
              <w:rPr>
                <w:lang w:val="en-NZ"/>
              </w:rPr>
            </w:pPr>
            <w:r w:rsidRPr="00FC31D3">
              <w:t>Problems associated with single angle trigonometric identities, including those derived from the application of Pythagoras’ Theorem to the basic sin, cos and tan identities, are solved</w:t>
            </w:r>
          </w:p>
        </w:tc>
      </w:tr>
      <w:tr w:rsidTr="00FC31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C31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C31D3">
            <w:pPr>
              <w:pStyle w:val="BodyText"/>
              <w:rPr>
                <w:lang w:val="en-NZ"/>
              </w:rPr>
            </w:pPr>
            <w:r w:rsidRPr="00FC31D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C31D3">
            <w:pPr>
              <w:pStyle w:val="BodyText"/>
              <w:rPr>
                <w:lang w:val="en-NZ"/>
              </w:rPr>
            </w:pPr>
            <w:r w:rsidRPr="00FC31D3">
              <w:t>Derivation of multiple, double and half angle trigonometric iden</w:t>
            </w:r>
            <w:r w:rsidRPr="00FC31D3">
              <w:t>tities are shown and used to simplify complicated trigonometric expressions and identities</w:t>
            </w:r>
          </w:p>
        </w:tc>
      </w:tr>
      <w:tr w:rsidTr="00FC31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C31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C31D3">
            <w:pPr>
              <w:pStyle w:val="BodyText"/>
              <w:rPr>
                <w:lang w:val="en-NZ"/>
              </w:rPr>
            </w:pPr>
            <w:r w:rsidRPr="00FC31D3">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FC31D3" w:rsidP="00FC31D3">
            <w:pPr>
              <w:pStyle w:val="BodyText"/>
            </w:pPr>
            <w:r w:rsidRPr="00FC31D3">
              <w:t>Sine rule and cosine rule for solution of triangles are proved and applied</w:t>
            </w:r>
          </w:p>
        </w:tc>
      </w:tr>
    </w:tbl>
    <w:p w:rsidR="00000000" w:rsidRPr="00FC31D3" w:rsidP="00FC31D3">
      <w:pPr>
        <w:pStyle w:val="NoPaddingFontSize1"/>
      </w:pPr>
    </w:p>
    <w:p w:rsidR="00000000" w:rsidRPr="00FC31D3" w:rsidP="00FC31D3">
      <w:pPr>
        <w:pStyle w:val="AllowPageBreak"/>
      </w:pPr>
    </w:p>
    <w:p w:rsidR="00000000" w:rsidRPr="00FC31D3" w:rsidP="00FC31D3">
      <w:pPr>
        <w:pStyle w:val="Heading1"/>
      </w:pPr>
      <w:bookmarkStart w:id="7" w:name="O_1088248"/>
      <w:bookmarkEnd w:id="7"/>
      <w:r w:rsidRPr="00FC31D3">
        <w:t>Foundation Skills</w:t>
      </w:r>
    </w:p>
    <w:tbl>
      <w:tblPr>
        <w:tblW w:w="9497" w:type="dxa"/>
        <w:tblLayout w:type="fixed"/>
        <w:tblCellMar>
          <w:left w:w="62" w:type="dxa"/>
          <w:right w:w="62" w:type="dxa"/>
        </w:tblCellMar>
        <w:tblLook w:val="0000"/>
      </w:tblPr>
      <w:tblGrid>
        <w:gridCol w:w="9497"/>
      </w:tblGrid>
      <w:tr w:rsidTr="00FC31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31D3" w:rsidP="00FC31D3">
            <w:pPr>
              <w:pStyle w:val="BodyText"/>
            </w:pPr>
            <w:r w:rsidRPr="00FC31D3">
              <w:t>Foundation skills essential to performance are explicit in the performance criteria of this unit of competency.</w:t>
            </w:r>
          </w:p>
        </w:tc>
      </w:tr>
    </w:tbl>
    <w:p w:rsidR="00000000" w:rsidRPr="00FC31D3" w:rsidP="00FC31D3">
      <w:pPr>
        <w:pStyle w:val="NoPaddingFontSize1"/>
      </w:pPr>
    </w:p>
    <w:p w:rsidR="00000000" w:rsidRPr="00FC31D3" w:rsidP="00FC31D3">
      <w:pPr>
        <w:pStyle w:val="AllowPageBreak"/>
      </w:pPr>
    </w:p>
    <w:p w:rsidR="00000000" w:rsidRPr="00FC31D3" w:rsidP="00FC31D3">
      <w:pPr>
        <w:pStyle w:val="Heading1"/>
      </w:pPr>
      <w:bookmarkStart w:id="8" w:name="O_1088249"/>
      <w:bookmarkEnd w:id="8"/>
      <w:r w:rsidRPr="00FC31D3">
        <w:t>Range of Conditions</w:t>
      </w:r>
    </w:p>
    <w:tbl>
      <w:tblPr>
        <w:tblW w:w="9497" w:type="dxa"/>
        <w:tblLayout w:type="fixed"/>
        <w:tblCellMar>
          <w:left w:w="62" w:type="dxa"/>
          <w:right w:w="62" w:type="dxa"/>
        </w:tblCellMar>
        <w:tblLook w:val="0000"/>
      </w:tblPr>
      <w:tblGrid>
        <w:gridCol w:w="9497"/>
      </w:tblGrid>
      <w:tr w:rsidTr="00FC31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31D3" w:rsidP="00FC31D3">
            <w:pPr>
              <w:pStyle w:val="BodyText"/>
            </w:pPr>
            <w:r w:rsidRPr="00FC31D3">
              <w:t>Range is restricted to essential operating conditions and any other variables essential to the work env</w:t>
            </w:r>
            <w:r w:rsidRPr="00FC31D3">
              <w:t>ironment.</w:t>
            </w:r>
          </w:p>
        </w:tc>
      </w:tr>
    </w:tbl>
    <w:p w:rsidR="00000000" w:rsidRPr="00FC31D3" w:rsidP="00FC31D3">
      <w:pPr>
        <w:pStyle w:val="NoPaddingFontSize1"/>
      </w:pPr>
    </w:p>
    <w:p w:rsidR="00000000" w:rsidRPr="00FC31D3" w:rsidP="00FC31D3">
      <w:pPr>
        <w:pStyle w:val="AllowPageBreak"/>
      </w:pPr>
    </w:p>
    <w:p w:rsidR="00000000" w:rsidRPr="00FC31D3" w:rsidP="00FC31D3">
      <w:pPr>
        <w:pStyle w:val="Heading1"/>
      </w:pPr>
      <w:bookmarkStart w:id="9" w:name="O_1088250"/>
      <w:bookmarkEnd w:id="9"/>
      <w:r w:rsidRPr="00FC31D3">
        <w:t>Unit Mapping Information</w:t>
      </w:r>
    </w:p>
    <w:tbl>
      <w:tblPr>
        <w:tblW w:w="9497" w:type="dxa"/>
        <w:tblLayout w:type="fixed"/>
        <w:tblCellMar>
          <w:left w:w="62" w:type="dxa"/>
          <w:right w:w="62" w:type="dxa"/>
        </w:tblCellMar>
        <w:tblLook w:val="0000"/>
      </w:tblPr>
      <w:tblGrid>
        <w:gridCol w:w="9497"/>
      </w:tblGrid>
      <w:tr w:rsidTr="00FC31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31D3" w:rsidP="00FC31D3">
            <w:pPr>
              <w:pStyle w:val="BodyText"/>
            </w:pPr>
            <w:r w:rsidRPr="00FC31D3">
              <w:t>This unit is equivalent to MARL009 Perform basic Engineering calculations.</w:t>
            </w:r>
          </w:p>
        </w:tc>
      </w:tr>
    </w:tbl>
    <w:p w:rsidR="00000000" w:rsidRPr="00FC31D3" w:rsidP="00FC31D3">
      <w:pPr>
        <w:pStyle w:val="NoPaddingFontSize1"/>
      </w:pPr>
    </w:p>
    <w:p w:rsidR="00000000" w:rsidRPr="00FC31D3" w:rsidP="00FC31D3">
      <w:pPr>
        <w:pStyle w:val="AllowPageBreak"/>
      </w:pPr>
    </w:p>
    <w:p w:rsidR="00000000" w:rsidRPr="00FC31D3" w:rsidP="00FC31D3">
      <w:pPr>
        <w:pStyle w:val="Heading1"/>
      </w:pPr>
      <w:bookmarkStart w:id="10" w:name="O_1088257"/>
      <w:bookmarkEnd w:id="10"/>
      <w:r w:rsidRPr="00FC31D3">
        <w:t>Links</w:t>
      </w:r>
    </w:p>
    <w:p w:rsidR="00000000" w:rsidRPr="00FC31D3" w:rsidP="00E760A8">
      <w:pPr>
        <w:pStyle w:val="BodyText"/>
      </w:pPr>
      <w:r w:rsidRPr="00FC31D3">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4A6407">
        <w:rPr>
          <w:rStyle w:val="Hyperlink"/>
        </w:rPr>
        <w:t>https://vetnet.gov.au/Pages/TrainingDocs.aspx?q=772efb7b-4cce-47fe-9bbd-ee3b1d1eb4c2</w:t>
      </w:r>
      <w:r>
        <w:fldChar w:fldCharType="end"/>
      </w:r>
    </w:p>
    <w:p w:rsidR="00000000" w:rsidRPr="00FC31D3" w:rsidP="00FC31D3"/>
    <w:sectPr w:rsidSect="00FC31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1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1D3" w:rsidRPr="00E760A8" w:rsidP="00E760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1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0A8" w:rsidP="00FC31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60A8" w:rsidP="00FC31D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760A8" w:rsidP="00FC31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1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0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31D3" w:rsidRPr="00E760A8" w:rsidP="00E760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1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0A8" w:rsidRPr="002D2AF8" w:rsidP="00FC31D3">
    <w:pPr>
      <w:pStyle w:val="Header"/>
      <w:framePr w:wrap="around"/>
    </w:pPr>
    <w:r>
      <w:fldChar w:fldCharType="begin"/>
    </w:r>
    <w:r>
      <w:instrText xml:space="preserve"> TITLE   \* MERGEFORMAT </w:instrText>
    </w:r>
    <w:r>
      <w:fldChar w:fldCharType="separate"/>
    </w:r>
    <w:r>
      <w:t>MARL061 Perform basic marine engineering calculations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E760A8" w:rsidP="00FC31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DEEE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B6FB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1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31D3"/>
    <w:pPr>
      <w:spacing w:before="360" w:after="60"/>
      <w:outlineLvl w:val="0"/>
    </w:pPr>
    <w:rPr>
      <w:sz w:val="32"/>
    </w:rPr>
  </w:style>
  <w:style w:type="paragraph" w:styleId="Heading2">
    <w:name w:val="heading 2"/>
    <w:basedOn w:val="HeadingBase"/>
    <w:next w:val="BodyText"/>
    <w:link w:val="Heading2Char"/>
    <w:qFormat/>
    <w:rsid w:val="00FC31D3"/>
    <w:pPr>
      <w:keepLines/>
      <w:spacing w:before="240" w:after="120"/>
      <w:outlineLvl w:val="1"/>
    </w:pPr>
    <w:rPr>
      <w:sz w:val="28"/>
      <w:szCs w:val="40"/>
    </w:rPr>
  </w:style>
  <w:style w:type="paragraph" w:styleId="Heading3">
    <w:name w:val="heading 3"/>
    <w:basedOn w:val="HeadingBase"/>
    <w:next w:val="BodyText"/>
    <w:link w:val="Heading3Char"/>
    <w:qFormat/>
    <w:rsid w:val="00FC31D3"/>
    <w:pPr>
      <w:spacing w:before="180" w:after="120"/>
      <w:outlineLvl w:val="2"/>
    </w:pPr>
    <w:rPr>
      <w:spacing w:val="-10"/>
      <w:kern w:val="32"/>
    </w:rPr>
  </w:style>
  <w:style w:type="paragraph" w:styleId="Heading4">
    <w:name w:val="heading 4"/>
    <w:basedOn w:val="HeadingBase"/>
    <w:next w:val="BodyText"/>
    <w:link w:val="Heading4Char"/>
    <w:qFormat/>
    <w:rsid w:val="00FC31D3"/>
    <w:pPr>
      <w:spacing w:before="160" w:after="120"/>
      <w:outlineLvl w:val="3"/>
    </w:pPr>
    <w:rPr>
      <w:sz w:val="22"/>
    </w:rPr>
  </w:style>
  <w:style w:type="paragraph" w:styleId="Heading5">
    <w:name w:val="heading 5"/>
    <w:basedOn w:val="HeadingBase"/>
    <w:next w:val="Normal"/>
    <w:link w:val="Heading5Char"/>
    <w:qFormat/>
    <w:rsid w:val="00FC31D3"/>
    <w:pPr>
      <w:spacing w:before="80"/>
      <w:outlineLvl w:val="4"/>
    </w:pPr>
    <w:rPr>
      <w:color w:val="918585"/>
      <w:sz w:val="20"/>
    </w:rPr>
  </w:style>
  <w:style w:type="paragraph" w:styleId="Heading6">
    <w:name w:val="heading 6"/>
    <w:basedOn w:val="HeadingBase"/>
    <w:next w:val="Normal"/>
    <w:link w:val="Heading6Char"/>
    <w:qFormat/>
    <w:rsid w:val="00FC31D3"/>
    <w:pPr>
      <w:spacing w:before="60"/>
      <w:outlineLvl w:val="5"/>
    </w:pPr>
    <w:rPr>
      <w:color w:val="918585"/>
      <w:sz w:val="20"/>
    </w:rPr>
  </w:style>
  <w:style w:type="paragraph" w:styleId="Heading7">
    <w:name w:val="heading 7"/>
    <w:basedOn w:val="Normal"/>
    <w:next w:val="Normal"/>
    <w:link w:val="Heading7Char"/>
    <w:qFormat/>
    <w:rsid w:val="00FC31D3"/>
    <w:pPr>
      <w:ind w:left="720"/>
      <w:outlineLvl w:val="6"/>
    </w:pPr>
    <w:rPr>
      <w:i/>
    </w:rPr>
  </w:style>
  <w:style w:type="paragraph" w:styleId="Heading8">
    <w:name w:val="heading 8"/>
    <w:basedOn w:val="Normal"/>
    <w:next w:val="Normal"/>
    <w:link w:val="Heading8Char"/>
    <w:qFormat/>
    <w:rsid w:val="00FC31D3"/>
    <w:pPr>
      <w:ind w:left="720"/>
      <w:outlineLvl w:val="7"/>
    </w:pPr>
    <w:rPr>
      <w:i/>
    </w:rPr>
  </w:style>
  <w:style w:type="paragraph" w:styleId="Heading9">
    <w:name w:val="heading 9"/>
    <w:basedOn w:val="Normal"/>
    <w:next w:val="Normal"/>
    <w:link w:val="Heading9Char"/>
    <w:qFormat/>
    <w:rsid w:val="00FC31D3"/>
    <w:pPr>
      <w:ind w:left="720"/>
      <w:outlineLvl w:val="8"/>
    </w:pPr>
    <w:rPr>
      <w:i/>
    </w:rPr>
  </w:style>
  <w:style w:type="character" w:default="1" w:styleId="DefaultParagraphFont">
    <w:name w:val="Default Paragraph Font"/>
    <w:uiPriority w:val="1"/>
    <w:unhideWhenUsed/>
    <w:rsid w:val="00FC31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31D3"/>
  </w:style>
  <w:style w:type="character" w:customStyle="1" w:styleId="Heading1Char">
    <w:name w:val="Heading 1 Char"/>
    <w:basedOn w:val="DefaultParagraphFont"/>
    <w:link w:val="Heading1"/>
    <w:rsid w:val="00FC31D3"/>
    <w:rPr>
      <w:rFonts w:ascii="Times New Roman" w:eastAsia="Times New Roman" w:hAnsi="Times New Roman" w:cs="Times New Roman"/>
      <w:b/>
      <w:sz w:val="32"/>
      <w:szCs w:val="20"/>
      <w:lang w:eastAsia="en-US"/>
    </w:rPr>
  </w:style>
  <w:style w:type="paragraph" w:styleId="BodyText">
    <w:name w:val="Body Text"/>
    <w:basedOn w:val="Normal"/>
    <w:link w:val="BodyTextChar"/>
    <w:rsid w:val="00FC31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31D3"/>
    <w:rPr>
      <w:rFonts w:ascii="Times New Roman" w:eastAsia="Times New Roman" w:hAnsi="Times New Roman" w:cs="Times New Roman"/>
      <w:sz w:val="24"/>
      <w:lang w:eastAsia="en-US"/>
    </w:rPr>
  </w:style>
  <w:style w:type="paragraph" w:styleId="ListBullet">
    <w:name w:val="List Bullet"/>
    <w:basedOn w:val="List"/>
    <w:rsid w:val="00FC31D3"/>
    <w:pPr>
      <w:numPr>
        <w:numId w:val="11"/>
      </w:numPr>
      <w:tabs>
        <w:tab w:val="clear" w:pos="340"/>
      </w:tabs>
      <w:spacing w:before="40" w:after="40"/>
    </w:pPr>
  </w:style>
  <w:style w:type="character" w:customStyle="1" w:styleId="SpecialBold">
    <w:name w:val="Special Bold"/>
    <w:basedOn w:val="DefaultParagraphFont"/>
    <w:rsid w:val="00FC31D3"/>
    <w:rPr>
      <w:b/>
      <w:spacing w:val="0"/>
    </w:rPr>
  </w:style>
  <w:style w:type="paragraph" w:customStyle="1" w:styleId="SuperHeading">
    <w:name w:val="SuperHeading"/>
    <w:basedOn w:val="Normal"/>
    <w:rsid w:val="00FC31D3"/>
    <w:pPr>
      <w:spacing w:before="240" w:after="120"/>
      <w:outlineLvl w:val="0"/>
    </w:pPr>
    <w:rPr>
      <w:rFonts w:ascii="Times New Roman" w:hAnsi="Times New Roman"/>
      <w:b/>
      <w:sz w:val="32"/>
    </w:rPr>
  </w:style>
  <w:style w:type="paragraph" w:customStyle="1" w:styleId="AllowPageBreak">
    <w:name w:val="AllowPageBreak"/>
    <w:rsid w:val="00FC31D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C31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31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31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31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31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31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31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31D3"/>
    <w:rPr>
      <w:rFonts w:ascii="Courier New" w:eastAsia="Times New Roman" w:hAnsi="Courier New" w:cs="Times New Roman"/>
      <w:i/>
      <w:szCs w:val="20"/>
      <w:lang w:eastAsia="en-US"/>
    </w:rPr>
  </w:style>
  <w:style w:type="paragraph" w:customStyle="1" w:styleId="HeadingBase">
    <w:name w:val="Heading Base"/>
    <w:rsid w:val="00FC31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31D3"/>
    <w:pPr>
      <w:tabs>
        <w:tab w:val="right" w:leader="dot" w:pos="9072"/>
      </w:tabs>
      <w:ind w:left="567"/>
    </w:pPr>
    <w:rPr>
      <w:szCs w:val="22"/>
    </w:rPr>
  </w:style>
  <w:style w:type="paragraph" w:customStyle="1" w:styleId="TOCBase">
    <w:name w:val="TOC Base"/>
    <w:rsid w:val="00FC31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31D3"/>
    <w:pPr>
      <w:tabs>
        <w:tab w:val="right" w:leader="dot" w:pos="9072"/>
      </w:tabs>
      <w:spacing w:before="40" w:after="40"/>
      <w:ind w:left="284"/>
    </w:pPr>
    <w:rPr>
      <w:rFonts w:ascii="Times New Roman" w:hAnsi="Times New Roman"/>
    </w:rPr>
  </w:style>
  <w:style w:type="paragraph" w:styleId="TOC1">
    <w:name w:val="toc 1"/>
    <w:basedOn w:val="TOCBase"/>
    <w:next w:val="Normal"/>
    <w:rsid w:val="00FC31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31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31D3"/>
    <w:rPr>
      <w:rFonts w:ascii="Times New Roman" w:eastAsia="Times New Roman" w:hAnsi="Times New Roman" w:cs="Times New Roman"/>
      <w:sz w:val="16"/>
      <w:lang w:eastAsia="en-US"/>
    </w:rPr>
  </w:style>
  <w:style w:type="paragraph" w:styleId="Title">
    <w:name w:val="Title"/>
    <w:basedOn w:val="HeadingBase"/>
    <w:link w:val="TitleChar"/>
    <w:qFormat/>
    <w:rsid w:val="00FC31D3"/>
    <w:pPr>
      <w:spacing w:before="5040"/>
      <w:jc w:val="center"/>
    </w:pPr>
    <w:rPr>
      <w:sz w:val="48"/>
      <w:szCs w:val="72"/>
      <w:lang w:val="en-US"/>
    </w:rPr>
  </w:style>
  <w:style w:type="character" w:customStyle="1" w:styleId="TitleChar">
    <w:name w:val="Title Char"/>
    <w:basedOn w:val="DefaultParagraphFont"/>
    <w:link w:val="Title"/>
    <w:rsid w:val="00FC31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31D3"/>
    <w:pPr>
      <w:tabs>
        <w:tab w:val="left" w:pos="3600"/>
        <w:tab w:val="left" w:pos="3958"/>
      </w:tabs>
    </w:pPr>
  </w:style>
  <w:style w:type="paragraph" w:styleId="List">
    <w:name w:val="List"/>
    <w:basedOn w:val="BodyText"/>
    <w:next w:val="BodyText"/>
    <w:rsid w:val="00FC31D3"/>
    <w:pPr>
      <w:tabs>
        <w:tab w:val="left" w:pos="340"/>
      </w:tabs>
      <w:spacing w:before="60" w:after="60"/>
      <w:ind w:left="340" w:hanging="340"/>
    </w:pPr>
  </w:style>
  <w:style w:type="paragraph" w:customStyle="1" w:styleId="Note">
    <w:name w:val="Note"/>
    <w:basedOn w:val="BodyText"/>
    <w:rsid w:val="00FC31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31D3"/>
    <w:pPr>
      <w:framePr w:wrap="auto" w:hAnchor="text" w:y="6049"/>
    </w:pPr>
    <w:rPr>
      <w:color w:val="000000"/>
      <w:sz w:val="40"/>
    </w:rPr>
  </w:style>
  <w:style w:type="paragraph" w:customStyle="1" w:styleId="TOCTitle">
    <w:name w:val="TOCTitle"/>
    <w:basedOn w:val="Heading1"/>
    <w:rsid w:val="00FC31D3"/>
    <w:pPr>
      <w:spacing w:after="240"/>
      <w:jc w:val="center"/>
      <w:outlineLvl w:val="9"/>
    </w:pPr>
    <w:rPr>
      <w:caps/>
    </w:rPr>
  </w:style>
  <w:style w:type="paragraph" w:customStyle="1" w:styleId="Version">
    <w:name w:val="Version"/>
    <w:rsid w:val="00FC31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31D3"/>
    <w:pPr>
      <w:numPr>
        <w:numId w:val="12"/>
      </w:numPr>
      <w:tabs>
        <w:tab w:val="clear" w:pos="680"/>
      </w:tabs>
    </w:pPr>
  </w:style>
  <w:style w:type="paragraph" w:styleId="Index1">
    <w:name w:val="index 1"/>
    <w:basedOn w:val="Normal"/>
    <w:next w:val="Normal"/>
    <w:semiHidden/>
    <w:rsid w:val="00FC31D3"/>
    <w:pPr>
      <w:keepNext w:val="0"/>
      <w:tabs>
        <w:tab w:val="right" w:pos="4176"/>
      </w:tabs>
      <w:ind w:left="198" w:hanging="198"/>
    </w:pPr>
    <w:rPr>
      <w:rFonts w:ascii="Garamond" w:hAnsi="Garamond"/>
    </w:rPr>
  </w:style>
  <w:style w:type="paragraph" w:styleId="IndexHeading">
    <w:name w:val="index heading"/>
    <w:basedOn w:val="Normal"/>
    <w:next w:val="Index1"/>
    <w:semiHidden/>
    <w:rsid w:val="00FC31D3"/>
    <w:pPr>
      <w:spacing w:before="120" w:after="120"/>
    </w:pPr>
    <w:rPr>
      <w:rFonts w:ascii="Arial" w:hAnsi="Arial"/>
      <w:b/>
      <w:color w:val="918585"/>
      <w:sz w:val="24"/>
    </w:rPr>
  </w:style>
  <w:style w:type="paragraph" w:styleId="Header">
    <w:name w:val="header"/>
    <w:basedOn w:val="Normal"/>
    <w:link w:val="HeaderChar"/>
    <w:rsid w:val="00FC31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31D3"/>
    <w:rPr>
      <w:rFonts w:ascii="Times New Roman" w:eastAsia="Times New Roman" w:hAnsi="Times New Roman" w:cs="Times New Roman"/>
      <w:sz w:val="16"/>
      <w:szCs w:val="20"/>
      <w:lang w:val="en-GB" w:eastAsia="en-US"/>
    </w:rPr>
  </w:style>
  <w:style w:type="paragraph" w:customStyle="1" w:styleId="Chapter">
    <w:name w:val="Chapter"/>
    <w:basedOn w:val="Normal"/>
    <w:rsid w:val="00FC31D3"/>
    <w:pPr>
      <w:spacing w:before="240"/>
    </w:pPr>
    <w:rPr>
      <w:rFonts w:ascii="Times New Roman" w:hAnsi="Times New Roman"/>
      <w:smallCaps/>
      <w:spacing w:val="80"/>
      <w:sz w:val="28"/>
    </w:rPr>
  </w:style>
  <w:style w:type="paragraph" w:customStyle="1" w:styleId="InChapter">
    <w:name w:val="InChapter"/>
    <w:basedOn w:val="Heading3"/>
    <w:rsid w:val="00FC31D3"/>
    <w:pPr>
      <w:spacing w:after="240"/>
      <w:outlineLvl w:val="9"/>
    </w:pPr>
    <w:rPr>
      <w:noProof/>
    </w:rPr>
  </w:style>
  <w:style w:type="paragraph" w:styleId="Index2">
    <w:name w:val="index 2"/>
    <w:basedOn w:val="Normal"/>
    <w:next w:val="Normal"/>
    <w:semiHidden/>
    <w:rsid w:val="00FC31D3"/>
    <w:pPr>
      <w:tabs>
        <w:tab w:val="right" w:pos="4176"/>
      </w:tabs>
      <w:ind w:left="568" w:hanging="284"/>
    </w:pPr>
    <w:rPr>
      <w:rFonts w:ascii="Garamond" w:hAnsi="Garamond"/>
    </w:rPr>
  </w:style>
  <w:style w:type="paragraph" w:customStyle="1" w:styleId="Byline">
    <w:name w:val="Byline"/>
    <w:rsid w:val="00FC31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31D3"/>
    <w:pPr>
      <w:tabs>
        <w:tab w:val="clear" w:pos="3600"/>
        <w:tab w:val="clear" w:pos="3958"/>
      </w:tabs>
      <w:jc w:val="right"/>
    </w:pPr>
  </w:style>
  <w:style w:type="character" w:styleId="Emphasis">
    <w:name w:val="Emphasis"/>
    <w:basedOn w:val="DefaultParagraphFont"/>
    <w:qFormat/>
    <w:rsid w:val="00FC31D3"/>
    <w:rPr>
      <w:i/>
    </w:rPr>
  </w:style>
  <w:style w:type="paragraph" w:styleId="Caption">
    <w:name w:val="caption"/>
    <w:basedOn w:val="BodyText"/>
    <w:next w:val="Normal"/>
    <w:qFormat/>
    <w:rsid w:val="00FC31D3"/>
    <w:pPr>
      <w:framePr w:w="2268" w:hSpace="181" w:vSpace="181" w:wrap="around" w:vAnchor="text" w:hAnchor="page" w:x="1135" w:y="285" w:anchorLock="1"/>
    </w:pPr>
    <w:rPr>
      <w:i/>
    </w:rPr>
  </w:style>
  <w:style w:type="paragraph" w:customStyle="1" w:styleId="MiniTOCTitle">
    <w:name w:val="MiniTOCTitle"/>
    <w:basedOn w:val="Heading4"/>
    <w:rsid w:val="00FC31D3"/>
    <w:pPr>
      <w:spacing w:before="240"/>
      <w:outlineLvl w:val="9"/>
    </w:pPr>
    <w:rPr>
      <w:noProof/>
      <w:sz w:val="24"/>
    </w:rPr>
  </w:style>
  <w:style w:type="paragraph" w:customStyle="1" w:styleId="MiniTOCItem">
    <w:name w:val="MiniTOCItem"/>
    <w:basedOn w:val="ListBullet"/>
    <w:rsid w:val="00FC31D3"/>
    <w:pPr>
      <w:numPr>
        <w:numId w:val="0"/>
      </w:numPr>
      <w:tabs>
        <w:tab w:val="right" w:leader="dot" w:pos="6521"/>
      </w:tabs>
      <w:spacing w:before="0" w:after="0"/>
    </w:pPr>
  </w:style>
  <w:style w:type="paragraph" w:customStyle="1" w:styleId="TOFTitle">
    <w:name w:val="TOFTitle"/>
    <w:basedOn w:val="TOCTitle"/>
    <w:rsid w:val="00FC31D3"/>
  </w:style>
  <w:style w:type="paragraph" w:styleId="TableofFigures">
    <w:name w:val="table of figures"/>
    <w:basedOn w:val="Normal"/>
    <w:next w:val="Normal"/>
    <w:semiHidden/>
    <w:rsid w:val="00FC31D3"/>
    <w:pPr>
      <w:tabs>
        <w:tab w:val="right" w:leader="dot" w:pos="9072"/>
      </w:tabs>
      <w:ind w:left="970" w:hanging="403"/>
    </w:pPr>
    <w:rPr>
      <w:rFonts w:ascii="Times New Roman" w:hAnsi="Times New Roman"/>
      <w:b/>
    </w:rPr>
  </w:style>
  <w:style w:type="paragraph" w:styleId="ListNumber">
    <w:name w:val="List Number"/>
    <w:basedOn w:val="List"/>
    <w:rsid w:val="00FC31D3"/>
    <w:pPr>
      <w:numPr>
        <w:numId w:val="14"/>
      </w:numPr>
      <w:tabs>
        <w:tab w:val="clear" w:pos="340"/>
      </w:tabs>
    </w:pPr>
  </w:style>
  <w:style w:type="character" w:customStyle="1" w:styleId="WingdingSymbols">
    <w:name w:val="Wingding Symbols"/>
    <w:rsid w:val="00FC31D3"/>
    <w:rPr>
      <w:rFonts w:ascii="Wingdings" w:hAnsi="Wingdings"/>
    </w:rPr>
  </w:style>
  <w:style w:type="paragraph" w:customStyle="1" w:styleId="TableHeading">
    <w:name w:val="Table Heading"/>
    <w:basedOn w:val="HeadingBase"/>
    <w:rsid w:val="00FC31D3"/>
    <w:pPr>
      <w:keepLines/>
      <w:pBdr>
        <w:bottom w:val="single" w:sz="6" w:space="1" w:color="918585"/>
      </w:pBdr>
      <w:spacing w:before="240"/>
    </w:pPr>
  </w:style>
  <w:style w:type="character" w:customStyle="1" w:styleId="HotSpot">
    <w:name w:val="HotSpot"/>
    <w:rsid w:val="00FC31D3"/>
    <w:rPr>
      <w:color w:val="0033CC"/>
      <w:u w:val="none"/>
    </w:rPr>
  </w:style>
  <w:style w:type="paragraph" w:customStyle="1" w:styleId="BodyTextRight">
    <w:name w:val="Body Text Right"/>
    <w:basedOn w:val="BodyText"/>
    <w:rsid w:val="00FC31D3"/>
    <w:pPr>
      <w:spacing w:before="0" w:after="0"/>
      <w:jc w:val="right"/>
    </w:pPr>
  </w:style>
  <w:style w:type="paragraph" w:styleId="Index3">
    <w:name w:val="index 3"/>
    <w:basedOn w:val="ListNumber2"/>
    <w:next w:val="Normal"/>
    <w:semiHidden/>
    <w:rsid w:val="00FC31D3"/>
    <w:pPr>
      <w:numPr>
        <w:numId w:val="0"/>
      </w:numPr>
      <w:tabs>
        <w:tab w:val="right" w:leader="dot" w:pos="4176"/>
      </w:tabs>
    </w:pPr>
  </w:style>
  <w:style w:type="paragraph" w:styleId="ListNumber2">
    <w:name w:val="List Number 2"/>
    <w:basedOn w:val="List2"/>
    <w:rsid w:val="00FC31D3"/>
    <w:pPr>
      <w:numPr>
        <w:numId w:val="9"/>
      </w:numPr>
      <w:tabs>
        <w:tab w:val="clear" w:pos="1060"/>
      </w:tabs>
    </w:pPr>
  </w:style>
  <w:style w:type="paragraph" w:customStyle="1" w:styleId="MarginNote">
    <w:name w:val="Margin Note"/>
    <w:basedOn w:val="BodyText"/>
    <w:rsid w:val="00FC31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31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31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31D3"/>
    <w:rPr>
      <w:sz w:val="32"/>
    </w:rPr>
  </w:style>
  <w:style w:type="paragraph" w:customStyle="1" w:styleId="HeadingProcedure">
    <w:name w:val="Heading Procedure"/>
    <w:basedOn w:val="HeadingBase"/>
    <w:next w:val="Normal"/>
    <w:rsid w:val="00FC31D3"/>
    <w:pPr>
      <w:tabs>
        <w:tab w:val="left" w:pos="0"/>
      </w:tabs>
      <w:spacing w:before="120" w:after="60"/>
    </w:pPr>
    <w:rPr>
      <w:i/>
      <w:color w:val="918585"/>
      <w:sz w:val="22"/>
    </w:rPr>
  </w:style>
  <w:style w:type="paragraph" w:customStyle="1" w:styleId="TableBodyText">
    <w:name w:val="Table Body Text"/>
    <w:basedOn w:val="BodyText"/>
    <w:rsid w:val="00FC31D3"/>
    <w:pPr>
      <w:spacing w:before="60" w:after="60"/>
    </w:pPr>
  </w:style>
  <w:style w:type="paragraph" w:styleId="ListContinue">
    <w:name w:val="List Continue"/>
    <w:basedOn w:val="List"/>
    <w:rsid w:val="00FC31D3"/>
    <w:pPr>
      <w:ind w:firstLine="0"/>
    </w:pPr>
  </w:style>
  <w:style w:type="paragraph" w:customStyle="1" w:styleId="ListNote">
    <w:name w:val="List Note"/>
    <w:basedOn w:val="List"/>
    <w:rsid w:val="00FC31D3"/>
    <w:pPr>
      <w:pBdr>
        <w:top w:val="single" w:sz="6" w:space="2" w:color="918585"/>
        <w:bottom w:val="single" w:sz="6" w:space="2" w:color="918585"/>
      </w:pBdr>
      <w:tabs>
        <w:tab w:val="left" w:pos="1021"/>
      </w:tabs>
      <w:ind w:firstLine="0"/>
    </w:pPr>
  </w:style>
  <w:style w:type="paragraph" w:customStyle="1" w:styleId="Warning">
    <w:name w:val="Warning"/>
    <w:basedOn w:val="BodyText"/>
    <w:rsid w:val="00FC31D3"/>
    <w:pPr>
      <w:shd w:val="clear" w:color="auto" w:fill="D9D9D9"/>
      <w:tabs>
        <w:tab w:val="left" w:pos="992"/>
      </w:tabs>
      <w:ind w:left="119" w:right="119"/>
    </w:pPr>
    <w:rPr>
      <w:sz w:val="20"/>
    </w:rPr>
  </w:style>
  <w:style w:type="paragraph" w:customStyle="1" w:styleId="MarginIcons">
    <w:name w:val="Margin Icons"/>
    <w:basedOn w:val="BodyText"/>
    <w:rsid w:val="00FC31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31D3"/>
    <w:rPr>
      <w:rFonts w:ascii="Courier New" w:hAnsi="Courier New"/>
    </w:rPr>
  </w:style>
  <w:style w:type="paragraph" w:customStyle="1" w:styleId="NoteBullet">
    <w:name w:val="Note Bullet"/>
    <w:basedOn w:val="Note"/>
    <w:rsid w:val="00FC31D3"/>
    <w:pPr>
      <w:tabs>
        <w:tab w:val="clear" w:pos="680"/>
      </w:tabs>
      <w:spacing w:before="60" w:after="60"/>
    </w:pPr>
  </w:style>
  <w:style w:type="paragraph" w:customStyle="1" w:styleId="SubHeading2">
    <w:name w:val="SubHeading2"/>
    <w:basedOn w:val="HeadingBase"/>
    <w:rsid w:val="00FC31D3"/>
    <w:pPr>
      <w:spacing w:before="240" w:after="60"/>
    </w:pPr>
    <w:rPr>
      <w:sz w:val="20"/>
    </w:rPr>
  </w:style>
  <w:style w:type="paragraph" w:customStyle="1" w:styleId="SubHeading1">
    <w:name w:val="SubHeading1"/>
    <w:basedOn w:val="HeadingBase"/>
    <w:rsid w:val="00FC31D3"/>
    <w:pPr>
      <w:spacing w:before="240" w:after="60"/>
    </w:pPr>
    <w:rPr>
      <w:color w:val="918585"/>
      <w:sz w:val="22"/>
    </w:rPr>
  </w:style>
  <w:style w:type="paragraph" w:customStyle="1" w:styleId="SideHeading">
    <w:name w:val="Side Heading"/>
    <w:basedOn w:val="HeadingBase"/>
    <w:rsid w:val="00FC31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31D3"/>
    <w:pPr>
      <w:numPr>
        <w:numId w:val="10"/>
      </w:numPr>
    </w:pPr>
  </w:style>
  <w:style w:type="paragraph" w:styleId="PlainText">
    <w:name w:val="Plain Text"/>
    <w:basedOn w:val="Normal"/>
    <w:link w:val="PlainTextChar"/>
    <w:rsid w:val="00FC31D3"/>
    <w:rPr>
      <w:sz w:val="20"/>
    </w:rPr>
  </w:style>
  <w:style w:type="character" w:customStyle="1" w:styleId="PlainTextChar">
    <w:name w:val="Plain Text Char"/>
    <w:basedOn w:val="DefaultParagraphFont"/>
    <w:link w:val="PlainText"/>
    <w:rsid w:val="00FC31D3"/>
    <w:rPr>
      <w:rFonts w:ascii="Courier New" w:eastAsia="Times New Roman" w:hAnsi="Courier New" w:cs="Times New Roman"/>
      <w:sz w:val="20"/>
      <w:szCs w:val="20"/>
      <w:lang w:eastAsia="en-US"/>
    </w:rPr>
  </w:style>
  <w:style w:type="character" w:customStyle="1" w:styleId="MenuOption">
    <w:name w:val="Menu Option"/>
    <w:basedOn w:val="DefaultParagraphFont"/>
    <w:rsid w:val="00FC31D3"/>
    <w:rPr>
      <w:b/>
      <w:smallCaps/>
    </w:rPr>
  </w:style>
  <w:style w:type="paragraph" w:customStyle="1" w:styleId="TableListNumber">
    <w:name w:val="Table List Number"/>
    <w:basedOn w:val="ListNumber"/>
    <w:rsid w:val="00FC31D3"/>
    <w:pPr>
      <w:numPr>
        <w:numId w:val="0"/>
      </w:numPr>
    </w:pPr>
  </w:style>
  <w:style w:type="paragraph" w:styleId="TOC4">
    <w:name w:val="toc 4"/>
    <w:basedOn w:val="TOCBase"/>
    <w:next w:val="Normal"/>
    <w:semiHidden/>
    <w:rsid w:val="00FC31D3"/>
    <w:pPr>
      <w:tabs>
        <w:tab w:val="right" w:leader="dot" w:pos="9071"/>
      </w:tabs>
      <w:ind w:left="1701"/>
    </w:pPr>
  </w:style>
  <w:style w:type="paragraph" w:customStyle="1" w:styleId="ListAlpha">
    <w:name w:val="List Alpha"/>
    <w:basedOn w:val="List"/>
    <w:rsid w:val="00FC31D3"/>
    <w:pPr>
      <w:numPr>
        <w:numId w:val="8"/>
      </w:numPr>
    </w:pPr>
  </w:style>
  <w:style w:type="paragraph" w:customStyle="1" w:styleId="ListAlpha2">
    <w:name w:val="List Alpha 2"/>
    <w:basedOn w:val="List2"/>
    <w:rsid w:val="00FC31D3"/>
    <w:pPr>
      <w:numPr>
        <w:numId w:val="7"/>
      </w:numPr>
    </w:pPr>
  </w:style>
  <w:style w:type="paragraph" w:styleId="List2">
    <w:name w:val="List 2"/>
    <w:basedOn w:val="BodyText"/>
    <w:rsid w:val="00FC31D3"/>
    <w:pPr>
      <w:tabs>
        <w:tab w:val="left" w:pos="680"/>
      </w:tabs>
      <w:spacing w:before="60" w:after="60"/>
      <w:ind w:left="680" w:hanging="340"/>
    </w:pPr>
  </w:style>
  <w:style w:type="paragraph" w:styleId="List3">
    <w:name w:val="List 3"/>
    <w:basedOn w:val="BodyText"/>
    <w:rsid w:val="00FC31D3"/>
    <w:pPr>
      <w:tabs>
        <w:tab w:val="left" w:pos="1021"/>
      </w:tabs>
      <w:spacing w:before="60" w:after="60"/>
      <w:ind w:left="1020" w:hanging="340"/>
    </w:pPr>
  </w:style>
  <w:style w:type="paragraph" w:styleId="List4">
    <w:name w:val="List 4"/>
    <w:basedOn w:val="BodyText"/>
    <w:rsid w:val="00FC31D3"/>
    <w:pPr>
      <w:tabs>
        <w:tab w:val="left" w:pos="1361"/>
      </w:tabs>
      <w:spacing w:before="60" w:after="60"/>
      <w:ind w:left="1361" w:hanging="340"/>
    </w:pPr>
  </w:style>
  <w:style w:type="paragraph" w:styleId="List5">
    <w:name w:val="List 5"/>
    <w:basedOn w:val="BodyText"/>
    <w:rsid w:val="00FC31D3"/>
    <w:pPr>
      <w:tabs>
        <w:tab w:val="left" w:pos="1701"/>
      </w:tabs>
      <w:spacing w:before="60" w:after="60"/>
      <w:ind w:left="1701" w:hanging="340"/>
    </w:pPr>
  </w:style>
  <w:style w:type="paragraph" w:styleId="ListBullet3">
    <w:name w:val="List Bullet 3"/>
    <w:basedOn w:val="List3"/>
    <w:rsid w:val="00FC31D3"/>
    <w:pPr>
      <w:numPr>
        <w:numId w:val="13"/>
      </w:numPr>
      <w:tabs>
        <w:tab w:val="clear" w:pos="1021"/>
      </w:tabs>
      <w:ind w:left="1037" w:hanging="357"/>
    </w:pPr>
  </w:style>
  <w:style w:type="paragraph" w:styleId="ListBullet4">
    <w:name w:val="List Bullet 4"/>
    <w:basedOn w:val="List4"/>
    <w:rsid w:val="00FC31D3"/>
    <w:pPr>
      <w:numPr>
        <w:numId w:val="2"/>
      </w:numPr>
      <w:tabs>
        <w:tab w:val="clear" w:pos="1361"/>
      </w:tabs>
    </w:pPr>
  </w:style>
  <w:style w:type="paragraph" w:styleId="ListBullet5">
    <w:name w:val="List Bullet 5"/>
    <w:basedOn w:val="List5"/>
    <w:rsid w:val="00FC31D3"/>
    <w:pPr>
      <w:numPr>
        <w:numId w:val="3"/>
      </w:numPr>
    </w:pPr>
  </w:style>
  <w:style w:type="paragraph" w:styleId="ListContinue2">
    <w:name w:val="List Continue 2"/>
    <w:basedOn w:val="List2"/>
    <w:rsid w:val="00FC31D3"/>
    <w:pPr>
      <w:ind w:firstLine="0"/>
    </w:pPr>
  </w:style>
  <w:style w:type="paragraph" w:styleId="ListContinue3">
    <w:name w:val="List Continue 3"/>
    <w:basedOn w:val="List3"/>
    <w:rsid w:val="00FC31D3"/>
    <w:pPr>
      <w:ind w:left="1021" w:firstLine="0"/>
    </w:pPr>
  </w:style>
  <w:style w:type="paragraph" w:styleId="ListContinue4">
    <w:name w:val="List Continue 4"/>
    <w:basedOn w:val="List4"/>
    <w:rsid w:val="00FC31D3"/>
    <w:pPr>
      <w:ind w:firstLine="0"/>
    </w:pPr>
  </w:style>
  <w:style w:type="paragraph" w:styleId="ListContinue5">
    <w:name w:val="List Continue 5"/>
    <w:basedOn w:val="List5"/>
    <w:rsid w:val="00FC31D3"/>
    <w:pPr>
      <w:ind w:firstLine="0"/>
    </w:pPr>
  </w:style>
  <w:style w:type="paragraph" w:styleId="ListNumber3">
    <w:name w:val="List Number 3"/>
    <w:basedOn w:val="List3"/>
    <w:rsid w:val="00FC31D3"/>
    <w:pPr>
      <w:numPr>
        <w:numId w:val="4"/>
      </w:numPr>
    </w:pPr>
  </w:style>
  <w:style w:type="paragraph" w:styleId="ListNumber4">
    <w:name w:val="List Number 4"/>
    <w:basedOn w:val="List4"/>
    <w:rsid w:val="00FC31D3"/>
    <w:pPr>
      <w:numPr>
        <w:numId w:val="5"/>
      </w:numPr>
    </w:pPr>
  </w:style>
  <w:style w:type="paragraph" w:styleId="ListNumber5">
    <w:name w:val="List Number 5"/>
    <w:basedOn w:val="List5"/>
    <w:rsid w:val="00FC31D3"/>
    <w:pPr>
      <w:numPr>
        <w:numId w:val="6"/>
      </w:numPr>
    </w:pPr>
  </w:style>
  <w:style w:type="paragraph" w:styleId="BlockText">
    <w:name w:val="Block Text"/>
    <w:basedOn w:val="Normal"/>
    <w:rsid w:val="00FC31D3"/>
    <w:pPr>
      <w:spacing w:after="120"/>
      <w:ind w:left="1440" w:right="1440"/>
    </w:pPr>
  </w:style>
  <w:style w:type="character" w:customStyle="1" w:styleId="Subscript">
    <w:name w:val="Subscript"/>
    <w:basedOn w:val="DefaultParagraphFont"/>
    <w:rsid w:val="00FC31D3"/>
    <w:rPr>
      <w:sz w:val="16"/>
      <w:vertAlign w:val="subscript"/>
    </w:rPr>
  </w:style>
  <w:style w:type="character" w:customStyle="1" w:styleId="Superscript">
    <w:name w:val="Superscript"/>
    <w:basedOn w:val="DefaultParagraphFont"/>
    <w:rsid w:val="00FC31D3"/>
    <w:rPr>
      <w:sz w:val="16"/>
      <w:vertAlign w:val="superscript"/>
    </w:rPr>
  </w:style>
  <w:style w:type="character" w:customStyle="1" w:styleId="Symbols">
    <w:name w:val="Symbols"/>
    <w:basedOn w:val="DefaultParagraphFont"/>
    <w:rsid w:val="00FC31D3"/>
    <w:rPr>
      <w:rFonts w:ascii="Symbol" w:hAnsi="Symbol"/>
    </w:rPr>
  </w:style>
  <w:style w:type="character" w:customStyle="1" w:styleId="MenuOptions">
    <w:name w:val="Menu Options"/>
    <w:basedOn w:val="DefaultParagraphFont"/>
    <w:rsid w:val="00FC31D3"/>
    <w:rPr>
      <w:rFonts w:ascii="Arial Narrow" w:hAnsi="Arial Narrow"/>
      <w:smallCaps/>
    </w:rPr>
  </w:style>
  <w:style w:type="character" w:customStyle="1" w:styleId="Buttons">
    <w:name w:val="Buttons"/>
    <w:basedOn w:val="DefaultParagraphFont"/>
    <w:rsid w:val="00FC31D3"/>
    <w:rPr>
      <w:b/>
    </w:rPr>
  </w:style>
  <w:style w:type="character" w:customStyle="1" w:styleId="Underlined">
    <w:name w:val="Underlined"/>
    <w:basedOn w:val="DefaultParagraphFont"/>
    <w:rsid w:val="00FC31D3"/>
    <w:rPr>
      <w:u w:val="single"/>
    </w:rPr>
  </w:style>
  <w:style w:type="paragraph" w:customStyle="1" w:styleId="TableBodyTextRight">
    <w:name w:val="Table Body Text Right"/>
    <w:basedOn w:val="TableBodyText"/>
    <w:rsid w:val="00FC31D3"/>
    <w:pPr>
      <w:widowControl w:val="0"/>
      <w:autoSpaceDE w:val="0"/>
      <w:autoSpaceDN w:val="0"/>
      <w:adjustRightInd w:val="0"/>
      <w:jc w:val="right"/>
    </w:pPr>
    <w:rPr>
      <w:rFonts w:cs="Arial"/>
      <w:szCs w:val="18"/>
    </w:rPr>
  </w:style>
  <w:style w:type="paragraph" w:customStyle="1" w:styleId="CopyrightText">
    <w:name w:val="Copyright Text"/>
    <w:basedOn w:val="BodyText"/>
    <w:rsid w:val="00FC31D3"/>
    <w:rPr>
      <w:sz w:val="18"/>
    </w:rPr>
  </w:style>
  <w:style w:type="paragraph" w:customStyle="1" w:styleId="BodySmallRight">
    <w:name w:val="Body Small Right"/>
    <w:basedOn w:val="BodyTextRight"/>
    <w:rsid w:val="00FC31D3"/>
    <w:rPr>
      <w:sz w:val="18"/>
      <w:szCs w:val="18"/>
    </w:rPr>
  </w:style>
  <w:style w:type="paragraph" w:customStyle="1" w:styleId="MarginEdition">
    <w:name w:val="Margin Edition"/>
    <w:basedOn w:val="MarginNote"/>
    <w:rsid w:val="00FC31D3"/>
    <w:pPr>
      <w:spacing w:before="0" w:after="0"/>
    </w:pPr>
    <w:rPr>
      <w:rFonts w:ascii="Times New Roman" w:hAnsi="Times New Roman"/>
      <w:color w:val="999999"/>
    </w:rPr>
  </w:style>
  <w:style w:type="paragraph" w:customStyle="1" w:styleId="Spacer">
    <w:name w:val="Spacer"/>
    <w:basedOn w:val="Normal"/>
    <w:rsid w:val="00FC31D3"/>
    <w:rPr>
      <w:sz w:val="2"/>
      <w:szCs w:val="2"/>
    </w:rPr>
  </w:style>
  <w:style w:type="character" w:customStyle="1" w:styleId="Small">
    <w:name w:val="Small"/>
    <w:basedOn w:val="DefaultParagraphFont"/>
    <w:rsid w:val="00FC31D3"/>
    <w:rPr>
      <w:sz w:val="16"/>
    </w:rPr>
  </w:style>
  <w:style w:type="paragraph" w:customStyle="1" w:styleId="WideTable">
    <w:name w:val="Wide Table"/>
    <w:basedOn w:val="Normal"/>
    <w:rsid w:val="00FC31D3"/>
    <w:pPr>
      <w:ind w:left="-1418"/>
    </w:pPr>
    <w:rPr>
      <w:sz w:val="2"/>
      <w:szCs w:val="2"/>
    </w:rPr>
  </w:style>
  <w:style w:type="character" w:styleId="PageNumber">
    <w:name w:val="page number"/>
    <w:basedOn w:val="DefaultParagraphFont"/>
    <w:rsid w:val="00FC31D3"/>
  </w:style>
  <w:style w:type="paragraph" w:styleId="Quote">
    <w:name w:val="Quote"/>
    <w:basedOn w:val="Heading1"/>
    <w:link w:val="QuoteChar"/>
    <w:qFormat/>
    <w:rsid w:val="00FC31D3"/>
    <w:rPr>
      <w:b w:val="0"/>
      <w:sz w:val="72"/>
      <w:szCs w:val="72"/>
      <w:lang w:val="en-NZ"/>
    </w:rPr>
  </w:style>
  <w:style w:type="character" w:customStyle="1" w:styleId="QuoteChar">
    <w:name w:val="Quote Char"/>
    <w:basedOn w:val="DefaultParagraphFont"/>
    <w:link w:val="Quote"/>
    <w:rsid w:val="00FC31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31D3"/>
    <w:pPr>
      <w:pageBreakBefore/>
    </w:pPr>
  </w:style>
  <w:style w:type="paragraph" w:customStyle="1" w:styleId="Border">
    <w:name w:val="Border"/>
    <w:basedOn w:val="Normal"/>
    <w:qFormat/>
    <w:rsid w:val="00FC31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31D3"/>
    <w:rPr>
      <w:b/>
      <w:bCs/>
      <w:i/>
      <w:iCs/>
      <w:color w:val="auto"/>
    </w:rPr>
  </w:style>
  <w:style w:type="paragraph" w:styleId="IntenseQuote">
    <w:name w:val="Intense Quote"/>
    <w:basedOn w:val="Normal"/>
    <w:next w:val="Normal"/>
    <w:link w:val="IntenseQuoteChar"/>
    <w:uiPriority w:val="30"/>
    <w:qFormat/>
    <w:rsid w:val="00FC31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31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31D3"/>
    <w:rPr>
      <w:smallCaps/>
      <w:color w:val="auto"/>
      <w:u w:val="single"/>
    </w:rPr>
  </w:style>
  <w:style w:type="character" w:styleId="IntenseReference">
    <w:name w:val="Intense Reference"/>
    <w:basedOn w:val="DefaultParagraphFont"/>
    <w:uiPriority w:val="32"/>
    <w:qFormat/>
    <w:rsid w:val="00FC31D3"/>
    <w:rPr>
      <w:b/>
      <w:bCs/>
      <w:smallCaps/>
      <w:color w:val="auto"/>
      <w:spacing w:val="5"/>
      <w:u w:val="single"/>
    </w:rPr>
  </w:style>
  <w:style w:type="paragraph" w:customStyle="1" w:styleId="2ColumnHeading">
    <w:name w:val="2Column Heading"/>
    <w:basedOn w:val="BodyText"/>
    <w:qFormat/>
    <w:rsid w:val="00FC31D3"/>
    <w:pPr>
      <w:spacing w:after="60"/>
      <w:ind w:left="-2268"/>
    </w:pPr>
    <w:rPr>
      <w:b/>
    </w:rPr>
  </w:style>
  <w:style w:type="paragraph" w:customStyle="1" w:styleId="Heading1TOC">
    <w:name w:val="Heading1 TOC"/>
    <w:basedOn w:val="Normal"/>
    <w:qFormat/>
    <w:rsid w:val="00FC31D3"/>
    <w:pPr>
      <w:spacing w:before="240" w:after="120"/>
    </w:pPr>
    <w:rPr>
      <w:rFonts w:ascii="Times New Roman" w:hAnsi="Times New Roman"/>
      <w:b/>
      <w:sz w:val="32"/>
    </w:rPr>
  </w:style>
  <w:style w:type="paragraph" w:customStyle="1" w:styleId="Heading2TOC">
    <w:name w:val="Heading2 TOC"/>
    <w:basedOn w:val="Normal"/>
    <w:qFormat/>
    <w:rsid w:val="00FC31D3"/>
    <w:pPr>
      <w:spacing w:before="240" w:after="60"/>
    </w:pPr>
    <w:rPr>
      <w:rFonts w:ascii="Times New Roman" w:hAnsi="Times New Roman"/>
      <w:b/>
      <w:sz w:val="28"/>
    </w:rPr>
  </w:style>
  <w:style w:type="character" w:customStyle="1" w:styleId="Underline">
    <w:name w:val="Underline"/>
    <w:basedOn w:val="DefaultParagraphFont"/>
    <w:qFormat/>
    <w:rsid w:val="00FC31D3"/>
    <w:rPr>
      <w:u w:val="single"/>
    </w:rPr>
  </w:style>
  <w:style w:type="character" w:customStyle="1" w:styleId="BoldandItalics">
    <w:name w:val="Bold and Italics"/>
    <w:qFormat/>
    <w:rsid w:val="00FC31D3"/>
    <w:rPr>
      <w:b/>
      <w:i/>
      <w:u w:val="none"/>
    </w:rPr>
  </w:style>
  <w:style w:type="paragraph" w:styleId="BalloonText">
    <w:name w:val="Balloon Text"/>
    <w:basedOn w:val="Normal"/>
    <w:link w:val="BalloonTextChar"/>
    <w:rsid w:val="00FC31D3"/>
    <w:rPr>
      <w:rFonts w:ascii="Tahoma" w:hAnsi="Tahoma" w:cs="Tahoma"/>
      <w:sz w:val="16"/>
      <w:szCs w:val="16"/>
    </w:rPr>
  </w:style>
  <w:style w:type="character" w:customStyle="1" w:styleId="BalloonTextChar">
    <w:name w:val="Balloon Text Char"/>
    <w:basedOn w:val="DefaultParagraphFont"/>
    <w:link w:val="BalloonText"/>
    <w:rsid w:val="00FC31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31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31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31D3"/>
    <w:rPr>
      <w:b/>
      <w:color w:val="660033"/>
      <w:spacing w:val="0"/>
    </w:rPr>
  </w:style>
  <w:style w:type="paragraph" w:customStyle="1" w:styleId="Nameditemlist">
    <w:name w:val="Named item list"/>
    <w:basedOn w:val="BodyText"/>
    <w:qFormat/>
    <w:rsid w:val="00FC31D3"/>
    <w:pPr>
      <w:tabs>
        <w:tab w:val="left" w:pos="2835"/>
      </w:tabs>
      <w:ind w:left="2835" w:hanging="2835"/>
    </w:pPr>
  </w:style>
  <w:style w:type="paragraph" w:customStyle="1" w:styleId="BodyTextnopadding">
    <w:name w:val="Body Text no padding"/>
    <w:basedOn w:val="BodyText"/>
    <w:qFormat/>
    <w:rsid w:val="00FC31D3"/>
    <w:pPr>
      <w:spacing w:before="0" w:after="0"/>
    </w:pPr>
  </w:style>
  <w:style w:type="paragraph" w:customStyle="1" w:styleId="BodyTextBold">
    <w:name w:val="Body Text Bold"/>
    <w:basedOn w:val="BodyText"/>
    <w:qFormat/>
    <w:rsid w:val="00FC31D3"/>
    <w:rPr>
      <w:b/>
    </w:rPr>
  </w:style>
  <w:style w:type="character" w:styleId="Hyperlink">
    <w:name w:val="Hyperlink"/>
    <w:basedOn w:val="DefaultParagraphFont"/>
    <w:uiPriority w:val="99"/>
    <w:unhideWhenUsed/>
    <w:rsid w:val="00E760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651</Words>
  <Characters>4087</Characters>
  <Application>Microsoft Office Word</Application>
  <DocSecurity>0</DocSecurity>
  <Lines>170</Lines>
  <Paragraphs>87</Paragraphs>
  <ScaleCrop>false</ScaleCrop>
  <Company>Author-it Software Corporation Ltd.</Company>
  <LinksUpToDate>false</LinksUpToDate>
  <CharactersWithSpaces>4651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MARL061 Perform basic marine engineering calculations</dc:title>
  <dc:subject>Approved</dc:subject>
  <dc:creator>Industry Skills Australia</dc:creator>
  <cp:keywords>Release: 1</cp:keywords>
  <dc:description>Review Date: 12 April 2008</dc:description>
  <cp:lastModifiedBy>HSD_TPCMSd.prod</cp:lastModifiedBy>
  <cp:revision>3</cp:revision>
  <dcterms:created xsi:type="dcterms:W3CDTF">2024-11-22T08:02:00Z</dcterms:created>
  <dcterms:modified xsi:type="dcterms:W3CDTF">2024-11-22T08:02:00Z</dcterms:modified>
</cp:coreProperties>
</file>