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FBF" w:rsidP="002F7FBF">
      <w:pPr>
        <w:pStyle w:val="Title"/>
      </w:pPr>
      <w:r>
        <w:fldChar w:fldCharType="begin"/>
      </w:r>
      <w:r>
        <w:instrText xml:space="preserve"> TITLE   \* MERGEFORMAT </w:instrText>
      </w:r>
      <w:r>
        <w:fldChar w:fldCharType="separate"/>
      </w:r>
      <w:r>
        <w:t>MARL057 Demonstrate basic knowledge of marine diesel engines and systems</w:t>
      </w:r>
      <w:r>
        <w:fldChar w:fldCharType="end"/>
      </w:r>
    </w:p>
    <w:p w:rsidR="002F7FBF" w:rsidP="002F7FBF">
      <w:pPr>
        <w:pStyle w:val="Version"/>
        <w:sectPr w:rsidSect="006229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29AE" w:rsidP="006229AE">
      <w:pPr>
        <w:pStyle w:val="SuperHeading"/>
      </w:pPr>
      <w:r w:rsidRPr="006229AE">
        <w:t>MARL057 Demonstrate basic knowledge of marine diesel engines and systems</w:t>
      </w:r>
    </w:p>
    <w:p w:rsidR="00000000" w:rsidRPr="006229AE" w:rsidP="006229AE">
      <w:pPr>
        <w:pStyle w:val="Heading1"/>
      </w:pPr>
      <w:bookmarkStart w:id="1" w:name="O_1280437"/>
      <w:bookmarkEnd w:id="1"/>
      <w:r w:rsidRPr="006229AE">
        <w:t>Modification History</w:t>
      </w:r>
    </w:p>
    <w:tbl>
      <w:tblPr>
        <w:tblW w:w="9497" w:type="dxa"/>
        <w:tblLayout w:type="fixed"/>
        <w:tblCellMar>
          <w:left w:w="62" w:type="dxa"/>
          <w:right w:w="62" w:type="dxa"/>
        </w:tblCellMar>
        <w:tblLook w:val="0000"/>
      </w:tblPr>
      <w:tblGrid>
        <w:gridCol w:w="9497"/>
      </w:tblGrid>
      <w:tr w:rsidTr="00622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Release 2.</w:t>
            </w:r>
            <w:r w:rsidRPr="006229AE">
              <w:t xml:space="preserve"> This is the second release of this qualification in the MAR Maritime Training Package with minor change to performance evidence.</w:t>
            </w:r>
          </w:p>
        </w:tc>
      </w:tr>
      <w:tr w:rsidTr="00622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Release 1.</w:t>
            </w:r>
            <w:r w:rsidRPr="006229AE">
              <w:t xml:space="preserve"> This is the first release of this unit of competency in the MAR Maritime Training Package.</w:t>
            </w:r>
          </w:p>
        </w:tc>
      </w:tr>
    </w:tbl>
    <w:p w:rsidR="00000000" w:rsidRPr="006229AE" w:rsidP="006229AE">
      <w:pPr>
        <w:pStyle w:val="NoPaddingFontSize1"/>
      </w:pPr>
    </w:p>
    <w:p w:rsidR="00000000" w:rsidRPr="006229AE" w:rsidP="006229AE">
      <w:pPr>
        <w:pStyle w:val="AllowPageBreak"/>
      </w:pPr>
    </w:p>
    <w:p w:rsidR="00000000" w:rsidRPr="006229AE" w:rsidP="006229AE">
      <w:pPr>
        <w:pStyle w:val="Heading1"/>
      </w:pPr>
      <w:bookmarkStart w:id="2" w:name="O_1280436"/>
      <w:bookmarkEnd w:id="2"/>
      <w:r w:rsidRPr="006229AE">
        <w:t>Application</w:t>
      </w:r>
    </w:p>
    <w:tbl>
      <w:tblPr>
        <w:tblW w:w="9497" w:type="dxa"/>
        <w:tblLayout w:type="fixed"/>
        <w:tblCellMar>
          <w:left w:w="62" w:type="dxa"/>
          <w:right w:w="62" w:type="dxa"/>
        </w:tblCellMar>
        <w:tblLook w:val="0000"/>
      </w:tblPr>
      <w:tblGrid>
        <w:gridCol w:w="9497"/>
      </w:tblGrid>
      <w:tr w:rsidTr="00622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t>This unit involves the skills and knowledge required to operate and maintain marine diesel engines and systems on a comme</w:t>
            </w:r>
            <w:r w:rsidRPr="006229AE">
              <w:t>rcial vessel.</w:t>
            </w:r>
          </w:p>
          <w:p w:rsidR="00000000" w:rsidRPr="006229AE" w:rsidP="006229AE">
            <w:pPr>
              <w:pStyle w:val="BodyText"/>
            </w:pPr>
            <w:r w:rsidRPr="006229AE">
              <w:t>This unit applies to people working in the maritime industry in the capacity of:</w:t>
            </w:r>
          </w:p>
          <w:p w:rsidR="00000000" w:rsidRPr="006229AE" w:rsidP="006229AE">
            <w:pPr>
              <w:pStyle w:val="ListBullet"/>
            </w:pPr>
            <w:r w:rsidRPr="006229AE">
              <w:t>Electro-Technical Officer (STCW Electro-Technical Officer Unlimited)</w:t>
            </w:r>
          </w:p>
          <w:p w:rsidR="00000000" w:rsidRPr="006229AE" w:rsidP="006229AE">
            <w:pPr>
              <w:pStyle w:val="ListBullet"/>
            </w:pPr>
            <w:r w:rsidRPr="006229AE">
              <w:t>Engineer Class 3 Near Coastal</w:t>
            </w:r>
          </w:p>
          <w:p w:rsidR="00000000" w:rsidRPr="006229AE" w:rsidP="006229AE">
            <w:pPr>
              <w:pStyle w:val="ListBullet"/>
            </w:pPr>
            <w:r w:rsidRPr="006229AE">
              <w:t xml:space="preserve">Engineer Watchkeeper (STCW Engineer Watchkeeper Unlimited). </w:t>
            </w:r>
          </w:p>
          <w:p w:rsidR="00000000" w:rsidRPr="006229AE" w:rsidP="006229AE">
            <w:pPr>
              <w:pStyle w:val="BodyText"/>
            </w:pPr>
          </w:p>
          <w:p w:rsidR="00000000" w:rsidRPr="006229AE" w:rsidP="006229AE">
            <w:pPr>
              <w:pStyle w:val="BodyText"/>
            </w:pPr>
            <w:r w:rsidRPr="006229AE">
              <w:rPr>
                <w:rStyle w:val="SpecialBold"/>
              </w:rPr>
              <w:t>Licensing/Regulatory Information</w:t>
            </w:r>
          </w:p>
          <w:p w:rsidR="00000000" w:rsidRPr="006229AE" w:rsidP="006229AE">
            <w:pPr>
              <w:pStyle w:val="BodyText"/>
            </w:pPr>
            <w:r w:rsidRPr="006229AE">
              <w:t xml:space="preserve">Legislative and regulatory requirements are applicable to this unit.  </w:t>
            </w:r>
          </w:p>
          <w:p w:rsidR="00000000" w:rsidRPr="006229AE" w:rsidP="006229AE">
            <w:pPr>
              <w:pStyle w:val="ListBullet"/>
            </w:pPr>
            <w:r w:rsidRPr="006229AE">
              <w:t xml:space="preserve">Regulatory requirements include STCW International Maritime Organization (IMO) model </w:t>
            </w:r>
            <w:r w:rsidRPr="006229AE">
              <w:t>course competencies and areas of knowledge, understanding and proficiency, together with the estimated total hours required for lectures and practical exercises. Teaching staff should note that timings are suggestions only and should be adapted to suit ind</w:t>
            </w:r>
            <w:r w:rsidRPr="006229AE">
              <w:t>ividual groups of trainees depending on their experience, ability, equipment and staff available for training.</w:t>
            </w:r>
          </w:p>
          <w:p w:rsidR="00000000" w:rsidRPr="006229AE" w:rsidP="006229AE">
            <w:pPr>
              <w:pStyle w:val="BodyText"/>
            </w:pPr>
            <w:r w:rsidRPr="006229AE">
              <w:t>Near Coastal Qualifications:</w:t>
            </w:r>
          </w:p>
          <w:p w:rsidR="00000000" w:rsidRPr="006229AE" w:rsidP="006229AE">
            <w:pPr>
              <w:pStyle w:val="ListBullet"/>
            </w:pPr>
            <w:r w:rsidRPr="006229AE">
              <w:t>This unit is one of the requirements to obtain Australian Maritime Safety Authority (AMSA) certification as an Engi</w:t>
            </w:r>
            <w:r w:rsidRPr="006229AE">
              <w:t>neer Class 3 Near Coastal as defined in the Marine Order 505 (Certificates of competency - National Law) 2013.</w:t>
            </w:r>
          </w:p>
          <w:p w:rsidR="00000000" w:rsidRPr="006229AE" w:rsidP="006229AE">
            <w:pPr>
              <w:pStyle w:val="BodyText"/>
            </w:pPr>
            <w:r w:rsidRPr="006229AE">
              <w:t>Blue Waters Qualifications:</w:t>
            </w:r>
          </w:p>
          <w:p w:rsidR="00000000" w:rsidRPr="006229AE" w:rsidP="006229AE">
            <w:pPr>
              <w:pStyle w:val="ListBullet"/>
            </w:pPr>
            <w:r w:rsidRPr="006229AE">
              <w:t>This unit is one of the requirements to obtain Australian Maritime Safety Authority (AMSA) certification as an Elect</w:t>
            </w:r>
            <w:r w:rsidRPr="006229AE">
              <w:t>ro-Technical Officer (STCW Electro-Technical Officer Unlimited) or Engineer Watchkeeper (STCW Engineer Watchkeeper Unlimited) and to meet regulatory requirements this unit must be delivered consistent with Marine Orders and with the relevant sections of th</w:t>
            </w:r>
            <w:r w:rsidRPr="006229AE">
              <w:t>e International Convention on Standards of Training, Certification and Watchkeeping for Seafarers (STCW).</w:t>
            </w:r>
          </w:p>
        </w:tc>
      </w:tr>
    </w:tbl>
    <w:p w:rsidR="00000000" w:rsidRPr="006229AE" w:rsidP="006229AE">
      <w:pPr>
        <w:pStyle w:val="NoPaddingFontSize1"/>
      </w:pPr>
    </w:p>
    <w:p w:rsidR="00000000" w:rsidRPr="006229AE" w:rsidP="006229AE">
      <w:pPr>
        <w:pStyle w:val="AllowPageBreak"/>
      </w:pPr>
    </w:p>
    <w:p w:rsidR="00000000" w:rsidRPr="006229AE" w:rsidP="006229AE">
      <w:pPr>
        <w:pStyle w:val="Heading1"/>
      </w:pPr>
      <w:bookmarkStart w:id="3" w:name="O_1280435"/>
      <w:bookmarkEnd w:id="3"/>
      <w:r w:rsidRPr="006229AE">
        <w:t>Pre-requisite Unit</w:t>
      </w:r>
    </w:p>
    <w:tbl>
      <w:tblPr>
        <w:tblW w:w="9497" w:type="dxa"/>
        <w:tblLayout w:type="fixed"/>
        <w:tblCellMar>
          <w:left w:w="62" w:type="dxa"/>
          <w:right w:w="62" w:type="dxa"/>
        </w:tblCellMar>
        <w:tblLook w:val="0000"/>
      </w:tblPr>
      <w:tblGrid>
        <w:gridCol w:w="9497"/>
      </w:tblGrid>
      <w:tr w:rsidTr="00622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t>Not applicable.</w:t>
            </w:r>
          </w:p>
        </w:tc>
      </w:tr>
    </w:tbl>
    <w:p w:rsidR="002F7FBF" w:rsidP="006229AE">
      <w:pPr>
        <w:pStyle w:val="NoPaddingFontSize1"/>
      </w:pPr>
    </w:p>
    <w:p w:rsidR="002F7FBF" w:rsidP="006229AE">
      <w:pPr>
        <w:pStyle w:val="NoPaddingFontSize1"/>
      </w:pPr>
    </w:p>
    <w:p w:rsidR="00000000" w:rsidRPr="006229AE" w:rsidP="006229AE">
      <w:pPr>
        <w:pStyle w:val="Heading1"/>
      </w:pPr>
      <w:bookmarkStart w:id="4" w:name="O_1280434"/>
      <w:bookmarkEnd w:id="4"/>
      <w:r w:rsidRPr="006229AE">
        <w:t>Competency Field</w:t>
      </w:r>
    </w:p>
    <w:tbl>
      <w:tblPr>
        <w:tblW w:w="9497" w:type="dxa"/>
        <w:tblLayout w:type="fixed"/>
        <w:tblCellMar>
          <w:left w:w="62" w:type="dxa"/>
          <w:right w:w="62" w:type="dxa"/>
        </w:tblCellMar>
        <w:tblLook w:val="0000"/>
      </w:tblPr>
      <w:tblGrid>
        <w:gridCol w:w="9497"/>
      </w:tblGrid>
      <w:tr w:rsidTr="00622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t>L - Engineering</w:t>
            </w:r>
          </w:p>
        </w:tc>
      </w:tr>
    </w:tbl>
    <w:p w:rsidR="002F7FBF" w:rsidP="006229AE">
      <w:pPr>
        <w:pStyle w:val="NoPaddingFontSize1"/>
      </w:pPr>
    </w:p>
    <w:p w:rsidR="002F7FBF" w:rsidP="006229AE">
      <w:pPr>
        <w:pStyle w:val="NoPaddingFontSize1"/>
      </w:pPr>
    </w:p>
    <w:p w:rsidR="00000000" w:rsidRPr="006229AE" w:rsidP="006229AE">
      <w:pPr>
        <w:pStyle w:val="Heading1"/>
      </w:pPr>
      <w:bookmarkStart w:id="5" w:name="O_1280433"/>
      <w:bookmarkEnd w:id="5"/>
      <w:r w:rsidRPr="006229AE">
        <w:t>Unit Sector</w:t>
      </w:r>
    </w:p>
    <w:tbl>
      <w:tblPr>
        <w:tblW w:w="9497" w:type="dxa"/>
        <w:tblLayout w:type="fixed"/>
        <w:tblCellMar>
          <w:left w:w="62" w:type="dxa"/>
          <w:right w:w="62" w:type="dxa"/>
        </w:tblCellMar>
        <w:tblLook w:val="0000"/>
      </w:tblPr>
      <w:tblGrid>
        <w:gridCol w:w="9497"/>
      </w:tblGrid>
      <w:tr w:rsidTr="00622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t>Not applicable.</w:t>
            </w:r>
          </w:p>
        </w:tc>
      </w:tr>
    </w:tbl>
    <w:p w:rsidR="002F7FBF" w:rsidP="006229AE">
      <w:pPr>
        <w:pStyle w:val="NoPaddingFontSize1"/>
      </w:pPr>
    </w:p>
    <w:p w:rsidR="002F7FBF" w:rsidP="006229AE">
      <w:pPr>
        <w:pStyle w:val="NoPaddingFontSize1"/>
      </w:pPr>
    </w:p>
    <w:p w:rsidR="00000000" w:rsidRPr="006229AE" w:rsidP="006229AE">
      <w:pPr>
        <w:pStyle w:val="Heading1"/>
      </w:pPr>
      <w:bookmarkStart w:id="6" w:name="O_1280432"/>
      <w:bookmarkEnd w:id="6"/>
      <w:r w:rsidRPr="006229AE">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6229A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PERFORMANCE CRITERIA</w:t>
            </w:r>
          </w:p>
        </w:tc>
      </w:tr>
      <w:tr w:rsidTr="006229A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Performance criteria describe the performance needed to demonstrate achievement of the element.</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Outline stages of combustion in two-stroke and four-stroke cycle diesel engines</w:t>
            </w: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Two-stroke and four-stroke cycle diesel engines are compared and contrasted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 xml:space="preserve">Methods and diagnostic information used in determining engine combustion characteristics </w:t>
            </w:r>
            <w:r w:rsidRPr="006229AE">
              <w:t>are specified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Diagnostic information is used to identify and interpret common combustion faults and to produce typical diagrams for analysing faults</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Explain means of pressure-charging diesel engines</w:t>
            </w: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Pressure-charging principles and their influence on engine design and waste heat recovery are explained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Different methods of pressure-charging diesel engines are clarified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Emergency isolation procedures used when pressure-charging diesel engi</w:t>
            </w:r>
            <w:r w:rsidRPr="006229AE">
              <w:t>nes are clarified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Explain operation of diesel engine governors</w:t>
            </w: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Governing principles, common governor types and related controls are outlined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Different requirements for governing diesel engines for propulsion and power generation are explained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Problems of mismatched engine sizes/prime mover types when sharing common loads are outlined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Explain properties of materials used in construction of engine components</w:t>
            </w: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Properties of materials used in construction of engine components are spec</w:t>
            </w:r>
            <w:r w:rsidRPr="006229AE">
              <w:t>ified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Dynamic stresses and loads, materials and service limitations of engine components are outlined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Construction and operating cycle forces of diesel engine components are outlined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Relationship between critical speed, use of detuners/dampers and materials in engine components is clarified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Explain safe working practices associated with diesel engines during maintenance, repair and operation</w:t>
            </w: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Safe practices for isolating propulsi</w:t>
            </w:r>
            <w:r w:rsidRPr="006229AE">
              <w:t>on and power generation diesel engines prior to work commencement are confirmed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Personal protective (PPE) to be used during all aspects of diesel maintenance is identified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Hazards associated with working on diesel engines and systems, including working in enclosed spaces, are identified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Correct procedures for using hydraulic tools and high-pressure fuel injection test equipment are clarified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5.5</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 xml:space="preserve">Purpose, operation </w:t>
            </w:r>
            <w:r w:rsidRPr="006229AE">
              <w:t>and maintenance of safety interlocks and protective cut-outs of engine manoeuvring systems is determined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rPr>
                <w:rStyle w:val="SpecialBold"/>
              </w:rPr>
              <w:t>Explain procedures for preventing and responding to crankcase and air-line explosions, and scavenge and uptake fires</w:t>
            </w: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 xml:space="preserve">Causes, symptoms and means </w:t>
            </w:r>
            <w:r w:rsidRPr="006229AE">
              <w:t>of preventing and extinguishing uptake and economiser fires are outlined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Risks of continued service with an isolated waste heat unit are assessed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Causes, symptoms, methods of extinguishing and prevention of scavenge fires are evaluated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Causes and hazards associated with starting air-line explosions are identified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6.5</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Protective devices fitted to air starting systems to minimise risk of explosion, and routine inspection and maintenance required are detailed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6.6</w:t>
            </w:r>
          </w:p>
        </w:tc>
        <w:tc>
          <w:tcPr>
            <w:tcW w:w="5627"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t>Causes and ways of p</w:t>
            </w:r>
            <w:r w:rsidRPr="006229AE">
              <w:t>reventing crankcase explosions in both diesel and dual-fuel engines are outlined</w:t>
            </w:r>
          </w:p>
        </w:tc>
      </w:tr>
      <w:tr w:rsidTr="006229A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229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9AE">
            <w:pPr>
              <w:pStyle w:val="BodyText"/>
              <w:rPr>
                <w:lang w:val="en-NZ"/>
              </w:rPr>
            </w:pPr>
            <w:r w:rsidRPr="006229AE">
              <w:rPr>
                <w:rStyle w:val="SpecialBold"/>
              </w:rPr>
              <w:t>6.7</w:t>
            </w:r>
          </w:p>
        </w:tc>
        <w:tc>
          <w:tcPr>
            <w:tcW w:w="5627"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t>Procedure to be taken in the event of an early warning of a hazardous crankcase atmosphere and required procedure to be followed after engine has stopped are clarified</w:t>
            </w:r>
          </w:p>
        </w:tc>
      </w:tr>
    </w:tbl>
    <w:p w:rsidR="00000000" w:rsidRPr="006229AE" w:rsidP="006229AE">
      <w:pPr>
        <w:pStyle w:val="NoPaddingFontSize1"/>
      </w:pPr>
    </w:p>
    <w:p w:rsidR="00000000" w:rsidRPr="006229AE" w:rsidP="006229AE">
      <w:pPr>
        <w:pStyle w:val="AllowPageBreak"/>
      </w:pPr>
    </w:p>
    <w:p w:rsidR="00000000" w:rsidRPr="006229AE" w:rsidP="006229AE">
      <w:pPr>
        <w:pStyle w:val="Heading1"/>
      </w:pPr>
      <w:bookmarkStart w:id="7" w:name="O_1280431"/>
      <w:bookmarkEnd w:id="7"/>
      <w:r w:rsidRPr="006229AE">
        <w:t>Foundation Skills</w:t>
      </w:r>
    </w:p>
    <w:tbl>
      <w:tblPr>
        <w:tblW w:w="9497" w:type="dxa"/>
        <w:tblLayout w:type="fixed"/>
        <w:tblCellMar>
          <w:left w:w="62" w:type="dxa"/>
          <w:right w:w="62" w:type="dxa"/>
        </w:tblCellMar>
        <w:tblLook w:val="0000"/>
      </w:tblPr>
      <w:tblGrid>
        <w:gridCol w:w="9497"/>
      </w:tblGrid>
      <w:tr w:rsidTr="00622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t>Foundation skills essential to performance are explicit in the performance criteria of this unit of competency.</w:t>
            </w:r>
          </w:p>
        </w:tc>
      </w:tr>
    </w:tbl>
    <w:p w:rsidR="002F7FBF" w:rsidP="006229AE">
      <w:pPr>
        <w:pStyle w:val="NoPaddingFontSize1"/>
      </w:pPr>
    </w:p>
    <w:p w:rsidR="002F7FBF" w:rsidP="006229AE">
      <w:pPr>
        <w:pStyle w:val="NoPaddingFontSize1"/>
      </w:pPr>
    </w:p>
    <w:p w:rsidR="00000000" w:rsidRPr="006229AE" w:rsidP="006229AE">
      <w:pPr>
        <w:pStyle w:val="Heading1"/>
      </w:pPr>
      <w:bookmarkStart w:id="8" w:name="O_1280430"/>
      <w:bookmarkEnd w:id="8"/>
      <w:r w:rsidRPr="006229AE">
        <w:t>Range of Conditions</w:t>
      </w:r>
    </w:p>
    <w:tbl>
      <w:tblPr>
        <w:tblW w:w="9497" w:type="dxa"/>
        <w:tblLayout w:type="fixed"/>
        <w:tblCellMar>
          <w:left w:w="62" w:type="dxa"/>
          <w:right w:w="62" w:type="dxa"/>
        </w:tblCellMar>
        <w:tblLook w:val="0000"/>
      </w:tblPr>
      <w:tblGrid>
        <w:gridCol w:w="9497"/>
      </w:tblGrid>
      <w:tr w:rsidTr="00622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t>Range is restricted to essential operating conditions and any o</w:t>
            </w:r>
            <w:r w:rsidRPr="006229AE">
              <w:t>ther variables essential to the work environment.</w:t>
            </w:r>
          </w:p>
        </w:tc>
      </w:tr>
    </w:tbl>
    <w:p w:rsidR="002F7FBF" w:rsidP="006229AE">
      <w:pPr>
        <w:pStyle w:val="NoPaddingFontSize1"/>
      </w:pPr>
    </w:p>
    <w:p w:rsidR="002F7FBF" w:rsidP="006229AE">
      <w:pPr>
        <w:pStyle w:val="NoPaddingFontSize1"/>
      </w:pPr>
    </w:p>
    <w:p w:rsidR="00000000" w:rsidRPr="006229AE" w:rsidP="006229AE">
      <w:pPr>
        <w:pStyle w:val="Heading1"/>
      </w:pPr>
      <w:bookmarkStart w:id="9" w:name="O_1280429"/>
      <w:bookmarkEnd w:id="9"/>
      <w:r w:rsidRPr="006229AE">
        <w:t>Unit Mapping Information</w:t>
      </w:r>
    </w:p>
    <w:tbl>
      <w:tblPr>
        <w:tblW w:w="9497" w:type="dxa"/>
        <w:tblLayout w:type="fixed"/>
        <w:tblCellMar>
          <w:left w:w="62" w:type="dxa"/>
          <w:right w:w="62" w:type="dxa"/>
        </w:tblCellMar>
        <w:tblLook w:val="0000"/>
      </w:tblPr>
      <w:tblGrid>
        <w:gridCol w:w="9497"/>
      </w:tblGrid>
      <w:tr w:rsidTr="00622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9AE" w:rsidP="006229AE">
            <w:pPr>
              <w:pStyle w:val="BodyText"/>
            </w:pPr>
            <w:r w:rsidRPr="006229AE">
              <w:t>This unit replaces and is equivalent to MARL006 Demonstrate basic knowledge of marine diesel engines and systems.</w:t>
            </w:r>
          </w:p>
        </w:tc>
      </w:tr>
    </w:tbl>
    <w:p w:rsidR="002F7FBF" w:rsidP="006229AE">
      <w:pPr>
        <w:pStyle w:val="NoPaddingFontSize1"/>
      </w:pPr>
    </w:p>
    <w:p w:rsidR="002F7FBF" w:rsidP="006229AE">
      <w:pPr>
        <w:pStyle w:val="NoPaddingFontSize1"/>
      </w:pPr>
    </w:p>
    <w:p w:rsidR="00000000" w:rsidRPr="006229AE" w:rsidP="006229AE">
      <w:pPr>
        <w:pStyle w:val="Heading1"/>
      </w:pPr>
      <w:bookmarkStart w:id="10" w:name="O_1280438"/>
      <w:bookmarkEnd w:id="10"/>
      <w:r w:rsidRPr="006229AE">
        <w:t>Links</w:t>
      </w:r>
    </w:p>
    <w:p w:rsidR="00000000" w:rsidRPr="006229AE" w:rsidP="002F7FBF">
      <w:pPr>
        <w:pStyle w:val="BodyText"/>
      </w:pPr>
      <w:r w:rsidRPr="006229A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E221B">
        <w:rPr>
          <w:rStyle w:val="Hyperlink"/>
        </w:rPr>
        <w:t>https://vetnet.gov.au/Pages/TrainingDocs.aspx?q=772efb7b-4cce-47fe-9bbd-ee3b1d1eb4c2</w:t>
      </w:r>
      <w:r>
        <w:fldChar w:fldCharType="end"/>
      </w:r>
    </w:p>
    <w:p w:rsidR="00000000" w:rsidRPr="006229AE" w:rsidP="006229AE"/>
    <w:sectPr w:rsidSect="006229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AE" w:rsidRPr="002F7FBF" w:rsidP="002F7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BF" w:rsidP="00622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7FBF" w:rsidP="006229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F7FBF" w:rsidP="00622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9AE" w:rsidRPr="002F7FBF" w:rsidP="002F7F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BF" w:rsidRPr="002D2AF8" w:rsidP="006229AE">
    <w:pPr>
      <w:pStyle w:val="Header"/>
      <w:framePr w:wrap="around"/>
    </w:pPr>
    <w:r>
      <w:fldChar w:fldCharType="begin"/>
    </w:r>
    <w:r>
      <w:instrText xml:space="preserve"> TITLE   \* MERGEFORMAT </w:instrText>
    </w:r>
    <w:r>
      <w:fldChar w:fldCharType="separate"/>
    </w:r>
    <w:r>
      <w:t>MARL057 Demonstrate basic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F7FBF" w:rsidP="00622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E4B9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828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9AE"/>
    <w:pPr>
      <w:spacing w:before="360" w:after="60"/>
      <w:outlineLvl w:val="0"/>
    </w:pPr>
    <w:rPr>
      <w:sz w:val="32"/>
    </w:rPr>
  </w:style>
  <w:style w:type="paragraph" w:styleId="Heading2">
    <w:name w:val="heading 2"/>
    <w:basedOn w:val="HeadingBase"/>
    <w:next w:val="BodyText"/>
    <w:link w:val="Heading2Char"/>
    <w:qFormat/>
    <w:rsid w:val="006229AE"/>
    <w:pPr>
      <w:keepLines/>
      <w:spacing w:before="240" w:after="120"/>
      <w:outlineLvl w:val="1"/>
    </w:pPr>
    <w:rPr>
      <w:sz w:val="28"/>
      <w:szCs w:val="40"/>
    </w:rPr>
  </w:style>
  <w:style w:type="paragraph" w:styleId="Heading3">
    <w:name w:val="heading 3"/>
    <w:basedOn w:val="HeadingBase"/>
    <w:next w:val="BodyText"/>
    <w:link w:val="Heading3Char"/>
    <w:qFormat/>
    <w:rsid w:val="006229AE"/>
    <w:pPr>
      <w:spacing w:before="180" w:after="120"/>
      <w:outlineLvl w:val="2"/>
    </w:pPr>
    <w:rPr>
      <w:spacing w:val="-10"/>
      <w:kern w:val="32"/>
    </w:rPr>
  </w:style>
  <w:style w:type="paragraph" w:styleId="Heading4">
    <w:name w:val="heading 4"/>
    <w:basedOn w:val="HeadingBase"/>
    <w:next w:val="BodyText"/>
    <w:link w:val="Heading4Char"/>
    <w:qFormat/>
    <w:rsid w:val="006229AE"/>
    <w:pPr>
      <w:spacing w:before="160" w:after="120"/>
      <w:outlineLvl w:val="3"/>
    </w:pPr>
    <w:rPr>
      <w:sz w:val="22"/>
    </w:rPr>
  </w:style>
  <w:style w:type="paragraph" w:styleId="Heading5">
    <w:name w:val="heading 5"/>
    <w:basedOn w:val="HeadingBase"/>
    <w:next w:val="Normal"/>
    <w:link w:val="Heading5Char"/>
    <w:qFormat/>
    <w:rsid w:val="006229AE"/>
    <w:pPr>
      <w:spacing w:before="80"/>
      <w:outlineLvl w:val="4"/>
    </w:pPr>
    <w:rPr>
      <w:color w:val="918585"/>
      <w:sz w:val="20"/>
    </w:rPr>
  </w:style>
  <w:style w:type="paragraph" w:styleId="Heading6">
    <w:name w:val="heading 6"/>
    <w:basedOn w:val="HeadingBase"/>
    <w:next w:val="Normal"/>
    <w:link w:val="Heading6Char"/>
    <w:qFormat/>
    <w:rsid w:val="006229AE"/>
    <w:pPr>
      <w:spacing w:before="60"/>
      <w:outlineLvl w:val="5"/>
    </w:pPr>
    <w:rPr>
      <w:color w:val="918585"/>
      <w:sz w:val="20"/>
    </w:rPr>
  </w:style>
  <w:style w:type="paragraph" w:styleId="Heading7">
    <w:name w:val="heading 7"/>
    <w:basedOn w:val="Normal"/>
    <w:next w:val="Normal"/>
    <w:link w:val="Heading7Char"/>
    <w:qFormat/>
    <w:rsid w:val="006229AE"/>
    <w:pPr>
      <w:ind w:left="720"/>
      <w:outlineLvl w:val="6"/>
    </w:pPr>
    <w:rPr>
      <w:i/>
    </w:rPr>
  </w:style>
  <w:style w:type="paragraph" w:styleId="Heading8">
    <w:name w:val="heading 8"/>
    <w:basedOn w:val="Normal"/>
    <w:next w:val="Normal"/>
    <w:link w:val="Heading8Char"/>
    <w:qFormat/>
    <w:rsid w:val="006229AE"/>
    <w:pPr>
      <w:ind w:left="720"/>
      <w:outlineLvl w:val="7"/>
    </w:pPr>
    <w:rPr>
      <w:i/>
    </w:rPr>
  </w:style>
  <w:style w:type="paragraph" w:styleId="Heading9">
    <w:name w:val="heading 9"/>
    <w:basedOn w:val="Normal"/>
    <w:next w:val="Normal"/>
    <w:link w:val="Heading9Char"/>
    <w:qFormat/>
    <w:rsid w:val="006229AE"/>
    <w:pPr>
      <w:ind w:left="720"/>
      <w:outlineLvl w:val="8"/>
    </w:pPr>
    <w:rPr>
      <w:i/>
    </w:rPr>
  </w:style>
  <w:style w:type="character" w:default="1" w:styleId="DefaultParagraphFont">
    <w:name w:val="Default Paragraph Font"/>
    <w:uiPriority w:val="1"/>
    <w:unhideWhenUsed/>
    <w:rsid w:val="00622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9AE"/>
  </w:style>
  <w:style w:type="character" w:customStyle="1" w:styleId="Heading1Char">
    <w:name w:val="Heading 1 Char"/>
    <w:basedOn w:val="DefaultParagraphFont"/>
    <w:link w:val="Heading1"/>
    <w:rsid w:val="006229AE"/>
    <w:rPr>
      <w:rFonts w:ascii="Times New Roman" w:eastAsia="Times New Roman" w:hAnsi="Times New Roman" w:cs="Times New Roman"/>
      <w:b/>
      <w:sz w:val="32"/>
      <w:szCs w:val="20"/>
      <w:lang w:eastAsia="en-US"/>
    </w:rPr>
  </w:style>
  <w:style w:type="paragraph" w:styleId="BodyText">
    <w:name w:val="Body Text"/>
    <w:basedOn w:val="Normal"/>
    <w:link w:val="BodyTextChar"/>
    <w:rsid w:val="00622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9AE"/>
    <w:rPr>
      <w:rFonts w:ascii="Times New Roman" w:eastAsia="Times New Roman" w:hAnsi="Times New Roman" w:cs="Times New Roman"/>
      <w:sz w:val="24"/>
      <w:lang w:eastAsia="en-US"/>
    </w:rPr>
  </w:style>
  <w:style w:type="paragraph" w:styleId="ListBullet">
    <w:name w:val="List Bullet"/>
    <w:basedOn w:val="List"/>
    <w:rsid w:val="006229AE"/>
    <w:pPr>
      <w:numPr>
        <w:numId w:val="11"/>
      </w:numPr>
      <w:tabs>
        <w:tab w:val="clear" w:pos="340"/>
      </w:tabs>
      <w:spacing w:before="40" w:after="40"/>
    </w:pPr>
  </w:style>
  <w:style w:type="character" w:customStyle="1" w:styleId="SpecialBold">
    <w:name w:val="Special Bold"/>
    <w:basedOn w:val="DefaultParagraphFont"/>
    <w:rsid w:val="006229AE"/>
    <w:rPr>
      <w:b/>
      <w:spacing w:val="0"/>
    </w:rPr>
  </w:style>
  <w:style w:type="paragraph" w:customStyle="1" w:styleId="SuperHeading">
    <w:name w:val="SuperHeading"/>
    <w:basedOn w:val="Normal"/>
    <w:rsid w:val="006229AE"/>
    <w:pPr>
      <w:spacing w:before="240" w:after="120"/>
      <w:outlineLvl w:val="0"/>
    </w:pPr>
    <w:rPr>
      <w:rFonts w:ascii="Times New Roman" w:hAnsi="Times New Roman"/>
      <w:b/>
      <w:sz w:val="32"/>
    </w:rPr>
  </w:style>
  <w:style w:type="paragraph" w:customStyle="1" w:styleId="AllowPageBreak">
    <w:name w:val="AllowPageBreak"/>
    <w:rsid w:val="006229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2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9AE"/>
    <w:rPr>
      <w:rFonts w:ascii="Courier New" w:eastAsia="Times New Roman" w:hAnsi="Courier New" w:cs="Times New Roman"/>
      <w:i/>
      <w:szCs w:val="20"/>
      <w:lang w:eastAsia="en-US"/>
    </w:rPr>
  </w:style>
  <w:style w:type="paragraph" w:customStyle="1" w:styleId="HeadingBase">
    <w:name w:val="Heading Base"/>
    <w:rsid w:val="00622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9AE"/>
    <w:pPr>
      <w:tabs>
        <w:tab w:val="right" w:leader="dot" w:pos="9072"/>
      </w:tabs>
      <w:ind w:left="567"/>
    </w:pPr>
    <w:rPr>
      <w:szCs w:val="22"/>
    </w:rPr>
  </w:style>
  <w:style w:type="paragraph" w:customStyle="1" w:styleId="TOCBase">
    <w:name w:val="TOC Base"/>
    <w:rsid w:val="00622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9AE"/>
    <w:pPr>
      <w:tabs>
        <w:tab w:val="right" w:leader="dot" w:pos="9072"/>
      </w:tabs>
      <w:spacing w:before="40" w:after="40"/>
      <w:ind w:left="284"/>
    </w:pPr>
    <w:rPr>
      <w:rFonts w:ascii="Times New Roman" w:hAnsi="Times New Roman"/>
    </w:rPr>
  </w:style>
  <w:style w:type="paragraph" w:styleId="TOC1">
    <w:name w:val="toc 1"/>
    <w:basedOn w:val="TOCBase"/>
    <w:next w:val="Normal"/>
    <w:rsid w:val="00622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9AE"/>
    <w:rPr>
      <w:rFonts w:ascii="Times New Roman" w:eastAsia="Times New Roman" w:hAnsi="Times New Roman" w:cs="Times New Roman"/>
      <w:sz w:val="16"/>
      <w:lang w:eastAsia="en-US"/>
    </w:rPr>
  </w:style>
  <w:style w:type="paragraph" w:styleId="Title">
    <w:name w:val="Title"/>
    <w:basedOn w:val="HeadingBase"/>
    <w:link w:val="TitleChar"/>
    <w:qFormat/>
    <w:rsid w:val="006229AE"/>
    <w:pPr>
      <w:spacing w:before="5040"/>
      <w:jc w:val="center"/>
    </w:pPr>
    <w:rPr>
      <w:sz w:val="48"/>
      <w:szCs w:val="72"/>
      <w:lang w:val="en-US"/>
    </w:rPr>
  </w:style>
  <w:style w:type="character" w:customStyle="1" w:styleId="TitleChar">
    <w:name w:val="Title Char"/>
    <w:basedOn w:val="DefaultParagraphFont"/>
    <w:link w:val="Title"/>
    <w:rsid w:val="00622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9AE"/>
    <w:pPr>
      <w:tabs>
        <w:tab w:val="left" w:pos="3600"/>
        <w:tab w:val="left" w:pos="3958"/>
      </w:tabs>
    </w:pPr>
  </w:style>
  <w:style w:type="paragraph" w:styleId="List">
    <w:name w:val="List"/>
    <w:basedOn w:val="BodyText"/>
    <w:next w:val="BodyText"/>
    <w:rsid w:val="006229AE"/>
    <w:pPr>
      <w:tabs>
        <w:tab w:val="left" w:pos="340"/>
      </w:tabs>
      <w:spacing w:before="60" w:after="60"/>
      <w:ind w:left="340" w:hanging="340"/>
    </w:pPr>
  </w:style>
  <w:style w:type="paragraph" w:customStyle="1" w:styleId="Note">
    <w:name w:val="Note"/>
    <w:basedOn w:val="BodyText"/>
    <w:rsid w:val="00622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9AE"/>
    <w:pPr>
      <w:framePr w:wrap="auto" w:hAnchor="text" w:y="6049"/>
    </w:pPr>
    <w:rPr>
      <w:color w:val="000000"/>
      <w:sz w:val="40"/>
    </w:rPr>
  </w:style>
  <w:style w:type="paragraph" w:customStyle="1" w:styleId="TOCTitle">
    <w:name w:val="TOCTitle"/>
    <w:basedOn w:val="Heading1"/>
    <w:rsid w:val="006229AE"/>
    <w:pPr>
      <w:spacing w:after="240"/>
      <w:jc w:val="center"/>
      <w:outlineLvl w:val="9"/>
    </w:pPr>
    <w:rPr>
      <w:caps/>
    </w:rPr>
  </w:style>
  <w:style w:type="paragraph" w:customStyle="1" w:styleId="Version">
    <w:name w:val="Version"/>
    <w:rsid w:val="006229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9AE"/>
    <w:pPr>
      <w:numPr>
        <w:numId w:val="12"/>
      </w:numPr>
      <w:tabs>
        <w:tab w:val="clear" w:pos="680"/>
      </w:tabs>
    </w:pPr>
  </w:style>
  <w:style w:type="paragraph" w:styleId="Index1">
    <w:name w:val="index 1"/>
    <w:basedOn w:val="Normal"/>
    <w:next w:val="Normal"/>
    <w:semiHidden/>
    <w:rsid w:val="006229AE"/>
    <w:pPr>
      <w:keepNext w:val="0"/>
      <w:tabs>
        <w:tab w:val="right" w:pos="4176"/>
      </w:tabs>
      <w:ind w:left="198" w:hanging="198"/>
    </w:pPr>
    <w:rPr>
      <w:rFonts w:ascii="Garamond" w:hAnsi="Garamond"/>
    </w:rPr>
  </w:style>
  <w:style w:type="paragraph" w:styleId="IndexHeading">
    <w:name w:val="index heading"/>
    <w:basedOn w:val="Normal"/>
    <w:next w:val="Index1"/>
    <w:semiHidden/>
    <w:rsid w:val="006229AE"/>
    <w:pPr>
      <w:spacing w:before="120" w:after="120"/>
    </w:pPr>
    <w:rPr>
      <w:rFonts w:ascii="Arial" w:hAnsi="Arial"/>
      <w:b/>
      <w:color w:val="918585"/>
      <w:sz w:val="24"/>
    </w:rPr>
  </w:style>
  <w:style w:type="paragraph" w:styleId="Header">
    <w:name w:val="header"/>
    <w:basedOn w:val="Normal"/>
    <w:link w:val="HeaderChar"/>
    <w:rsid w:val="00622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9AE"/>
    <w:rPr>
      <w:rFonts w:ascii="Times New Roman" w:eastAsia="Times New Roman" w:hAnsi="Times New Roman" w:cs="Times New Roman"/>
      <w:sz w:val="16"/>
      <w:szCs w:val="20"/>
      <w:lang w:val="en-GB" w:eastAsia="en-US"/>
    </w:rPr>
  </w:style>
  <w:style w:type="paragraph" w:customStyle="1" w:styleId="Chapter">
    <w:name w:val="Chapter"/>
    <w:basedOn w:val="Normal"/>
    <w:rsid w:val="006229AE"/>
    <w:pPr>
      <w:spacing w:before="240"/>
    </w:pPr>
    <w:rPr>
      <w:rFonts w:ascii="Times New Roman" w:hAnsi="Times New Roman"/>
      <w:smallCaps/>
      <w:spacing w:val="80"/>
      <w:sz w:val="28"/>
    </w:rPr>
  </w:style>
  <w:style w:type="paragraph" w:customStyle="1" w:styleId="InChapter">
    <w:name w:val="InChapter"/>
    <w:basedOn w:val="Heading3"/>
    <w:rsid w:val="006229AE"/>
    <w:pPr>
      <w:spacing w:after="240"/>
      <w:outlineLvl w:val="9"/>
    </w:pPr>
    <w:rPr>
      <w:noProof/>
    </w:rPr>
  </w:style>
  <w:style w:type="paragraph" w:styleId="Index2">
    <w:name w:val="index 2"/>
    <w:basedOn w:val="Normal"/>
    <w:next w:val="Normal"/>
    <w:semiHidden/>
    <w:rsid w:val="006229AE"/>
    <w:pPr>
      <w:tabs>
        <w:tab w:val="right" w:pos="4176"/>
      </w:tabs>
      <w:ind w:left="568" w:hanging="284"/>
    </w:pPr>
    <w:rPr>
      <w:rFonts w:ascii="Garamond" w:hAnsi="Garamond"/>
    </w:rPr>
  </w:style>
  <w:style w:type="paragraph" w:customStyle="1" w:styleId="Byline">
    <w:name w:val="Byline"/>
    <w:rsid w:val="00622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9AE"/>
    <w:pPr>
      <w:tabs>
        <w:tab w:val="clear" w:pos="3600"/>
        <w:tab w:val="clear" w:pos="3958"/>
      </w:tabs>
      <w:jc w:val="right"/>
    </w:pPr>
  </w:style>
  <w:style w:type="character" w:styleId="Emphasis">
    <w:name w:val="Emphasis"/>
    <w:basedOn w:val="DefaultParagraphFont"/>
    <w:qFormat/>
    <w:rsid w:val="006229AE"/>
    <w:rPr>
      <w:i/>
    </w:rPr>
  </w:style>
  <w:style w:type="paragraph" w:styleId="Caption">
    <w:name w:val="caption"/>
    <w:basedOn w:val="BodyText"/>
    <w:next w:val="Normal"/>
    <w:qFormat/>
    <w:rsid w:val="006229AE"/>
    <w:pPr>
      <w:framePr w:w="2268" w:hSpace="181" w:vSpace="181" w:wrap="around" w:vAnchor="text" w:hAnchor="page" w:x="1135" w:y="285" w:anchorLock="1"/>
    </w:pPr>
    <w:rPr>
      <w:i/>
    </w:rPr>
  </w:style>
  <w:style w:type="paragraph" w:customStyle="1" w:styleId="MiniTOCTitle">
    <w:name w:val="MiniTOCTitle"/>
    <w:basedOn w:val="Heading4"/>
    <w:rsid w:val="006229AE"/>
    <w:pPr>
      <w:spacing w:before="240"/>
      <w:outlineLvl w:val="9"/>
    </w:pPr>
    <w:rPr>
      <w:noProof/>
      <w:sz w:val="24"/>
    </w:rPr>
  </w:style>
  <w:style w:type="paragraph" w:customStyle="1" w:styleId="MiniTOCItem">
    <w:name w:val="MiniTOCItem"/>
    <w:basedOn w:val="ListBullet"/>
    <w:rsid w:val="006229AE"/>
    <w:pPr>
      <w:numPr>
        <w:numId w:val="0"/>
      </w:numPr>
      <w:tabs>
        <w:tab w:val="right" w:leader="dot" w:pos="6521"/>
      </w:tabs>
      <w:spacing w:before="0" w:after="0"/>
    </w:pPr>
  </w:style>
  <w:style w:type="paragraph" w:customStyle="1" w:styleId="TOFTitle">
    <w:name w:val="TOFTitle"/>
    <w:basedOn w:val="TOCTitle"/>
    <w:rsid w:val="006229AE"/>
  </w:style>
  <w:style w:type="paragraph" w:styleId="TableofFigures">
    <w:name w:val="table of figures"/>
    <w:basedOn w:val="Normal"/>
    <w:next w:val="Normal"/>
    <w:semiHidden/>
    <w:rsid w:val="006229AE"/>
    <w:pPr>
      <w:tabs>
        <w:tab w:val="right" w:leader="dot" w:pos="9072"/>
      </w:tabs>
      <w:ind w:left="970" w:hanging="403"/>
    </w:pPr>
    <w:rPr>
      <w:rFonts w:ascii="Times New Roman" w:hAnsi="Times New Roman"/>
      <w:b/>
    </w:rPr>
  </w:style>
  <w:style w:type="paragraph" w:styleId="ListNumber">
    <w:name w:val="List Number"/>
    <w:basedOn w:val="List"/>
    <w:rsid w:val="006229AE"/>
    <w:pPr>
      <w:numPr>
        <w:numId w:val="14"/>
      </w:numPr>
      <w:tabs>
        <w:tab w:val="clear" w:pos="340"/>
      </w:tabs>
    </w:pPr>
  </w:style>
  <w:style w:type="character" w:customStyle="1" w:styleId="WingdingSymbols">
    <w:name w:val="Wingding Symbols"/>
    <w:rsid w:val="006229AE"/>
    <w:rPr>
      <w:rFonts w:ascii="Wingdings" w:hAnsi="Wingdings"/>
    </w:rPr>
  </w:style>
  <w:style w:type="paragraph" w:customStyle="1" w:styleId="TableHeading">
    <w:name w:val="Table Heading"/>
    <w:basedOn w:val="HeadingBase"/>
    <w:rsid w:val="006229AE"/>
    <w:pPr>
      <w:keepLines/>
      <w:pBdr>
        <w:bottom w:val="single" w:sz="6" w:space="1" w:color="918585"/>
      </w:pBdr>
      <w:spacing w:before="240"/>
    </w:pPr>
  </w:style>
  <w:style w:type="character" w:customStyle="1" w:styleId="HotSpot">
    <w:name w:val="HotSpot"/>
    <w:rsid w:val="006229AE"/>
    <w:rPr>
      <w:color w:val="0033CC"/>
      <w:u w:val="none"/>
    </w:rPr>
  </w:style>
  <w:style w:type="paragraph" w:customStyle="1" w:styleId="BodyTextRight">
    <w:name w:val="Body Text Right"/>
    <w:basedOn w:val="BodyText"/>
    <w:rsid w:val="006229AE"/>
    <w:pPr>
      <w:spacing w:before="0" w:after="0"/>
      <w:jc w:val="right"/>
    </w:pPr>
  </w:style>
  <w:style w:type="paragraph" w:styleId="Index3">
    <w:name w:val="index 3"/>
    <w:basedOn w:val="ListNumber2"/>
    <w:next w:val="Normal"/>
    <w:semiHidden/>
    <w:rsid w:val="006229AE"/>
    <w:pPr>
      <w:numPr>
        <w:numId w:val="0"/>
      </w:numPr>
      <w:tabs>
        <w:tab w:val="right" w:leader="dot" w:pos="4176"/>
      </w:tabs>
    </w:pPr>
  </w:style>
  <w:style w:type="paragraph" w:styleId="ListNumber2">
    <w:name w:val="List Number 2"/>
    <w:basedOn w:val="List2"/>
    <w:rsid w:val="006229AE"/>
    <w:pPr>
      <w:numPr>
        <w:numId w:val="9"/>
      </w:numPr>
      <w:tabs>
        <w:tab w:val="clear" w:pos="1060"/>
      </w:tabs>
    </w:pPr>
  </w:style>
  <w:style w:type="paragraph" w:customStyle="1" w:styleId="MarginNote">
    <w:name w:val="Margin Note"/>
    <w:basedOn w:val="BodyText"/>
    <w:rsid w:val="00622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9AE"/>
    <w:rPr>
      <w:sz w:val="32"/>
    </w:rPr>
  </w:style>
  <w:style w:type="paragraph" w:customStyle="1" w:styleId="HeadingProcedure">
    <w:name w:val="Heading Procedure"/>
    <w:basedOn w:val="HeadingBase"/>
    <w:next w:val="Normal"/>
    <w:rsid w:val="006229AE"/>
    <w:pPr>
      <w:tabs>
        <w:tab w:val="left" w:pos="0"/>
      </w:tabs>
      <w:spacing w:before="120" w:after="60"/>
    </w:pPr>
    <w:rPr>
      <w:i/>
      <w:color w:val="918585"/>
      <w:sz w:val="22"/>
    </w:rPr>
  </w:style>
  <w:style w:type="paragraph" w:customStyle="1" w:styleId="TableBodyText">
    <w:name w:val="Table Body Text"/>
    <w:basedOn w:val="BodyText"/>
    <w:rsid w:val="006229AE"/>
    <w:pPr>
      <w:spacing w:before="60" w:after="60"/>
    </w:pPr>
  </w:style>
  <w:style w:type="paragraph" w:styleId="ListContinue">
    <w:name w:val="List Continue"/>
    <w:basedOn w:val="List"/>
    <w:rsid w:val="006229AE"/>
    <w:pPr>
      <w:ind w:firstLine="0"/>
    </w:pPr>
  </w:style>
  <w:style w:type="paragraph" w:customStyle="1" w:styleId="ListNote">
    <w:name w:val="List Note"/>
    <w:basedOn w:val="List"/>
    <w:rsid w:val="006229AE"/>
    <w:pPr>
      <w:pBdr>
        <w:top w:val="single" w:sz="6" w:space="2" w:color="918585"/>
        <w:bottom w:val="single" w:sz="6" w:space="2" w:color="918585"/>
      </w:pBdr>
      <w:tabs>
        <w:tab w:val="left" w:pos="1021"/>
      </w:tabs>
      <w:ind w:firstLine="0"/>
    </w:pPr>
  </w:style>
  <w:style w:type="paragraph" w:customStyle="1" w:styleId="Warning">
    <w:name w:val="Warning"/>
    <w:basedOn w:val="BodyText"/>
    <w:rsid w:val="006229AE"/>
    <w:pPr>
      <w:shd w:val="clear" w:color="auto" w:fill="D9D9D9"/>
      <w:tabs>
        <w:tab w:val="left" w:pos="992"/>
      </w:tabs>
      <w:ind w:left="119" w:right="119"/>
    </w:pPr>
    <w:rPr>
      <w:sz w:val="20"/>
    </w:rPr>
  </w:style>
  <w:style w:type="paragraph" w:customStyle="1" w:styleId="MarginIcons">
    <w:name w:val="Margin Icons"/>
    <w:basedOn w:val="BodyText"/>
    <w:rsid w:val="00622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9AE"/>
    <w:rPr>
      <w:rFonts w:ascii="Courier New" w:hAnsi="Courier New"/>
    </w:rPr>
  </w:style>
  <w:style w:type="paragraph" w:customStyle="1" w:styleId="NoteBullet">
    <w:name w:val="Note Bullet"/>
    <w:basedOn w:val="Note"/>
    <w:rsid w:val="006229AE"/>
    <w:pPr>
      <w:tabs>
        <w:tab w:val="clear" w:pos="680"/>
      </w:tabs>
      <w:spacing w:before="60" w:after="60"/>
    </w:pPr>
  </w:style>
  <w:style w:type="paragraph" w:customStyle="1" w:styleId="SubHeading2">
    <w:name w:val="SubHeading2"/>
    <w:basedOn w:val="HeadingBase"/>
    <w:rsid w:val="006229AE"/>
    <w:pPr>
      <w:spacing w:before="240" w:after="60"/>
    </w:pPr>
    <w:rPr>
      <w:sz w:val="20"/>
    </w:rPr>
  </w:style>
  <w:style w:type="paragraph" w:customStyle="1" w:styleId="SubHeading1">
    <w:name w:val="SubHeading1"/>
    <w:basedOn w:val="HeadingBase"/>
    <w:rsid w:val="006229AE"/>
    <w:pPr>
      <w:spacing w:before="240" w:after="60"/>
    </w:pPr>
    <w:rPr>
      <w:color w:val="918585"/>
      <w:sz w:val="22"/>
    </w:rPr>
  </w:style>
  <w:style w:type="paragraph" w:customStyle="1" w:styleId="SideHeading">
    <w:name w:val="Side Heading"/>
    <w:basedOn w:val="HeadingBase"/>
    <w:rsid w:val="00622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9AE"/>
    <w:pPr>
      <w:numPr>
        <w:numId w:val="10"/>
      </w:numPr>
    </w:pPr>
  </w:style>
  <w:style w:type="paragraph" w:styleId="PlainText">
    <w:name w:val="Plain Text"/>
    <w:basedOn w:val="Normal"/>
    <w:link w:val="PlainTextChar"/>
    <w:rsid w:val="006229AE"/>
    <w:rPr>
      <w:sz w:val="20"/>
    </w:rPr>
  </w:style>
  <w:style w:type="character" w:customStyle="1" w:styleId="PlainTextChar">
    <w:name w:val="Plain Text Char"/>
    <w:basedOn w:val="DefaultParagraphFont"/>
    <w:link w:val="PlainText"/>
    <w:rsid w:val="006229AE"/>
    <w:rPr>
      <w:rFonts w:ascii="Courier New" w:eastAsia="Times New Roman" w:hAnsi="Courier New" w:cs="Times New Roman"/>
      <w:sz w:val="20"/>
      <w:szCs w:val="20"/>
      <w:lang w:eastAsia="en-US"/>
    </w:rPr>
  </w:style>
  <w:style w:type="character" w:customStyle="1" w:styleId="MenuOption">
    <w:name w:val="Menu Option"/>
    <w:basedOn w:val="DefaultParagraphFont"/>
    <w:rsid w:val="006229AE"/>
    <w:rPr>
      <w:b/>
      <w:smallCaps/>
    </w:rPr>
  </w:style>
  <w:style w:type="paragraph" w:customStyle="1" w:styleId="TableListNumber">
    <w:name w:val="Table List Number"/>
    <w:basedOn w:val="ListNumber"/>
    <w:rsid w:val="006229AE"/>
    <w:pPr>
      <w:numPr>
        <w:numId w:val="0"/>
      </w:numPr>
    </w:pPr>
  </w:style>
  <w:style w:type="paragraph" w:styleId="TOC4">
    <w:name w:val="toc 4"/>
    <w:basedOn w:val="TOCBase"/>
    <w:next w:val="Normal"/>
    <w:semiHidden/>
    <w:rsid w:val="006229AE"/>
    <w:pPr>
      <w:tabs>
        <w:tab w:val="right" w:leader="dot" w:pos="9071"/>
      </w:tabs>
      <w:ind w:left="1701"/>
    </w:pPr>
  </w:style>
  <w:style w:type="paragraph" w:customStyle="1" w:styleId="ListAlpha">
    <w:name w:val="List Alpha"/>
    <w:basedOn w:val="List"/>
    <w:rsid w:val="006229AE"/>
    <w:pPr>
      <w:numPr>
        <w:numId w:val="8"/>
      </w:numPr>
    </w:pPr>
  </w:style>
  <w:style w:type="paragraph" w:customStyle="1" w:styleId="ListAlpha2">
    <w:name w:val="List Alpha 2"/>
    <w:basedOn w:val="List2"/>
    <w:rsid w:val="006229AE"/>
    <w:pPr>
      <w:numPr>
        <w:numId w:val="7"/>
      </w:numPr>
    </w:pPr>
  </w:style>
  <w:style w:type="paragraph" w:styleId="List2">
    <w:name w:val="List 2"/>
    <w:basedOn w:val="BodyText"/>
    <w:rsid w:val="006229AE"/>
    <w:pPr>
      <w:tabs>
        <w:tab w:val="left" w:pos="680"/>
      </w:tabs>
      <w:spacing w:before="60" w:after="60"/>
      <w:ind w:left="680" w:hanging="340"/>
    </w:pPr>
  </w:style>
  <w:style w:type="paragraph" w:styleId="List3">
    <w:name w:val="List 3"/>
    <w:basedOn w:val="BodyText"/>
    <w:rsid w:val="006229AE"/>
    <w:pPr>
      <w:tabs>
        <w:tab w:val="left" w:pos="1021"/>
      </w:tabs>
      <w:spacing w:before="60" w:after="60"/>
      <w:ind w:left="1020" w:hanging="340"/>
    </w:pPr>
  </w:style>
  <w:style w:type="paragraph" w:styleId="List4">
    <w:name w:val="List 4"/>
    <w:basedOn w:val="BodyText"/>
    <w:rsid w:val="006229AE"/>
    <w:pPr>
      <w:tabs>
        <w:tab w:val="left" w:pos="1361"/>
      </w:tabs>
      <w:spacing w:before="60" w:after="60"/>
      <w:ind w:left="1361" w:hanging="340"/>
    </w:pPr>
  </w:style>
  <w:style w:type="paragraph" w:styleId="List5">
    <w:name w:val="List 5"/>
    <w:basedOn w:val="BodyText"/>
    <w:rsid w:val="006229AE"/>
    <w:pPr>
      <w:tabs>
        <w:tab w:val="left" w:pos="1701"/>
      </w:tabs>
      <w:spacing w:before="60" w:after="60"/>
      <w:ind w:left="1701" w:hanging="340"/>
    </w:pPr>
  </w:style>
  <w:style w:type="paragraph" w:styleId="ListBullet3">
    <w:name w:val="List Bullet 3"/>
    <w:basedOn w:val="List3"/>
    <w:rsid w:val="006229AE"/>
    <w:pPr>
      <w:numPr>
        <w:numId w:val="13"/>
      </w:numPr>
      <w:tabs>
        <w:tab w:val="clear" w:pos="1021"/>
      </w:tabs>
      <w:ind w:left="1037" w:hanging="357"/>
    </w:pPr>
  </w:style>
  <w:style w:type="paragraph" w:styleId="ListBullet4">
    <w:name w:val="List Bullet 4"/>
    <w:basedOn w:val="List4"/>
    <w:rsid w:val="006229AE"/>
    <w:pPr>
      <w:numPr>
        <w:numId w:val="2"/>
      </w:numPr>
      <w:tabs>
        <w:tab w:val="clear" w:pos="1361"/>
      </w:tabs>
    </w:pPr>
  </w:style>
  <w:style w:type="paragraph" w:styleId="ListBullet5">
    <w:name w:val="List Bullet 5"/>
    <w:basedOn w:val="List5"/>
    <w:rsid w:val="006229AE"/>
    <w:pPr>
      <w:numPr>
        <w:numId w:val="3"/>
      </w:numPr>
    </w:pPr>
  </w:style>
  <w:style w:type="paragraph" w:styleId="ListContinue2">
    <w:name w:val="List Continue 2"/>
    <w:basedOn w:val="List2"/>
    <w:rsid w:val="006229AE"/>
    <w:pPr>
      <w:ind w:firstLine="0"/>
    </w:pPr>
  </w:style>
  <w:style w:type="paragraph" w:styleId="ListContinue3">
    <w:name w:val="List Continue 3"/>
    <w:basedOn w:val="List3"/>
    <w:rsid w:val="006229AE"/>
    <w:pPr>
      <w:ind w:left="1021" w:firstLine="0"/>
    </w:pPr>
  </w:style>
  <w:style w:type="paragraph" w:styleId="ListContinue4">
    <w:name w:val="List Continue 4"/>
    <w:basedOn w:val="List4"/>
    <w:rsid w:val="006229AE"/>
    <w:pPr>
      <w:ind w:firstLine="0"/>
    </w:pPr>
  </w:style>
  <w:style w:type="paragraph" w:styleId="ListContinue5">
    <w:name w:val="List Continue 5"/>
    <w:basedOn w:val="List5"/>
    <w:rsid w:val="006229AE"/>
    <w:pPr>
      <w:ind w:firstLine="0"/>
    </w:pPr>
  </w:style>
  <w:style w:type="paragraph" w:styleId="ListNumber3">
    <w:name w:val="List Number 3"/>
    <w:basedOn w:val="List3"/>
    <w:rsid w:val="006229AE"/>
    <w:pPr>
      <w:numPr>
        <w:numId w:val="4"/>
      </w:numPr>
    </w:pPr>
  </w:style>
  <w:style w:type="paragraph" w:styleId="ListNumber4">
    <w:name w:val="List Number 4"/>
    <w:basedOn w:val="List4"/>
    <w:rsid w:val="006229AE"/>
    <w:pPr>
      <w:numPr>
        <w:numId w:val="5"/>
      </w:numPr>
    </w:pPr>
  </w:style>
  <w:style w:type="paragraph" w:styleId="ListNumber5">
    <w:name w:val="List Number 5"/>
    <w:basedOn w:val="List5"/>
    <w:rsid w:val="006229AE"/>
    <w:pPr>
      <w:numPr>
        <w:numId w:val="6"/>
      </w:numPr>
    </w:pPr>
  </w:style>
  <w:style w:type="paragraph" w:styleId="BlockText">
    <w:name w:val="Block Text"/>
    <w:basedOn w:val="Normal"/>
    <w:rsid w:val="006229AE"/>
    <w:pPr>
      <w:spacing w:after="120"/>
      <w:ind w:left="1440" w:right="1440"/>
    </w:pPr>
  </w:style>
  <w:style w:type="character" w:customStyle="1" w:styleId="Subscript">
    <w:name w:val="Subscript"/>
    <w:basedOn w:val="DefaultParagraphFont"/>
    <w:rsid w:val="006229AE"/>
    <w:rPr>
      <w:sz w:val="16"/>
      <w:vertAlign w:val="subscript"/>
    </w:rPr>
  </w:style>
  <w:style w:type="character" w:customStyle="1" w:styleId="Superscript">
    <w:name w:val="Superscript"/>
    <w:basedOn w:val="DefaultParagraphFont"/>
    <w:rsid w:val="006229AE"/>
    <w:rPr>
      <w:sz w:val="16"/>
      <w:vertAlign w:val="superscript"/>
    </w:rPr>
  </w:style>
  <w:style w:type="character" w:customStyle="1" w:styleId="Symbols">
    <w:name w:val="Symbols"/>
    <w:basedOn w:val="DefaultParagraphFont"/>
    <w:rsid w:val="006229AE"/>
    <w:rPr>
      <w:rFonts w:ascii="Symbol" w:hAnsi="Symbol"/>
    </w:rPr>
  </w:style>
  <w:style w:type="character" w:customStyle="1" w:styleId="MenuOptions">
    <w:name w:val="Menu Options"/>
    <w:basedOn w:val="DefaultParagraphFont"/>
    <w:rsid w:val="006229AE"/>
    <w:rPr>
      <w:rFonts w:ascii="Arial Narrow" w:hAnsi="Arial Narrow"/>
      <w:smallCaps/>
    </w:rPr>
  </w:style>
  <w:style w:type="character" w:customStyle="1" w:styleId="Buttons">
    <w:name w:val="Buttons"/>
    <w:basedOn w:val="DefaultParagraphFont"/>
    <w:rsid w:val="006229AE"/>
    <w:rPr>
      <w:b/>
    </w:rPr>
  </w:style>
  <w:style w:type="character" w:customStyle="1" w:styleId="Underlined">
    <w:name w:val="Underlined"/>
    <w:basedOn w:val="DefaultParagraphFont"/>
    <w:rsid w:val="006229AE"/>
    <w:rPr>
      <w:u w:val="single"/>
    </w:rPr>
  </w:style>
  <w:style w:type="paragraph" w:customStyle="1" w:styleId="TableBodyTextRight">
    <w:name w:val="Table Body Text Right"/>
    <w:basedOn w:val="TableBodyText"/>
    <w:rsid w:val="006229AE"/>
    <w:pPr>
      <w:widowControl w:val="0"/>
      <w:autoSpaceDE w:val="0"/>
      <w:autoSpaceDN w:val="0"/>
      <w:adjustRightInd w:val="0"/>
      <w:jc w:val="right"/>
    </w:pPr>
    <w:rPr>
      <w:rFonts w:cs="Arial"/>
      <w:szCs w:val="18"/>
    </w:rPr>
  </w:style>
  <w:style w:type="paragraph" w:customStyle="1" w:styleId="CopyrightText">
    <w:name w:val="Copyright Text"/>
    <w:basedOn w:val="BodyText"/>
    <w:rsid w:val="006229AE"/>
    <w:rPr>
      <w:sz w:val="18"/>
    </w:rPr>
  </w:style>
  <w:style w:type="paragraph" w:customStyle="1" w:styleId="BodySmallRight">
    <w:name w:val="Body Small Right"/>
    <w:basedOn w:val="BodyTextRight"/>
    <w:rsid w:val="006229AE"/>
    <w:rPr>
      <w:sz w:val="18"/>
      <w:szCs w:val="18"/>
    </w:rPr>
  </w:style>
  <w:style w:type="paragraph" w:customStyle="1" w:styleId="MarginEdition">
    <w:name w:val="Margin Edition"/>
    <w:basedOn w:val="MarginNote"/>
    <w:rsid w:val="006229AE"/>
    <w:pPr>
      <w:spacing w:before="0" w:after="0"/>
    </w:pPr>
    <w:rPr>
      <w:rFonts w:ascii="Times New Roman" w:hAnsi="Times New Roman"/>
      <w:color w:val="999999"/>
    </w:rPr>
  </w:style>
  <w:style w:type="paragraph" w:customStyle="1" w:styleId="Spacer">
    <w:name w:val="Spacer"/>
    <w:basedOn w:val="Normal"/>
    <w:rsid w:val="006229AE"/>
    <w:rPr>
      <w:sz w:val="2"/>
      <w:szCs w:val="2"/>
    </w:rPr>
  </w:style>
  <w:style w:type="character" w:customStyle="1" w:styleId="Small">
    <w:name w:val="Small"/>
    <w:basedOn w:val="DefaultParagraphFont"/>
    <w:rsid w:val="006229AE"/>
    <w:rPr>
      <w:sz w:val="16"/>
    </w:rPr>
  </w:style>
  <w:style w:type="paragraph" w:customStyle="1" w:styleId="WideTable">
    <w:name w:val="Wide Table"/>
    <w:basedOn w:val="Normal"/>
    <w:rsid w:val="006229AE"/>
    <w:pPr>
      <w:ind w:left="-1418"/>
    </w:pPr>
    <w:rPr>
      <w:sz w:val="2"/>
      <w:szCs w:val="2"/>
    </w:rPr>
  </w:style>
  <w:style w:type="character" w:styleId="PageNumber">
    <w:name w:val="page number"/>
    <w:basedOn w:val="DefaultParagraphFont"/>
    <w:rsid w:val="006229AE"/>
  </w:style>
  <w:style w:type="paragraph" w:styleId="Quote">
    <w:name w:val="Quote"/>
    <w:basedOn w:val="Heading1"/>
    <w:link w:val="QuoteChar"/>
    <w:qFormat/>
    <w:rsid w:val="006229AE"/>
    <w:rPr>
      <w:b w:val="0"/>
      <w:sz w:val="72"/>
      <w:szCs w:val="72"/>
      <w:lang w:val="en-NZ"/>
    </w:rPr>
  </w:style>
  <w:style w:type="character" w:customStyle="1" w:styleId="QuoteChar">
    <w:name w:val="Quote Char"/>
    <w:basedOn w:val="DefaultParagraphFont"/>
    <w:link w:val="Quote"/>
    <w:rsid w:val="00622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9AE"/>
    <w:pPr>
      <w:pageBreakBefore/>
    </w:pPr>
  </w:style>
  <w:style w:type="paragraph" w:customStyle="1" w:styleId="Border">
    <w:name w:val="Border"/>
    <w:basedOn w:val="Normal"/>
    <w:qFormat/>
    <w:rsid w:val="00622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9AE"/>
    <w:rPr>
      <w:b/>
      <w:bCs/>
      <w:i/>
      <w:iCs/>
      <w:color w:val="auto"/>
    </w:rPr>
  </w:style>
  <w:style w:type="paragraph" w:styleId="IntenseQuote">
    <w:name w:val="Intense Quote"/>
    <w:basedOn w:val="Normal"/>
    <w:next w:val="Normal"/>
    <w:link w:val="IntenseQuoteChar"/>
    <w:uiPriority w:val="30"/>
    <w:qFormat/>
    <w:rsid w:val="00622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9AE"/>
    <w:rPr>
      <w:smallCaps/>
      <w:color w:val="auto"/>
      <w:u w:val="single"/>
    </w:rPr>
  </w:style>
  <w:style w:type="character" w:styleId="IntenseReference">
    <w:name w:val="Intense Reference"/>
    <w:basedOn w:val="DefaultParagraphFont"/>
    <w:uiPriority w:val="32"/>
    <w:qFormat/>
    <w:rsid w:val="006229AE"/>
    <w:rPr>
      <w:b/>
      <w:bCs/>
      <w:smallCaps/>
      <w:color w:val="auto"/>
      <w:spacing w:val="5"/>
      <w:u w:val="single"/>
    </w:rPr>
  </w:style>
  <w:style w:type="paragraph" w:customStyle="1" w:styleId="2ColumnHeading">
    <w:name w:val="2Column Heading"/>
    <w:basedOn w:val="BodyText"/>
    <w:qFormat/>
    <w:rsid w:val="006229AE"/>
    <w:pPr>
      <w:spacing w:after="60"/>
      <w:ind w:left="-2268"/>
    </w:pPr>
    <w:rPr>
      <w:b/>
    </w:rPr>
  </w:style>
  <w:style w:type="paragraph" w:customStyle="1" w:styleId="Heading1TOC">
    <w:name w:val="Heading1 TOC"/>
    <w:basedOn w:val="Normal"/>
    <w:qFormat/>
    <w:rsid w:val="006229AE"/>
    <w:pPr>
      <w:spacing w:before="240" w:after="120"/>
    </w:pPr>
    <w:rPr>
      <w:rFonts w:ascii="Times New Roman" w:hAnsi="Times New Roman"/>
      <w:b/>
      <w:sz w:val="32"/>
    </w:rPr>
  </w:style>
  <w:style w:type="paragraph" w:customStyle="1" w:styleId="Heading2TOC">
    <w:name w:val="Heading2 TOC"/>
    <w:basedOn w:val="Normal"/>
    <w:qFormat/>
    <w:rsid w:val="006229AE"/>
    <w:pPr>
      <w:spacing w:before="240" w:after="60"/>
    </w:pPr>
    <w:rPr>
      <w:rFonts w:ascii="Times New Roman" w:hAnsi="Times New Roman"/>
      <w:b/>
      <w:sz w:val="28"/>
    </w:rPr>
  </w:style>
  <w:style w:type="character" w:customStyle="1" w:styleId="Underline">
    <w:name w:val="Underline"/>
    <w:basedOn w:val="DefaultParagraphFont"/>
    <w:qFormat/>
    <w:rsid w:val="006229AE"/>
    <w:rPr>
      <w:u w:val="single"/>
    </w:rPr>
  </w:style>
  <w:style w:type="character" w:customStyle="1" w:styleId="BoldandItalics">
    <w:name w:val="Bold and Italics"/>
    <w:qFormat/>
    <w:rsid w:val="006229AE"/>
    <w:rPr>
      <w:b/>
      <w:i/>
      <w:u w:val="none"/>
    </w:rPr>
  </w:style>
  <w:style w:type="paragraph" w:styleId="BalloonText">
    <w:name w:val="Balloon Text"/>
    <w:basedOn w:val="Normal"/>
    <w:link w:val="BalloonTextChar"/>
    <w:rsid w:val="006229AE"/>
    <w:rPr>
      <w:rFonts w:ascii="Tahoma" w:hAnsi="Tahoma" w:cs="Tahoma"/>
      <w:sz w:val="16"/>
      <w:szCs w:val="16"/>
    </w:rPr>
  </w:style>
  <w:style w:type="character" w:customStyle="1" w:styleId="BalloonTextChar">
    <w:name w:val="Balloon Text Char"/>
    <w:basedOn w:val="DefaultParagraphFont"/>
    <w:link w:val="BalloonText"/>
    <w:rsid w:val="00622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9AE"/>
    <w:rPr>
      <w:b/>
      <w:color w:val="660033"/>
      <w:spacing w:val="0"/>
    </w:rPr>
  </w:style>
  <w:style w:type="paragraph" w:customStyle="1" w:styleId="Nameditemlist">
    <w:name w:val="Named item list"/>
    <w:basedOn w:val="BodyText"/>
    <w:qFormat/>
    <w:rsid w:val="006229AE"/>
    <w:pPr>
      <w:tabs>
        <w:tab w:val="left" w:pos="2835"/>
      </w:tabs>
      <w:ind w:left="2835" w:hanging="2835"/>
    </w:pPr>
  </w:style>
  <w:style w:type="paragraph" w:customStyle="1" w:styleId="BodyTextnopadding">
    <w:name w:val="Body Text no padding"/>
    <w:basedOn w:val="BodyText"/>
    <w:qFormat/>
    <w:rsid w:val="006229AE"/>
    <w:pPr>
      <w:spacing w:before="0" w:after="0"/>
    </w:pPr>
  </w:style>
  <w:style w:type="paragraph" w:customStyle="1" w:styleId="BodyTextBold">
    <w:name w:val="Body Text Bold"/>
    <w:basedOn w:val="BodyText"/>
    <w:qFormat/>
    <w:rsid w:val="006229AE"/>
    <w:rPr>
      <w:b/>
    </w:rPr>
  </w:style>
  <w:style w:type="character" w:styleId="Hyperlink">
    <w:name w:val="Hyperlink"/>
    <w:basedOn w:val="DefaultParagraphFont"/>
    <w:uiPriority w:val="99"/>
    <w:unhideWhenUsed/>
    <w:rsid w:val="002F7F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5473</Characters>
  <Application>Microsoft Office Word</Application>
  <DocSecurity>0</DocSecurity>
  <Lines>248</Lines>
  <Paragraphs>119</Paragraphs>
  <ScaleCrop>false</ScaleCrop>
  <Company>Author-it Software Corporation Ltd.</Company>
  <LinksUpToDate>false</LinksUpToDate>
  <CharactersWithSpaces>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MARL057 Demonstrate basic knowledge of marine diesel engines and systems</dc:title>
  <dc:subject>Approved</dc:subject>
  <dc:creator>Industry Skills Australia</dc:creator>
  <cp:keywords>Release: 2</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